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D19FBBC" w14:textId="77777777" w:rsidR="00705CBC" w:rsidRDefault="00705CBC" w:rsidP="006B3DF7"/>
    <w:sdt>
      <w:sdtPr>
        <w:id w:val="1710375971"/>
      </w:sdtPr>
      <w:sdtEndPr>
        <w:rPr>
          <w:noProof/>
          <w:sz w:val="56"/>
          <w:lang w:eastAsia="ru-RU"/>
        </w:rPr>
      </w:sdtEndPr>
      <w:sdtContent>
        <w:p w14:paraId="28DB21A8" w14:textId="77777777" w:rsidR="00CC12D3" w:rsidRDefault="00CC12D3" w:rsidP="006B3DF7"/>
        <w:p w14:paraId="79A6F302" w14:textId="6DDC980A" w:rsidR="00CC12D3" w:rsidRDefault="00FA3FC9" w:rsidP="006B3DF7">
          <w:pPr>
            <w:widowControl/>
            <w:tabs>
              <w:tab w:val="left" w:pos="690"/>
              <w:tab w:val="center" w:pos="5245"/>
            </w:tabs>
            <w:jc w:val="left"/>
            <w:rPr>
              <w:noProof/>
              <w:sz w:val="56"/>
              <w:lang w:eastAsia="ru-RU"/>
            </w:rPr>
          </w:pPr>
          <w:r>
            <w:rPr>
              <w:noProof/>
              <w:sz w:val="56"/>
              <w:lang w:eastAsia="ru-RU"/>
            </w:rPr>
            <w:tab/>
          </w:r>
          <w:r w:rsidR="00AE71C2">
            <w:rPr>
              <w:noProof/>
              <w:sz w:val="56"/>
              <w:lang w:eastAsia="ru-RU"/>
            </w:rPr>
            <w:drawing>
              <wp:inline distT="0" distB="0" distL="0" distR="0" wp14:anchorId="42C1AA93" wp14:editId="1AB99575">
                <wp:extent cx="2924175" cy="299593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5.jpg"/>
                        <pic:cNvPicPr/>
                      </pic:nvPicPr>
                      <pic:blipFill>
                        <a:blip r:embed="rId8">
                          <a:extLst>
                            <a:ext uri="{28A0092B-C50C-407E-A947-70E740481C1C}">
                              <a14:useLocalDpi xmlns:a14="http://schemas.microsoft.com/office/drawing/2010/main" val="0"/>
                            </a:ext>
                          </a:extLst>
                        </a:blip>
                        <a:stretch>
                          <a:fillRect/>
                        </a:stretch>
                      </pic:blipFill>
                      <pic:spPr>
                        <a:xfrm>
                          <a:off x="0" y="0"/>
                          <a:ext cx="2925677" cy="2997473"/>
                        </a:xfrm>
                        <a:prstGeom prst="ellipse">
                          <a:avLst/>
                        </a:prstGeom>
                        <a:ln>
                          <a:noFill/>
                        </a:ln>
                        <a:effectLst>
                          <a:softEdge rad="112500"/>
                        </a:effectLst>
                      </pic:spPr>
                    </pic:pic>
                  </a:graphicData>
                </a:graphic>
              </wp:inline>
            </w:drawing>
          </w:r>
          <w:r>
            <w:rPr>
              <w:noProof/>
              <w:sz w:val="56"/>
              <w:lang w:eastAsia="ru-RU"/>
            </w:rPr>
            <w:tab/>
          </w:r>
          <w:r w:rsidR="00235924">
            <w:rPr>
              <w:noProof/>
              <w:lang w:eastAsia="ru-RU"/>
            </w:rPr>
            <mc:AlternateContent>
              <mc:Choice Requires="wps">
                <w:drawing>
                  <wp:anchor distT="0" distB="0" distL="114300" distR="114300" simplePos="0" relativeHeight="251660288" behindDoc="0" locked="0" layoutInCell="1" allowOverlap="1" wp14:anchorId="6A1CC7F5" wp14:editId="3ED5FC07">
                    <wp:simplePos x="0" y="0"/>
                    <wp:positionH relativeFrom="margin">
                      <wp:align>center</wp:align>
                    </wp:positionH>
                    <wp:positionV relativeFrom="margin">
                      <wp:posOffset>2887980</wp:posOffset>
                    </wp:positionV>
                    <wp:extent cx="6931025" cy="6578600"/>
                    <wp:effectExtent l="0" t="0" r="0" b="0"/>
                    <wp:wrapNone/>
                    <wp:docPr id="3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025" cy="6578600"/>
                            </a:xfrm>
                            <a:prstGeom prst="rect">
                              <a:avLst/>
                            </a:prstGeom>
                            <a:noFill/>
                            <a:ln>
                              <a:noFill/>
                            </a:ln>
                          </wps:spPr>
                          <wps:txbx>
                            <w:txbxContent>
                              <w:p w14:paraId="20B18D26" w14:textId="77777777" w:rsidR="008B3339" w:rsidRDefault="008B3339" w:rsidP="00F811F4">
                                <w:pPr>
                                  <w:pStyle w:val="af2"/>
                                  <w:jc w:val="center"/>
                                  <w:rPr>
                                    <w:rFonts w:ascii="Times New Roman" w:hAnsi="Times New Roman"/>
                                    <w:b/>
                                    <w:color w:val="11B1EA" w:themeColor="accent2" w:themeShade="BF"/>
                                    <w:sz w:val="56"/>
                                    <w:szCs w:val="56"/>
                                  </w:rPr>
                                </w:pPr>
                              </w:p>
                              <w:p w14:paraId="5680A579" w14:textId="77777777" w:rsidR="008B3339" w:rsidRPr="006E4E7C" w:rsidRDefault="008B3339" w:rsidP="00400665">
                                <w:pPr>
                                  <w:pStyle w:val="af2"/>
                                  <w:jc w:val="center"/>
                                  <w:rPr>
                                    <w:rFonts w:ascii="Times New Roman" w:hAnsi="Times New Roman"/>
                                    <w:b/>
                                    <w:color w:val="00B050"/>
                                    <w:sz w:val="56"/>
                                    <w:szCs w:val="56"/>
                                  </w:rPr>
                                </w:pPr>
                                <w:r w:rsidRPr="006E4E7C">
                                  <w:rPr>
                                    <w:rFonts w:ascii="Times New Roman" w:hAnsi="Times New Roman"/>
                                    <w:b/>
                                    <w:color w:val="00B050"/>
                                    <w:sz w:val="56"/>
                                    <w:szCs w:val="56"/>
                                  </w:rPr>
                                  <w:t xml:space="preserve">Об основных итогах </w:t>
                                </w:r>
                                <w:r w:rsidRPr="006E4E7C">
                                  <w:rPr>
                                    <w:rFonts w:ascii="Times New Roman" w:hAnsi="Times New Roman"/>
                                    <w:b/>
                                    <w:color w:val="00B050"/>
                                    <w:sz w:val="56"/>
                                    <w:szCs w:val="56"/>
                                  </w:rPr>
                                  <w:br/>
                                  <w:t xml:space="preserve">деятельности Министерства финансов </w:t>
                                </w:r>
                                <w:r w:rsidRPr="006E4E7C">
                                  <w:rPr>
                                    <w:rFonts w:ascii="Times New Roman" w:hAnsi="Times New Roman"/>
                                    <w:b/>
                                    <w:color w:val="00B050"/>
                                    <w:sz w:val="56"/>
                                    <w:szCs w:val="56"/>
                                  </w:rPr>
                                  <w:br/>
                                  <w:t>Кабардино-Балкарской Республики за 2025 год и задачах на 2026 год</w:t>
                                </w:r>
                              </w:p>
                              <w:p w14:paraId="2058F56A" w14:textId="77777777" w:rsidR="008B3339" w:rsidRDefault="008B3339" w:rsidP="00F811F4">
                                <w:pPr>
                                  <w:pStyle w:val="af2"/>
                                  <w:jc w:val="center"/>
                                  <w:rPr>
                                    <w:rFonts w:ascii="Times New Roman" w:hAnsi="Times New Roman"/>
                                    <w:b/>
                                    <w:color w:val="11B1EA" w:themeColor="accent2" w:themeShade="BF"/>
                                    <w:sz w:val="56"/>
                                    <w:szCs w:val="56"/>
                                  </w:rPr>
                                </w:pPr>
                              </w:p>
                              <w:p w14:paraId="0FCBB0E9" w14:textId="77777777" w:rsidR="008B3339" w:rsidRDefault="008B3339" w:rsidP="00F811F4">
                                <w:pPr>
                                  <w:pStyle w:val="af2"/>
                                  <w:jc w:val="center"/>
                                  <w:rPr>
                                    <w:rFonts w:ascii="Times New Roman" w:hAnsi="Times New Roman"/>
                                    <w:b/>
                                    <w:color w:val="11B1EA" w:themeColor="accent2" w:themeShade="BF"/>
                                    <w:sz w:val="56"/>
                                    <w:szCs w:val="56"/>
                                  </w:rPr>
                                </w:pPr>
                              </w:p>
                              <w:p w14:paraId="144EA67A" w14:textId="77777777" w:rsidR="008B3339" w:rsidRDefault="008B3339" w:rsidP="00F811F4">
                                <w:pPr>
                                  <w:pStyle w:val="af2"/>
                                  <w:jc w:val="center"/>
                                  <w:rPr>
                                    <w:rFonts w:ascii="Times New Roman" w:hAnsi="Times New Roman"/>
                                    <w:b/>
                                    <w:color w:val="11B1EA" w:themeColor="accent2" w:themeShade="BF"/>
                                    <w:sz w:val="56"/>
                                    <w:szCs w:val="56"/>
                                  </w:rPr>
                                </w:pPr>
                              </w:p>
                              <w:p w14:paraId="285542E8" w14:textId="77777777" w:rsidR="008B3339" w:rsidRDefault="008B3339" w:rsidP="00F811F4">
                                <w:pPr>
                                  <w:pStyle w:val="af2"/>
                                  <w:jc w:val="center"/>
                                  <w:rPr>
                                    <w:rFonts w:ascii="Times New Roman" w:hAnsi="Times New Roman"/>
                                    <w:b/>
                                    <w:color w:val="11B1EA" w:themeColor="accent2" w:themeShade="BF"/>
                                    <w:sz w:val="56"/>
                                    <w:szCs w:val="56"/>
                                  </w:rPr>
                                </w:pPr>
                              </w:p>
                              <w:p w14:paraId="69F474AD" w14:textId="77777777" w:rsidR="008B3339" w:rsidRDefault="008B3339" w:rsidP="00F811F4">
                                <w:pPr>
                                  <w:pStyle w:val="af2"/>
                                  <w:jc w:val="center"/>
                                  <w:rPr>
                                    <w:rFonts w:ascii="Times New Roman" w:hAnsi="Times New Roman"/>
                                    <w:b/>
                                    <w:color w:val="11B1EA" w:themeColor="accent2" w:themeShade="BF"/>
                                    <w:sz w:val="56"/>
                                    <w:szCs w:val="56"/>
                                  </w:rPr>
                                </w:pPr>
                              </w:p>
                              <w:p w14:paraId="622D0C1A" w14:textId="77777777" w:rsidR="008B3339" w:rsidRDefault="008B3339" w:rsidP="00F811F4">
                                <w:pPr>
                                  <w:pStyle w:val="af2"/>
                                  <w:jc w:val="center"/>
                                  <w:rPr>
                                    <w:rFonts w:ascii="Times New Roman" w:hAnsi="Times New Roman"/>
                                    <w:color w:val="11B1EA" w:themeColor="accent2" w:themeShade="BF"/>
                                    <w:sz w:val="56"/>
                                    <w:szCs w:val="56"/>
                                  </w:rPr>
                                </w:pPr>
                              </w:p>
                              <w:p w14:paraId="753639ED" w14:textId="77777777" w:rsidR="008B3339" w:rsidRDefault="008B3339" w:rsidP="00F811F4">
                                <w:pPr>
                                  <w:pStyle w:val="af2"/>
                                  <w:jc w:val="center"/>
                                  <w:rPr>
                                    <w:rFonts w:ascii="Times New Roman" w:hAnsi="Times New Roman"/>
                                    <w:color w:val="11B1EA" w:themeColor="accent2" w:themeShade="BF"/>
                                    <w:sz w:val="56"/>
                                    <w:szCs w:val="56"/>
                                  </w:rPr>
                                </w:pPr>
                              </w:p>
                              <w:p w14:paraId="3C593C4C" w14:textId="77777777" w:rsidR="008B3339" w:rsidRDefault="008B3339" w:rsidP="00F811F4">
                                <w:pPr>
                                  <w:pStyle w:val="af2"/>
                                  <w:jc w:val="center"/>
                                  <w:rPr>
                                    <w:rFonts w:ascii="Times New Roman" w:hAnsi="Times New Roman"/>
                                    <w:color w:val="11B1EA" w:themeColor="accent2" w:themeShade="BF"/>
                                    <w:sz w:val="56"/>
                                    <w:szCs w:val="56"/>
                                  </w:rPr>
                                </w:pPr>
                              </w:p>
                              <w:p w14:paraId="466B0B8C" w14:textId="77777777" w:rsidR="008B3339" w:rsidRDefault="008B3339" w:rsidP="00F811F4">
                                <w:pPr>
                                  <w:pStyle w:val="af2"/>
                                  <w:jc w:val="center"/>
                                  <w:rPr>
                                    <w:rFonts w:ascii="Times New Roman" w:hAnsi="Times New Roman"/>
                                    <w:color w:val="11B1EA" w:themeColor="accent2" w:themeShade="BF"/>
                                    <w:sz w:val="56"/>
                                    <w:szCs w:val="56"/>
                                  </w:rPr>
                                </w:pPr>
                              </w:p>
                              <w:p w14:paraId="13A6CED5" w14:textId="77777777" w:rsidR="008B3339" w:rsidRDefault="008B3339" w:rsidP="00F811F4">
                                <w:pPr>
                                  <w:pStyle w:val="af2"/>
                                  <w:jc w:val="center"/>
                                  <w:rPr>
                                    <w:rFonts w:ascii="Times New Roman" w:hAnsi="Times New Roman"/>
                                    <w:color w:val="11B1EA" w:themeColor="accent2" w:themeShade="BF"/>
                                    <w:sz w:val="56"/>
                                    <w:szCs w:val="56"/>
                                  </w:rPr>
                                </w:pPr>
                              </w:p>
                              <w:p w14:paraId="0159741C" w14:textId="77777777" w:rsidR="008B3339" w:rsidRPr="00BC75DB" w:rsidRDefault="008B3339" w:rsidP="00BC75DB">
                                <w:pPr>
                                  <w:pStyle w:val="af2"/>
                                  <w:jc w:val="center"/>
                                  <w:rPr>
                                    <w:rFonts w:ascii="Times New Roman" w:hAnsi="Times New Roman"/>
                                    <w:b/>
                                    <w:color w:val="568D11" w:themeColor="accent3" w:themeShade="80"/>
                                    <w:sz w:val="28"/>
                                    <w:szCs w:val="28"/>
                                  </w:rPr>
                                </w:pPr>
                                <w:r w:rsidRPr="00BC75DB">
                                  <w:rPr>
                                    <w:rFonts w:ascii="Times New Roman" w:hAnsi="Times New Roman"/>
                                    <w:b/>
                                    <w:color w:val="568D11" w:themeColor="accent3" w:themeShade="80"/>
                                    <w:sz w:val="28"/>
                                    <w:szCs w:val="28"/>
                                  </w:rPr>
                                  <w:t>НАЛЬЧИК</w:t>
                                </w:r>
                                <w:r w:rsidRPr="00BC75DB">
                                  <w:rPr>
                                    <w:rFonts w:ascii="Times New Roman" w:hAnsi="Times New Roman"/>
                                    <w:b/>
                                    <w:color w:val="568D11" w:themeColor="accent3" w:themeShade="80"/>
                                    <w:sz w:val="28"/>
                                    <w:szCs w:val="28"/>
                                  </w:rPr>
                                  <w:br/>
                                  <w:t xml:space="preserve"> 202</w:t>
                                </w:r>
                                <w:r>
                                  <w:rPr>
                                    <w:rFonts w:ascii="Times New Roman" w:hAnsi="Times New Roman"/>
                                    <w:b/>
                                    <w:color w:val="568D11" w:themeColor="accent3" w:themeShade="80"/>
                                    <w:sz w:val="28"/>
                                    <w:szCs w:val="28"/>
                                  </w:rPr>
                                  <w:t>6</w:t>
                                </w:r>
                                <w:r w:rsidRPr="00BC75DB">
                                  <w:rPr>
                                    <w:rFonts w:ascii="Times New Roman" w:hAnsi="Times New Roman"/>
                                    <w:b/>
                                    <w:color w:val="568D11" w:themeColor="accent3" w:themeShade="80"/>
                                    <w:sz w:val="28"/>
                                    <w:szCs w:val="28"/>
                                  </w:rPr>
                                  <w:t xml:space="preserve"> год</w:t>
                                </w:r>
                              </w:p>
                              <w:p w14:paraId="5FC80886" w14:textId="77777777" w:rsidR="008B3339" w:rsidRPr="00CC12D3" w:rsidRDefault="008B3339" w:rsidP="00F811F4">
                                <w:pPr>
                                  <w:pStyle w:val="af2"/>
                                  <w:jc w:val="center"/>
                                  <w:rPr>
                                    <w:rFonts w:ascii="Times New Roman" w:hAnsi="Times New Roman"/>
                                    <w:b/>
                                    <w:color w:val="063C64" w:themeColor="background2" w:themeShade="4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A1CC7F5" id="_x0000_t202" coordsize="21600,21600" o:spt="202" path="m,l,21600r21600,l21600,xe">
                    <v:stroke joinstyle="miter"/>
                    <v:path gradientshapeok="t" o:connecttype="rect"/>
                  </v:shapetype>
                  <v:shape id="Надпись 1" o:spid="_x0000_s1026" type="#_x0000_t202" style="position:absolute;left:0;text-align:left;margin-left:0;margin-top:227.4pt;width:545.75pt;height:51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" filled="f" stroked="f">
                    <v:textbox inset="0,0,0,0">
                      <w:txbxContent>
                        <w:p w14:paraId="20B18D26" w14:textId="77777777" w:rsidR="008B3339" w:rsidRDefault="008B3339" w:rsidP="00F811F4">
                          <w:pPr>
                            <w:pStyle w:val="af2"/>
                            <w:jc w:val="center"/>
                            <w:rPr>
                              <w:rFonts w:ascii="Times New Roman" w:hAnsi="Times New Roman"/>
                              <w:b/>
                              <w:color w:val="11B1EA" w:themeColor="accent2" w:themeShade="BF"/>
                              <w:sz w:val="56"/>
                              <w:szCs w:val="56"/>
                            </w:rPr>
                          </w:pPr>
                        </w:p>
                        <w:p w14:paraId="5680A579" w14:textId="77777777" w:rsidR="008B3339" w:rsidRPr="006E4E7C" w:rsidRDefault="008B3339" w:rsidP="00400665">
                          <w:pPr>
                            <w:pStyle w:val="af2"/>
                            <w:jc w:val="center"/>
                            <w:rPr>
                              <w:rFonts w:ascii="Times New Roman" w:hAnsi="Times New Roman"/>
                              <w:b/>
                              <w:color w:val="00B050"/>
                              <w:sz w:val="56"/>
                              <w:szCs w:val="56"/>
                            </w:rPr>
                          </w:pPr>
                          <w:r w:rsidRPr="006E4E7C">
                            <w:rPr>
                              <w:rFonts w:ascii="Times New Roman" w:hAnsi="Times New Roman"/>
                              <w:b/>
                              <w:color w:val="00B050"/>
                              <w:sz w:val="56"/>
                              <w:szCs w:val="56"/>
                            </w:rPr>
                            <w:t xml:space="preserve">Об основных итогах </w:t>
                          </w:r>
                          <w:r w:rsidRPr="006E4E7C">
                            <w:rPr>
                              <w:rFonts w:ascii="Times New Roman" w:hAnsi="Times New Roman"/>
                              <w:b/>
                              <w:color w:val="00B050"/>
                              <w:sz w:val="56"/>
                              <w:szCs w:val="56"/>
                            </w:rPr>
                            <w:br/>
                            <w:t xml:space="preserve">деятельности Министерства финансов </w:t>
                          </w:r>
                          <w:r w:rsidRPr="006E4E7C">
                            <w:rPr>
                              <w:rFonts w:ascii="Times New Roman" w:hAnsi="Times New Roman"/>
                              <w:b/>
                              <w:color w:val="00B050"/>
                              <w:sz w:val="56"/>
                              <w:szCs w:val="56"/>
                            </w:rPr>
                            <w:br/>
                            <w:t>Кабардино-Балкарской Республики за 2025 год и задачах на 2026 год</w:t>
                          </w:r>
                        </w:p>
                        <w:p w14:paraId="2058F56A" w14:textId="77777777" w:rsidR="008B3339" w:rsidRDefault="008B3339" w:rsidP="00F811F4">
                          <w:pPr>
                            <w:pStyle w:val="af2"/>
                            <w:jc w:val="center"/>
                            <w:rPr>
                              <w:rFonts w:ascii="Times New Roman" w:hAnsi="Times New Roman"/>
                              <w:b/>
                              <w:color w:val="11B1EA" w:themeColor="accent2" w:themeShade="BF"/>
                              <w:sz w:val="56"/>
                              <w:szCs w:val="56"/>
                            </w:rPr>
                          </w:pPr>
                        </w:p>
                        <w:p w14:paraId="0FCBB0E9" w14:textId="77777777" w:rsidR="008B3339" w:rsidRDefault="008B3339" w:rsidP="00F811F4">
                          <w:pPr>
                            <w:pStyle w:val="af2"/>
                            <w:jc w:val="center"/>
                            <w:rPr>
                              <w:rFonts w:ascii="Times New Roman" w:hAnsi="Times New Roman"/>
                              <w:b/>
                              <w:color w:val="11B1EA" w:themeColor="accent2" w:themeShade="BF"/>
                              <w:sz w:val="56"/>
                              <w:szCs w:val="56"/>
                            </w:rPr>
                          </w:pPr>
                        </w:p>
                        <w:p w14:paraId="144EA67A" w14:textId="77777777" w:rsidR="008B3339" w:rsidRDefault="008B3339" w:rsidP="00F811F4">
                          <w:pPr>
                            <w:pStyle w:val="af2"/>
                            <w:jc w:val="center"/>
                            <w:rPr>
                              <w:rFonts w:ascii="Times New Roman" w:hAnsi="Times New Roman"/>
                              <w:b/>
                              <w:color w:val="11B1EA" w:themeColor="accent2" w:themeShade="BF"/>
                              <w:sz w:val="56"/>
                              <w:szCs w:val="56"/>
                            </w:rPr>
                          </w:pPr>
                        </w:p>
                        <w:p w14:paraId="285542E8" w14:textId="77777777" w:rsidR="008B3339" w:rsidRDefault="008B3339" w:rsidP="00F811F4">
                          <w:pPr>
                            <w:pStyle w:val="af2"/>
                            <w:jc w:val="center"/>
                            <w:rPr>
                              <w:rFonts w:ascii="Times New Roman" w:hAnsi="Times New Roman"/>
                              <w:b/>
                              <w:color w:val="11B1EA" w:themeColor="accent2" w:themeShade="BF"/>
                              <w:sz w:val="56"/>
                              <w:szCs w:val="56"/>
                            </w:rPr>
                          </w:pPr>
                        </w:p>
                        <w:p w14:paraId="69F474AD" w14:textId="77777777" w:rsidR="008B3339" w:rsidRDefault="008B3339" w:rsidP="00F811F4">
                          <w:pPr>
                            <w:pStyle w:val="af2"/>
                            <w:jc w:val="center"/>
                            <w:rPr>
                              <w:rFonts w:ascii="Times New Roman" w:hAnsi="Times New Roman"/>
                              <w:b/>
                              <w:color w:val="11B1EA" w:themeColor="accent2" w:themeShade="BF"/>
                              <w:sz w:val="56"/>
                              <w:szCs w:val="56"/>
                            </w:rPr>
                          </w:pPr>
                        </w:p>
                        <w:p w14:paraId="622D0C1A" w14:textId="77777777" w:rsidR="008B3339" w:rsidRDefault="008B3339" w:rsidP="00F811F4">
                          <w:pPr>
                            <w:pStyle w:val="af2"/>
                            <w:jc w:val="center"/>
                            <w:rPr>
                              <w:rFonts w:ascii="Times New Roman" w:hAnsi="Times New Roman"/>
                              <w:color w:val="11B1EA" w:themeColor="accent2" w:themeShade="BF"/>
                              <w:sz w:val="56"/>
                              <w:szCs w:val="56"/>
                            </w:rPr>
                          </w:pPr>
                        </w:p>
                        <w:p w14:paraId="753639ED" w14:textId="77777777" w:rsidR="008B3339" w:rsidRDefault="008B3339" w:rsidP="00F811F4">
                          <w:pPr>
                            <w:pStyle w:val="af2"/>
                            <w:jc w:val="center"/>
                            <w:rPr>
                              <w:rFonts w:ascii="Times New Roman" w:hAnsi="Times New Roman"/>
                              <w:color w:val="11B1EA" w:themeColor="accent2" w:themeShade="BF"/>
                              <w:sz w:val="56"/>
                              <w:szCs w:val="56"/>
                            </w:rPr>
                          </w:pPr>
                        </w:p>
                        <w:p w14:paraId="3C593C4C" w14:textId="77777777" w:rsidR="008B3339" w:rsidRDefault="008B3339" w:rsidP="00F811F4">
                          <w:pPr>
                            <w:pStyle w:val="af2"/>
                            <w:jc w:val="center"/>
                            <w:rPr>
                              <w:rFonts w:ascii="Times New Roman" w:hAnsi="Times New Roman"/>
                              <w:color w:val="11B1EA" w:themeColor="accent2" w:themeShade="BF"/>
                              <w:sz w:val="56"/>
                              <w:szCs w:val="56"/>
                            </w:rPr>
                          </w:pPr>
                        </w:p>
                        <w:p w14:paraId="466B0B8C" w14:textId="77777777" w:rsidR="008B3339" w:rsidRDefault="008B3339" w:rsidP="00F811F4">
                          <w:pPr>
                            <w:pStyle w:val="af2"/>
                            <w:jc w:val="center"/>
                            <w:rPr>
                              <w:rFonts w:ascii="Times New Roman" w:hAnsi="Times New Roman"/>
                              <w:color w:val="11B1EA" w:themeColor="accent2" w:themeShade="BF"/>
                              <w:sz w:val="56"/>
                              <w:szCs w:val="56"/>
                            </w:rPr>
                          </w:pPr>
                        </w:p>
                        <w:p w14:paraId="13A6CED5" w14:textId="77777777" w:rsidR="008B3339" w:rsidRDefault="008B3339" w:rsidP="00F811F4">
                          <w:pPr>
                            <w:pStyle w:val="af2"/>
                            <w:jc w:val="center"/>
                            <w:rPr>
                              <w:rFonts w:ascii="Times New Roman" w:hAnsi="Times New Roman"/>
                              <w:color w:val="11B1EA" w:themeColor="accent2" w:themeShade="BF"/>
                              <w:sz w:val="56"/>
                              <w:szCs w:val="56"/>
                            </w:rPr>
                          </w:pPr>
                        </w:p>
                        <w:p w14:paraId="0159741C" w14:textId="77777777" w:rsidR="008B3339" w:rsidRPr="00BC75DB" w:rsidRDefault="008B3339" w:rsidP="00BC75DB">
                          <w:pPr>
                            <w:pStyle w:val="af2"/>
                            <w:jc w:val="center"/>
                            <w:rPr>
                              <w:rFonts w:ascii="Times New Roman" w:hAnsi="Times New Roman"/>
                              <w:b/>
                              <w:color w:val="568D11" w:themeColor="accent3" w:themeShade="80"/>
                              <w:sz w:val="28"/>
                              <w:szCs w:val="28"/>
                            </w:rPr>
                          </w:pPr>
                          <w:r w:rsidRPr="00BC75DB">
                            <w:rPr>
                              <w:rFonts w:ascii="Times New Roman" w:hAnsi="Times New Roman"/>
                              <w:b/>
                              <w:color w:val="568D11" w:themeColor="accent3" w:themeShade="80"/>
                              <w:sz w:val="28"/>
                              <w:szCs w:val="28"/>
                            </w:rPr>
                            <w:t>НАЛЬЧИК</w:t>
                          </w:r>
                          <w:r w:rsidRPr="00BC75DB">
                            <w:rPr>
                              <w:rFonts w:ascii="Times New Roman" w:hAnsi="Times New Roman"/>
                              <w:b/>
                              <w:color w:val="568D11" w:themeColor="accent3" w:themeShade="80"/>
                              <w:sz w:val="28"/>
                              <w:szCs w:val="28"/>
                            </w:rPr>
                            <w:br/>
                            <w:t xml:space="preserve"> 202</w:t>
                          </w:r>
                          <w:r>
                            <w:rPr>
                              <w:rFonts w:ascii="Times New Roman" w:hAnsi="Times New Roman"/>
                              <w:b/>
                              <w:color w:val="568D11" w:themeColor="accent3" w:themeShade="80"/>
                              <w:sz w:val="28"/>
                              <w:szCs w:val="28"/>
                            </w:rPr>
                            <w:t>6</w:t>
                          </w:r>
                          <w:r w:rsidRPr="00BC75DB">
                            <w:rPr>
                              <w:rFonts w:ascii="Times New Roman" w:hAnsi="Times New Roman"/>
                              <w:b/>
                              <w:color w:val="568D11" w:themeColor="accent3" w:themeShade="80"/>
                              <w:sz w:val="28"/>
                              <w:szCs w:val="28"/>
                            </w:rPr>
                            <w:t xml:space="preserve"> год</w:t>
                          </w:r>
                        </w:p>
                        <w:p w14:paraId="5FC80886" w14:textId="77777777" w:rsidR="008B3339" w:rsidRPr="00CC12D3" w:rsidRDefault="008B3339" w:rsidP="00F811F4">
                          <w:pPr>
                            <w:pStyle w:val="af2"/>
                            <w:jc w:val="center"/>
                            <w:rPr>
                              <w:rFonts w:ascii="Times New Roman" w:hAnsi="Times New Roman"/>
                              <w:b/>
                              <w:color w:val="063C64" w:themeColor="background2" w:themeShade="40"/>
                              <w:sz w:val="28"/>
                              <w:szCs w:val="28"/>
                            </w:rPr>
                          </w:pPr>
                        </w:p>
                      </w:txbxContent>
                    </v:textbox>
                    <w10:wrap anchorx="margin" anchory="margin"/>
                  </v:shape>
                </w:pict>
              </mc:Fallback>
            </mc:AlternateContent>
          </w:r>
          <w:r w:rsidR="00CC12D3">
            <w:rPr>
              <w:noProof/>
              <w:sz w:val="56"/>
              <w:lang w:eastAsia="ru-RU"/>
            </w:rPr>
            <w:br w:type="page"/>
          </w:r>
        </w:p>
      </w:sdtContent>
    </w:sdt>
    <w:p w14:paraId="14C590C9" w14:textId="77777777" w:rsidR="009E70C6" w:rsidRDefault="009E70C6" w:rsidP="006B3DF7">
      <w:pPr>
        <w:pStyle w:val="af4"/>
        <w:numPr>
          <w:ilvl w:val="0"/>
          <w:numId w:val="0"/>
        </w:numPr>
        <w:spacing w:before="0" w:after="0" w:line="240" w:lineRule="auto"/>
        <w:ind w:firstLine="709"/>
        <w:jc w:val="left"/>
        <w:rPr>
          <w:rFonts w:ascii="Times New Roman" w:hAnsi="Times New Roman"/>
          <w:bCs w:val="0"/>
          <w:color w:val="568D11" w:themeColor="accent3" w:themeShade="80"/>
          <w:sz w:val="28"/>
          <w:szCs w:val="28"/>
          <w:lang w:eastAsia="en-US"/>
        </w:rPr>
      </w:pPr>
    </w:p>
    <w:p w14:paraId="7A5028A3" w14:textId="77777777" w:rsidR="00717083" w:rsidRPr="00C32F32" w:rsidRDefault="00C32F32" w:rsidP="006B3DF7">
      <w:pPr>
        <w:pStyle w:val="af4"/>
        <w:numPr>
          <w:ilvl w:val="0"/>
          <w:numId w:val="0"/>
        </w:numPr>
        <w:spacing w:before="0" w:after="0" w:line="240" w:lineRule="auto"/>
        <w:ind w:firstLine="709"/>
        <w:jc w:val="left"/>
        <w:rPr>
          <w:rFonts w:ascii="Times New Roman" w:hAnsi="Times New Roman"/>
          <w:bCs w:val="0"/>
          <w:color w:val="568D11" w:themeColor="accent3" w:themeShade="80"/>
          <w:sz w:val="28"/>
          <w:szCs w:val="28"/>
          <w:lang w:eastAsia="en-US"/>
        </w:rPr>
      </w:pPr>
      <w:r w:rsidRPr="00C32F32">
        <w:rPr>
          <w:rFonts w:ascii="Times New Roman" w:hAnsi="Times New Roman"/>
          <w:bCs w:val="0"/>
          <w:color w:val="568D11" w:themeColor="accent3" w:themeShade="80"/>
          <w:sz w:val="28"/>
          <w:szCs w:val="28"/>
          <w:lang w:eastAsia="en-US"/>
        </w:rPr>
        <w:t>Оглавление</w:t>
      </w:r>
    </w:p>
    <w:p w14:paraId="7033E934" w14:textId="5F973F14" w:rsidR="00003B69" w:rsidRPr="009E70C6" w:rsidRDefault="00EA6717" w:rsidP="006B3DF7">
      <w:pPr>
        <w:pStyle w:val="12"/>
        <w:tabs>
          <w:tab w:val="left" w:pos="1320"/>
          <w:tab w:val="right" w:leader="dot" w:pos="10480"/>
        </w:tabs>
        <w:rPr>
          <w:noProof/>
        </w:rPr>
      </w:pPr>
      <w:r>
        <w:fldChar w:fldCharType="begin"/>
      </w:r>
      <w:r w:rsidR="001B1CDB">
        <w:instrText xml:space="preserve"> TOC \o "1-3" \h \z \u </w:instrText>
      </w:r>
      <w:r>
        <w:fldChar w:fldCharType="separate"/>
      </w:r>
      <w:hyperlink w:anchor="_Toc162008700" w:history="1">
        <w:r w:rsidR="00003B69" w:rsidRPr="009E70C6">
          <w:rPr>
            <w:noProof/>
          </w:rPr>
          <w:t>1.</w:t>
        </w:r>
        <w:r w:rsidR="00003B69" w:rsidRPr="009E70C6">
          <w:rPr>
            <w:noProof/>
          </w:rPr>
          <w:tab/>
          <w:t>О результатах приоритетных направлений деятельности Министерства финансов за 202</w:t>
        </w:r>
        <w:r w:rsidR="007A1C32">
          <w:rPr>
            <w:noProof/>
          </w:rPr>
          <w:t>5</w:t>
        </w:r>
        <w:r w:rsidR="00003B69" w:rsidRPr="009E70C6">
          <w:rPr>
            <w:noProof/>
          </w:rPr>
          <w:t xml:space="preserve"> год</w:t>
        </w:r>
        <w:r w:rsidR="00003B69">
          <w:rPr>
            <w:noProof/>
            <w:webHidden/>
          </w:rPr>
          <w:tab/>
          <w:t>2</w:t>
        </w:r>
      </w:hyperlink>
    </w:p>
    <w:p w14:paraId="128650A0" w14:textId="121B0804" w:rsidR="00003B69" w:rsidRPr="009E70C6" w:rsidRDefault="008B3339" w:rsidP="006B3DF7">
      <w:pPr>
        <w:pStyle w:val="12"/>
        <w:tabs>
          <w:tab w:val="left" w:pos="1320"/>
          <w:tab w:val="right" w:leader="dot" w:pos="10480"/>
        </w:tabs>
        <w:rPr>
          <w:noProof/>
        </w:rPr>
      </w:pPr>
      <w:hyperlink w:anchor="_Toc162008702" w:history="1">
        <w:r w:rsidR="00003B69" w:rsidRPr="009E70C6">
          <w:rPr>
            <w:noProof/>
          </w:rPr>
          <w:t>2.</w:t>
        </w:r>
        <w:r w:rsidR="00003B69" w:rsidRPr="009E70C6">
          <w:rPr>
            <w:noProof/>
          </w:rPr>
          <w:tab/>
          <w:t>Деятельность Министерства финансов КБР в области составления и исполнения республиканского бюджета</w:t>
        </w:r>
        <w:r w:rsidR="00003B69">
          <w:rPr>
            <w:noProof/>
            <w:webHidden/>
          </w:rPr>
          <w:tab/>
        </w:r>
      </w:hyperlink>
      <w:r w:rsidR="00480521">
        <w:rPr>
          <w:noProof/>
        </w:rPr>
        <w:t>4</w:t>
      </w:r>
    </w:p>
    <w:p w14:paraId="45CFD0C8" w14:textId="796E0EA0" w:rsidR="00003B69" w:rsidRPr="009E70C6" w:rsidRDefault="008B3339" w:rsidP="006B3DF7">
      <w:pPr>
        <w:pStyle w:val="12"/>
        <w:tabs>
          <w:tab w:val="left" w:pos="1320"/>
          <w:tab w:val="right" w:leader="dot" w:pos="10480"/>
        </w:tabs>
        <w:rPr>
          <w:noProof/>
        </w:rPr>
      </w:pPr>
      <w:hyperlink w:anchor="_Toc162008793" w:history="1">
        <w:r w:rsidR="00003B69" w:rsidRPr="009E70C6">
          <w:rPr>
            <w:noProof/>
          </w:rPr>
          <w:t>3.</w:t>
        </w:r>
        <w:r w:rsidR="00003B69" w:rsidRPr="009E70C6">
          <w:rPr>
            <w:noProof/>
          </w:rPr>
          <w:tab/>
          <w:t>Мероприятия по предупреждению влияния изменения геополитической и экономической ситуации на развитие отраслей экономики Кабардино-Балкарской Республики</w:t>
        </w:r>
        <w:r w:rsidR="00003B69">
          <w:rPr>
            <w:noProof/>
            <w:webHidden/>
          </w:rPr>
          <w:tab/>
        </w:r>
        <w:r w:rsidR="00480521">
          <w:rPr>
            <w:noProof/>
            <w:webHidden/>
          </w:rPr>
          <w:t>19</w:t>
        </w:r>
      </w:hyperlink>
    </w:p>
    <w:p w14:paraId="50896D82" w14:textId="47187358" w:rsidR="00003B69" w:rsidRPr="009E70C6" w:rsidRDefault="008B3339" w:rsidP="006B3DF7">
      <w:pPr>
        <w:pStyle w:val="12"/>
        <w:tabs>
          <w:tab w:val="left" w:pos="1320"/>
          <w:tab w:val="right" w:leader="dot" w:pos="10480"/>
        </w:tabs>
        <w:rPr>
          <w:noProof/>
        </w:rPr>
      </w:pPr>
      <w:hyperlink w:anchor="_Toc162008794" w:history="1">
        <w:r w:rsidR="00003B69" w:rsidRPr="009E70C6">
          <w:rPr>
            <w:noProof/>
          </w:rPr>
          <w:t>4.</w:t>
        </w:r>
        <w:r w:rsidR="00003B69" w:rsidRPr="009E70C6">
          <w:rPr>
            <w:noProof/>
          </w:rPr>
          <w:tab/>
          <w:t>Деятельность Министерства финансов КБР в области проведения налоговой политики и политики доходов республиканского бюджета КБР</w:t>
        </w:r>
        <w:r w:rsidR="00003B69">
          <w:rPr>
            <w:noProof/>
            <w:webHidden/>
          </w:rPr>
          <w:tab/>
        </w:r>
        <w:r w:rsidR="009E70C6">
          <w:rPr>
            <w:noProof/>
            <w:webHidden/>
          </w:rPr>
          <w:t>2</w:t>
        </w:r>
      </w:hyperlink>
      <w:r w:rsidR="00480521">
        <w:rPr>
          <w:noProof/>
        </w:rPr>
        <w:t>0</w:t>
      </w:r>
    </w:p>
    <w:p w14:paraId="433B00CC" w14:textId="3EF3ADDE" w:rsidR="00003B69" w:rsidRPr="009E70C6" w:rsidRDefault="008B3339" w:rsidP="006B3DF7">
      <w:pPr>
        <w:pStyle w:val="12"/>
        <w:tabs>
          <w:tab w:val="left" w:pos="1320"/>
          <w:tab w:val="right" w:leader="dot" w:pos="10480"/>
        </w:tabs>
        <w:rPr>
          <w:noProof/>
        </w:rPr>
      </w:pPr>
      <w:hyperlink w:anchor="_Toc162008795" w:history="1">
        <w:r w:rsidR="00003B69" w:rsidRPr="009E70C6">
          <w:rPr>
            <w:noProof/>
          </w:rPr>
          <w:t>5.</w:t>
        </w:r>
        <w:r w:rsidR="00003B69" w:rsidRPr="009E70C6">
          <w:rPr>
            <w:noProof/>
          </w:rPr>
          <w:tab/>
          <w:t>Деятельность Министерства финансов КБР по</w:t>
        </w:r>
      </w:hyperlink>
      <w:hyperlink w:anchor="_Toc162008796" w:history="1">
        <w:r w:rsidR="00003B69" w:rsidRPr="009E70C6">
          <w:rPr>
            <w:noProof/>
          </w:rPr>
          <w:t>нормативно-правовому обеспечению</w:t>
        </w:r>
      </w:hyperlink>
      <w:hyperlink w:anchor="_Toc162008797" w:history="1">
        <w:r w:rsidR="00003B69" w:rsidRPr="009E70C6">
          <w:rPr>
            <w:noProof/>
          </w:rPr>
          <w:t>бюджетного процесса в КБР</w:t>
        </w:r>
        <w:r w:rsidR="00003B69">
          <w:rPr>
            <w:noProof/>
            <w:webHidden/>
          </w:rPr>
          <w:tab/>
        </w:r>
        <w:r w:rsidR="00EA6717">
          <w:rPr>
            <w:noProof/>
            <w:webHidden/>
          </w:rPr>
          <w:fldChar w:fldCharType="begin"/>
        </w:r>
        <w:r w:rsidR="00003B69">
          <w:rPr>
            <w:noProof/>
            <w:webHidden/>
          </w:rPr>
          <w:instrText xml:space="preserve"> PAGEREF _Toc162008797 \h </w:instrText>
        </w:r>
        <w:r w:rsidR="00EA6717">
          <w:rPr>
            <w:noProof/>
            <w:webHidden/>
          </w:rPr>
        </w:r>
        <w:r w:rsidR="00EA6717">
          <w:rPr>
            <w:noProof/>
            <w:webHidden/>
          </w:rPr>
          <w:fldChar w:fldCharType="separate"/>
        </w:r>
        <w:r w:rsidR="000D27DE">
          <w:rPr>
            <w:noProof/>
            <w:webHidden/>
          </w:rPr>
          <w:t>29</w:t>
        </w:r>
        <w:r w:rsidR="00EA6717">
          <w:rPr>
            <w:noProof/>
            <w:webHidden/>
          </w:rPr>
          <w:fldChar w:fldCharType="end"/>
        </w:r>
      </w:hyperlink>
    </w:p>
    <w:p w14:paraId="499A7384" w14:textId="6B8C3CBB" w:rsidR="00003B69" w:rsidRPr="009E70C6" w:rsidRDefault="008B3339" w:rsidP="006B3DF7">
      <w:pPr>
        <w:pStyle w:val="12"/>
        <w:tabs>
          <w:tab w:val="left" w:pos="1320"/>
          <w:tab w:val="right" w:leader="dot" w:pos="10480"/>
        </w:tabs>
        <w:rPr>
          <w:noProof/>
        </w:rPr>
      </w:pPr>
      <w:hyperlink w:anchor="_Toc162008798" w:history="1">
        <w:r w:rsidR="00003B69" w:rsidRPr="009E70C6">
          <w:rPr>
            <w:noProof/>
          </w:rPr>
          <w:t>6.</w:t>
        </w:r>
        <w:r w:rsidR="00003B69" w:rsidRPr="009E70C6">
          <w:rPr>
            <w:noProof/>
          </w:rPr>
          <w:tab/>
          <w:t>Деятельность Министерства финансов КБР по автоматизации бюджетного процесса</w:t>
        </w:r>
        <w:r w:rsidR="009E70C6">
          <w:rPr>
            <w:noProof/>
            <w:webHidden/>
          </w:rPr>
          <w:t>……………………………………………………………………………………..</w:t>
        </w:r>
        <w:r w:rsidR="00EA6717">
          <w:rPr>
            <w:noProof/>
            <w:webHidden/>
          </w:rPr>
          <w:fldChar w:fldCharType="begin"/>
        </w:r>
        <w:r w:rsidR="00003B69">
          <w:rPr>
            <w:noProof/>
            <w:webHidden/>
          </w:rPr>
          <w:instrText xml:space="preserve"> PAGEREF _Toc162008798 \h </w:instrText>
        </w:r>
        <w:r w:rsidR="00EA6717">
          <w:rPr>
            <w:noProof/>
            <w:webHidden/>
          </w:rPr>
        </w:r>
        <w:r w:rsidR="00EA6717">
          <w:rPr>
            <w:noProof/>
            <w:webHidden/>
          </w:rPr>
          <w:fldChar w:fldCharType="separate"/>
        </w:r>
        <w:r w:rsidR="000D27DE">
          <w:rPr>
            <w:noProof/>
            <w:webHidden/>
          </w:rPr>
          <w:t>31</w:t>
        </w:r>
        <w:r w:rsidR="00EA6717">
          <w:rPr>
            <w:noProof/>
            <w:webHidden/>
          </w:rPr>
          <w:fldChar w:fldCharType="end"/>
        </w:r>
      </w:hyperlink>
    </w:p>
    <w:p w14:paraId="454E6DE3" w14:textId="68C5D13D" w:rsidR="00003B69" w:rsidRDefault="008B3339" w:rsidP="006B3DF7">
      <w:pPr>
        <w:pStyle w:val="12"/>
        <w:tabs>
          <w:tab w:val="left" w:pos="1320"/>
          <w:tab w:val="right" w:leader="dot" w:pos="10480"/>
        </w:tabs>
        <w:rPr>
          <w:rFonts w:asciiTheme="minorHAnsi" w:eastAsiaTheme="minorEastAsia" w:hAnsiTheme="minorHAnsi" w:cstheme="minorBidi"/>
          <w:noProof/>
          <w:color w:val="auto"/>
          <w:sz w:val="22"/>
          <w:szCs w:val="22"/>
          <w:lang w:eastAsia="ru-RU"/>
        </w:rPr>
      </w:pPr>
      <w:hyperlink w:anchor="_Toc162008799" w:history="1">
        <w:r w:rsidR="00003B69" w:rsidRPr="009E70C6">
          <w:rPr>
            <w:noProof/>
          </w:rPr>
          <w:t>7.</w:t>
        </w:r>
        <w:r w:rsidR="00003B69" w:rsidRPr="009E70C6">
          <w:rPr>
            <w:noProof/>
          </w:rPr>
          <w:tab/>
          <w:t>Деятельность Министерства финансов КБР по кассовому исполнению республиканского бюджета</w:t>
        </w:r>
        <w:r w:rsidR="00003B69">
          <w:rPr>
            <w:noProof/>
            <w:webHidden/>
          </w:rPr>
          <w:tab/>
        </w:r>
      </w:hyperlink>
      <w:r w:rsidR="00480521">
        <w:rPr>
          <w:noProof/>
        </w:rPr>
        <w:t>39</w:t>
      </w:r>
    </w:p>
    <w:p w14:paraId="6CDA7C9F" w14:textId="4BCEAB46" w:rsidR="00003B69" w:rsidRDefault="008B3339" w:rsidP="006B3DF7">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0" w:history="1">
        <w:r w:rsidR="00003B69" w:rsidRPr="00556E2C">
          <w:rPr>
            <w:rStyle w:val="ae"/>
            <w:noProof/>
          </w:rPr>
          <w:t>8. Деятельность Министерства финансов КБР в сфере бюджетного учета и отчетности организаций государственного сектора</w:t>
        </w:r>
        <w:r w:rsidR="00003B69">
          <w:rPr>
            <w:noProof/>
            <w:webHidden/>
          </w:rPr>
          <w:tab/>
        </w:r>
        <w:r w:rsidR="00EA6717">
          <w:rPr>
            <w:noProof/>
            <w:webHidden/>
          </w:rPr>
          <w:fldChar w:fldCharType="begin"/>
        </w:r>
        <w:r w:rsidR="00003B69">
          <w:rPr>
            <w:noProof/>
            <w:webHidden/>
          </w:rPr>
          <w:instrText xml:space="preserve"> PAGEREF _Toc162008800 \h </w:instrText>
        </w:r>
        <w:r w:rsidR="00EA6717">
          <w:rPr>
            <w:noProof/>
            <w:webHidden/>
          </w:rPr>
        </w:r>
        <w:r w:rsidR="00EA6717">
          <w:rPr>
            <w:noProof/>
            <w:webHidden/>
          </w:rPr>
          <w:fldChar w:fldCharType="separate"/>
        </w:r>
        <w:r w:rsidR="000D27DE">
          <w:rPr>
            <w:noProof/>
            <w:webHidden/>
          </w:rPr>
          <w:t>41</w:t>
        </w:r>
        <w:r w:rsidR="00EA6717">
          <w:rPr>
            <w:noProof/>
            <w:webHidden/>
          </w:rPr>
          <w:fldChar w:fldCharType="end"/>
        </w:r>
      </w:hyperlink>
    </w:p>
    <w:p w14:paraId="14EBD3D4" w14:textId="64F590C0" w:rsidR="00003B69" w:rsidRDefault="008B3339" w:rsidP="006B3DF7">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1" w:history="1">
        <w:r w:rsidR="00003B69" w:rsidRPr="00556E2C">
          <w:rPr>
            <w:rStyle w:val="ae"/>
            <w:noProof/>
          </w:rPr>
          <w:t>9. Деятельность Министерства финансов КБР в правовой сфере и в сфере государственного финансового контроля</w:t>
        </w:r>
        <w:r w:rsidR="00003B69">
          <w:rPr>
            <w:noProof/>
            <w:webHidden/>
          </w:rPr>
          <w:tab/>
        </w:r>
        <w:r w:rsidR="009E70C6">
          <w:rPr>
            <w:noProof/>
            <w:webHidden/>
          </w:rPr>
          <w:t>4</w:t>
        </w:r>
      </w:hyperlink>
      <w:r w:rsidR="00480521">
        <w:rPr>
          <w:noProof/>
        </w:rPr>
        <w:t>4</w:t>
      </w:r>
    </w:p>
    <w:p w14:paraId="362A2D6E" w14:textId="7873BFA9" w:rsidR="00003B69" w:rsidRDefault="008B3339" w:rsidP="006B3DF7">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2" w:history="1">
        <w:r w:rsidR="00003B69" w:rsidRPr="00556E2C">
          <w:rPr>
            <w:rStyle w:val="ae"/>
            <w:noProof/>
          </w:rPr>
          <w:t>10. Деятельность Министерства финансов КБР в сфере профилактики антикоррупционных нарушений</w:t>
        </w:r>
        <w:r w:rsidR="00003B69">
          <w:rPr>
            <w:noProof/>
            <w:webHidden/>
          </w:rPr>
          <w:tab/>
        </w:r>
        <w:r w:rsidR="009E70C6">
          <w:rPr>
            <w:noProof/>
            <w:webHidden/>
          </w:rPr>
          <w:t>4</w:t>
        </w:r>
      </w:hyperlink>
      <w:r w:rsidR="00480521">
        <w:rPr>
          <w:noProof/>
        </w:rPr>
        <w:t>5</w:t>
      </w:r>
    </w:p>
    <w:p w14:paraId="0B1D9E65" w14:textId="008CC318" w:rsidR="00003B69" w:rsidRDefault="008B3339" w:rsidP="006B3DF7">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3" w:history="1">
        <w:r w:rsidR="00003B69" w:rsidRPr="00556E2C">
          <w:rPr>
            <w:rStyle w:val="ae"/>
            <w:noProof/>
          </w:rPr>
          <w:t>11. Деятельность Общественного совета при Министерстве финансов КБР</w:t>
        </w:r>
        <w:r w:rsidR="00003B69">
          <w:rPr>
            <w:noProof/>
            <w:webHidden/>
          </w:rPr>
          <w:tab/>
        </w:r>
      </w:hyperlink>
      <w:r w:rsidR="00480521">
        <w:rPr>
          <w:noProof/>
        </w:rPr>
        <w:t>49</w:t>
      </w:r>
    </w:p>
    <w:p w14:paraId="0A523C78" w14:textId="2009B290" w:rsidR="00003B69" w:rsidRDefault="008B3339" w:rsidP="006B3DF7">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4" w:history="1">
        <w:r w:rsidR="00003B69" w:rsidRPr="00556E2C">
          <w:rPr>
            <w:rStyle w:val="ae"/>
            <w:noProof/>
          </w:rPr>
          <w:t>12. Деятельность Министерства финансов КБР по реализации государственной программы</w:t>
        </w:r>
        <w:r w:rsidR="00003B69">
          <w:rPr>
            <w:noProof/>
            <w:webHidden/>
          </w:rPr>
          <w:tab/>
        </w:r>
      </w:hyperlink>
      <w:r w:rsidR="00923A8C">
        <w:rPr>
          <w:noProof/>
        </w:rPr>
        <w:t>5</w:t>
      </w:r>
      <w:r w:rsidR="002B3ABF">
        <w:rPr>
          <w:noProof/>
        </w:rPr>
        <w:t>0</w:t>
      </w:r>
    </w:p>
    <w:p w14:paraId="0FE68EC7" w14:textId="18C83DB0" w:rsidR="00003B69" w:rsidRDefault="008B3339" w:rsidP="006B3DF7">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5" w:history="1">
        <w:r w:rsidR="00003B69" w:rsidRPr="00556E2C">
          <w:rPr>
            <w:rStyle w:val="ae"/>
            <w:noProof/>
          </w:rPr>
          <w:t>13. Межбюджетные отношения.</w:t>
        </w:r>
      </w:hyperlink>
      <w:hyperlink w:anchor="_Toc162008806" w:history="1">
        <w:r w:rsidR="00003B69" w:rsidRPr="00556E2C">
          <w:rPr>
            <w:rStyle w:val="ae"/>
            <w:noProof/>
          </w:rPr>
          <w:t xml:space="preserve">Государственная поддержка местных </w:t>
        </w:r>
        <w:r w:rsidR="009E70C6">
          <w:rPr>
            <w:rStyle w:val="ae"/>
            <w:noProof/>
          </w:rPr>
          <w:br/>
        </w:r>
        <w:r w:rsidR="00003B69" w:rsidRPr="00556E2C">
          <w:rPr>
            <w:rStyle w:val="ae"/>
            <w:noProof/>
          </w:rPr>
          <w:t>бюджетов</w:t>
        </w:r>
        <w:r w:rsidR="00003B69">
          <w:rPr>
            <w:noProof/>
            <w:webHidden/>
          </w:rPr>
          <w:tab/>
        </w:r>
        <w:r w:rsidR="00EA6717">
          <w:rPr>
            <w:noProof/>
            <w:webHidden/>
          </w:rPr>
          <w:fldChar w:fldCharType="begin"/>
        </w:r>
        <w:r w:rsidR="00003B69">
          <w:rPr>
            <w:noProof/>
            <w:webHidden/>
          </w:rPr>
          <w:instrText xml:space="preserve"> PAGEREF _Toc162008806 \h </w:instrText>
        </w:r>
        <w:r w:rsidR="00EA6717">
          <w:rPr>
            <w:noProof/>
            <w:webHidden/>
          </w:rPr>
        </w:r>
        <w:r w:rsidR="00EA6717">
          <w:rPr>
            <w:noProof/>
            <w:webHidden/>
          </w:rPr>
          <w:fldChar w:fldCharType="separate"/>
        </w:r>
        <w:r w:rsidR="000D27DE">
          <w:rPr>
            <w:noProof/>
            <w:webHidden/>
          </w:rPr>
          <w:t>54</w:t>
        </w:r>
        <w:r w:rsidR="00EA6717">
          <w:rPr>
            <w:noProof/>
            <w:webHidden/>
          </w:rPr>
          <w:fldChar w:fldCharType="end"/>
        </w:r>
      </w:hyperlink>
    </w:p>
    <w:p w14:paraId="1B003133" w14:textId="15136125" w:rsidR="00003B69" w:rsidRDefault="008B3339" w:rsidP="006B3DF7">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7" w:history="1">
        <w:r w:rsidR="00003B69" w:rsidRPr="00556E2C">
          <w:rPr>
            <w:rStyle w:val="ae"/>
            <w:noProof/>
          </w:rPr>
          <w:t>14. Основные задачи Министерства финансов КБР на 202</w:t>
        </w:r>
        <w:r w:rsidR="00542B65">
          <w:rPr>
            <w:rStyle w:val="ae"/>
            <w:noProof/>
          </w:rPr>
          <w:t>6</w:t>
        </w:r>
        <w:r w:rsidR="00003B69" w:rsidRPr="00556E2C">
          <w:rPr>
            <w:rStyle w:val="ae"/>
            <w:noProof/>
          </w:rPr>
          <w:t xml:space="preserve"> год</w:t>
        </w:r>
        <w:r w:rsidR="00003B69">
          <w:rPr>
            <w:noProof/>
            <w:webHidden/>
          </w:rPr>
          <w:tab/>
        </w:r>
        <w:r w:rsidR="00EA6717">
          <w:rPr>
            <w:noProof/>
            <w:webHidden/>
          </w:rPr>
          <w:fldChar w:fldCharType="begin"/>
        </w:r>
        <w:r w:rsidR="00003B69">
          <w:rPr>
            <w:noProof/>
            <w:webHidden/>
          </w:rPr>
          <w:instrText xml:space="preserve"> PAGEREF _Toc162008807 \h </w:instrText>
        </w:r>
        <w:r w:rsidR="00EA6717">
          <w:rPr>
            <w:noProof/>
            <w:webHidden/>
          </w:rPr>
        </w:r>
        <w:r w:rsidR="00EA6717">
          <w:rPr>
            <w:noProof/>
            <w:webHidden/>
          </w:rPr>
          <w:fldChar w:fldCharType="separate"/>
        </w:r>
        <w:r w:rsidR="000D27DE">
          <w:rPr>
            <w:noProof/>
            <w:webHidden/>
          </w:rPr>
          <w:t>57</w:t>
        </w:r>
        <w:r w:rsidR="00EA6717">
          <w:rPr>
            <w:noProof/>
            <w:webHidden/>
          </w:rPr>
          <w:fldChar w:fldCharType="end"/>
        </w:r>
      </w:hyperlink>
    </w:p>
    <w:p w14:paraId="716C4140" w14:textId="77777777" w:rsidR="00040E96" w:rsidRDefault="00EA6717" w:rsidP="006B3DF7">
      <w:r>
        <w:fldChar w:fldCharType="end"/>
      </w:r>
    </w:p>
    <w:p w14:paraId="61101847" w14:textId="77777777" w:rsidR="00D5167C" w:rsidRDefault="00D5167C" w:rsidP="006B3DF7">
      <w:pPr>
        <w:pStyle w:val="af2"/>
        <w:ind w:firstLine="709"/>
        <w:jc w:val="center"/>
        <w:rPr>
          <w:rFonts w:ascii="Times New Roman" w:hAnsi="Times New Roman"/>
          <w:b/>
          <w:caps/>
          <w:color w:val="821908" w:themeColor="accent6" w:themeShade="80"/>
          <w:sz w:val="24"/>
          <w:szCs w:val="24"/>
        </w:rPr>
      </w:pPr>
    </w:p>
    <w:p w14:paraId="41804884" w14:textId="77777777" w:rsidR="00D5167C" w:rsidRDefault="00D5167C" w:rsidP="006B3DF7">
      <w:pPr>
        <w:pStyle w:val="af2"/>
        <w:ind w:firstLine="709"/>
        <w:jc w:val="center"/>
        <w:rPr>
          <w:rFonts w:ascii="Times New Roman" w:hAnsi="Times New Roman"/>
          <w:b/>
          <w:caps/>
          <w:color w:val="821908" w:themeColor="accent6" w:themeShade="80"/>
          <w:sz w:val="24"/>
          <w:szCs w:val="24"/>
        </w:rPr>
      </w:pPr>
    </w:p>
    <w:p w14:paraId="716AB8EE" w14:textId="77777777" w:rsidR="00D8213D" w:rsidRDefault="00D8213D" w:rsidP="006B3DF7">
      <w:pPr>
        <w:pStyle w:val="af2"/>
        <w:ind w:firstLine="709"/>
        <w:jc w:val="center"/>
        <w:rPr>
          <w:rFonts w:ascii="Times New Roman" w:hAnsi="Times New Roman"/>
          <w:b/>
          <w:caps/>
          <w:color w:val="821908" w:themeColor="accent6" w:themeShade="80"/>
          <w:sz w:val="24"/>
          <w:szCs w:val="24"/>
        </w:rPr>
      </w:pPr>
    </w:p>
    <w:p w14:paraId="26457F85" w14:textId="77777777" w:rsidR="00717083" w:rsidRDefault="00717083" w:rsidP="006B3DF7">
      <w:pPr>
        <w:widowControl/>
        <w:tabs>
          <w:tab w:val="right" w:pos="10490"/>
        </w:tabs>
        <w:jc w:val="right"/>
        <w:rPr>
          <w:b/>
          <w:caps/>
          <w:color w:val="821908" w:themeColor="accent6" w:themeShade="80"/>
          <w:sz w:val="24"/>
          <w:szCs w:val="24"/>
        </w:rPr>
      </w:pPr>
    </w:p>
    <w:p w14:paraId="5339CAEF" w14:textId="77777777" w:rsidR="00A43F70" w:rsidRDefault="00A43F70" w:rsidP="006B3DF7">
      <w:pPr>
        <w:widowControl/>
        <w:tabs>
          <w:tab w:val="right" w:pos="10490"/>
        </w:tabs>
        <w:jc w:val="left"/>
        <w:rPr>
          <w:sz w:val="24"/>
          <w:szCs w:val="24"/>
        </w:rPr>
      </w:pPr>
    </w:p>
    <w:p w14:paraId="6B2B26D0" w14:textId="77777777" w:rsidR="00A43F70" w:rsidRPr="00A43F70" w:rsidRDefault="00A43F70" w:rsidP="006B3DF7">
      <w:pPr>
        <w:rPr>
          <w:sz w:val="24"/>
          <w:szCs w:val="24"/>
        </w:rPr>
      </w:pPr>
    </w:p>
    <w:p w14:paraId="717CDA4B" w14:textId="77777777" w:rsidR="00A43F70" w:rsidRPr="00A43F70" w:rsidRDefault="00A43F70" w:rsidP="006B3DF7">
      <w:pPr>
        <w:rPr>
          <w:sz w:val="24"/>
          <w:szCs w:val="24"/>
        </w:rPr>
      </w:pPr>
    </w:p>
    <w:p w14:paraId="5DCF5C44" w14:textId="77777777" w:rsidR="00A43F70" w:rsidRPr="00A43F70" w:rsidRDefault="00A43F70" w:rsidP="006B3DF7">
      <w:pPr>
        <w:rPr>
          <w:sz w:val="24"/>
          <w:szCs w:val="24"/>
        </w:rPr>
      </w:pPr>
    </w:p>
    <w:p w14:paraId="771381A1" w14:textId="77777777" w:rsidR="00A43F70" w:rsidRPr="00A43F70" w:rsidRDefault="00A43F70" w:rsidP="006B3DF7">
      <w:pPr>
        <w:rPr>
          <w:sz w:val="24"/>
          <w:szCs w:val="24"/>
        </w:rPr>
      </w:pPr>
    </w:p>
    <w:p w14:paraId="4260F107" w14:textId="77777777" w:rsidR="00A43F70" w:rsidRDefault="00A43F70" w:rsidP="006B3DF7">
      <w:pPr>
        <w:widowControl/>
        <w:tabs>
          <w:tab w:val="left" w:pos="1490"/>
        </w:tabs>
        <w:jc w:val="left"/>
        <w:rPr>
          <w:sz w:val="24"/>
          <w:szCs w:val="24"/>
        </w:rPr>
      </w:pPr>
      <w:r>
        <w:rPr>
          <w:sz w:val="24"/>
          <w:szCs w:val="24"/>
        </w:rPr>
        <w:tab/>
      </w:r>
    </w:p>
    <w:p w14:paraId="1C0B76FB" w14:textId="77777777" w:rsidR="00A43F70" w:rsidRDefault="00A43F70" w:rsidP="006B3DF7">
      <w:pPr>
        <w:widowControl/>
        <w:tabs>
          <w:tab w:val="right" w:pos="10490"/>
        </w:tabs>
        <w:jc w:val="left"/>
        <w:rPr>
          <w:sz w:val="24"/>
          <w:szCs w:val="24"/>
        </w:rPr>
      </w:pPr>
    </w:p>
    <w:p w14:paraId="7EE04210" w14:textId="77777777" w:rsidR="001B1CDB" w:rsidRDefault="001B1CDB" w:rsidP="006B3DF7">
      <w:pPr>
        <w:widowControl/>
        <w:tabs>
          <w:tab w:val="left" w:pos="6210"/>
        </w:tabs>
        <w:jc w:val="left"/>
        <w:rPr>
          <w:sz w:val="24"/>
          <w:szCs w:val="24"/>
        </w:rPr>
      </w:pPr>
    </w:p>
    <w:p w14:paraId="7C535991" w14:textId="3F35B3D1" w:rsidR="009E70C6" w:rsidRDefault="009E70C6" w:rsidP="006B3DF7">
      <w:pPr>
        <w:widowControl/>
        <w:tabs>
          <w:tab w:val="left" w:pos="6210"/>
        </w:tabs>
        <w:jc w:val="left"/>
        <w:rPr>
          <w:sz w:val="24"/>
          <w:szCs w:val="24"/>
        </w:rPr>
      </w:pPr>
    </w:p>
    <w:p w14:paraId="0A402BCD" w14:textId="73697388" w:rsidR="00A77BA1" w:rsidRDefault="00A77BA1" w:rsidP="006B3DF7">
      <w:pPr>
        <w:widowControl/>
        <w:tabs>
          <w:tab w:val="left" w:pos="6210"/>
        </w:tabs>
        <w:jc w:val="left"/>
        <w:rPr>
          <w:sz w:val="24"/>
          <w:szCs w:val="24"/>
        </w:rPr>
      </w:pPr>
    </w:p>
    <w:p w14:paraId="2F821009" w14:textId="061A9405" w:rsidR="00A77BA1" w:rsidRDefault="00A77BA1" w:rsidP="006B3DF7">
      <w:pPr>
        <w:widowControl/>
        <w:tabs>
          <w:tab w:val="left" w:pos="6210"/>
        </w:tabs>
        <w:jc w:val="left"/>
        <w:rPr>
          <w:sz w:val="24"/>
          <w:szCs w:val="24"/>
        </w:rPr>
      </w:pPr>
    </w:p>
    <w:p w14:paraId="44AD2C21" w14:textId="77777777" w:rsidR="00A77BA1" w:rsidRDefault="00A77BA1" w:rsidP="006B3DF7">
      <w:pPr>
        <w:widowControl/>
        <w:tabs>
          <w:tab w:val="left" w:pos="6210"/>
        </w:tabs>
        <w:jc w:val="left"/>
        <w:rPr>
          <w:sz w:val="24"/>
          <w:szCs w:val="24"/>
        </w:rPr>
      </w:pPr>
    </w:p>
    <w:p w14:paraId="24A01653" w14:textId="77777777" w:rsidR="00D04A66" w:rsidRDefault="002064F9" w:rsidP="006B3DF7">
      <w:pPr>
        <w:pStyle w:val="24"/>
        <w:spacing w:before="0" w:after="0"/>
        <w:ind w:left="0" w:firstLine="709"/>
        <w:rPr>
          <w:color w:val="568D11" w:themeColor="accent3" w:themeShade="80"/>
        </w:rPr>
      </w:pPr>
      <w:bookmarkStart w:id="0" w:name="_Toc131085632"/>
      <w:bookmarkStart w:id="1" w:name="_Toc162008700"/>
      <w:r w:rsidRPr="001B1CDB">
        <w:rPr>
          <w:color w:val="568D11" w:themeColor="accent3" w:themeShade="80"/>
        </w:rPr>
        <w:lastRenderedPageBreak/>
        <w:t>О результатах приоритетных направлений деятельности Министерства финансов за 202</w:t>
      </w:r>
      <w:r w:rsidR="00C014DC">
        <w:rPr>
          <w:color w:val="568D11" w:themeColor="accent3" w:themeShade="80"/>
        </w:rPr>
        <w:t>5</w:t>
      </w:r>
      <w:r w:rsidRPr="001B1CDB">
        <w:rPr>
          <w:color w:val="568D11" w:themeColor="accent3" w:themeShade="80"/>
        </w:rPr>
        <w:t xml:space="preserve"> год</w:t>
      </w:r>
      <w:bookmarkEnd w:id="0"/>
      <w:bookmarkEnd w:id="1"/>
    </w:p>
    <w:p w14:paraId="0CC39401" w14:textId="77777777" w:rsidR="008015A2" w:rsidRPr="00806624" w:rsidRDefault="008015A2" w:rsidP="006B3DF7">
      <w:pPr>
        <w:pStyle w:val="24"/>
        <w:numPr>
          <w:ilvl w:val="0"/>
          <w:numId w:val="0"/>
        </w:numPr>
        <w:spacing w:before="0" w:after="0"/>
        <w:ind w:firstLine="709"/>
        <w:jc w:val="both"/>
      </w:pPr>
    </w:p>
    <w:p w14:paraId="4611AE53" w14:textId="6A414541" w:rsidR="00EF3EF0" w:rsidRPr="00A77BA1" w:rsidRDefault="00BA22AE" w:rsidP="006B3DF7">
      <w:r w:rsidRPr="00BA22AE">
        <w:t>В 2025 году Министерство финансов Кабардино-Балкарской Республики</w:t>
      </w:r>
      <w:r w:rsidR="006C4B50">
        <w:t xml:space="preserve"> </w:t>
      </w:r>
      <w:r w:rsidR="006C4B50" w:rsidRPr="00A77BA1">
        <w:rPr>
          <w:rFonts w:eastAsia="Calibri"/>
        </w:rPr>
        <w:t>(далее – Министерство)</w:t>
      </w:r>
      <w:r w:rsidRPr="00A77BA1">
        <w:t xml:space="preserve"> сосредоточило усилия на следующих приоритетах</w:t>
      </w:r>
      <w:r w:rsidR="00EF3EF0" w:rsidRPr="00A77BA1">
        <w:t>:</w:t>
      </w:r>
    </w:p>
    <w:p w14:paraId="2F597654" w14:textId="77777777" w:rsidR="00955AD4" w:rsidRPr="00BA22AE" w:rsidRDefault="009709C3" w:rsidP="006B3DF7">
      <w:pPr>
        <w:numPr>
          <w:ilvl w:val="0"/>
          <w:numId w:val="6"/>
        </w:numPr>
        <w:ind w:left="0" w:firstLine="709"/>
        <w:contextualSpacing/>
      </w:pPr>
      <w:r w:rsidRPr="00BA22AE">
        <w:rPr>
          <w:rFonts w:eastAsia="Calibri"/>
        </w:rPr>
        <w:t xml:space="preserve">выработка и реализация ответственной бюджетной политики, обеспечивающей сбалансированность и устойчивость бюджетной системы </w:t>
      </w:r>
      <w:r w:rsidR="00955AD4" w:rsidRPr="00BA22AE">
        <w:rPr>
          <w:rFonts w:eastAsia="Calibri"/>
        </w:rPr>
        <w:t xml:space="preserve">в условиях внешнего </w:t>
      </w:r>
      <w:proofErr w:type="spellStart"/>
      <w:r w:rsidR="00955AD4" w:rsidRPr="00BA22AE">
        <w:rPr>
          <w:rFonts w:eastAsia="Calibri"/>
        </w:rPr>
        <w:t>санкционного</w:t>
      </w:r>
      <w:proofErr w:type="spellEnd"/>
      <w:r w:rsidR="00955AD4" w:rsidRPr="00BA22AE">
        <w:rPr>
          <w:rFonts w:eastAsia="Calibri"/>
        </w:rPr>
        <w:t xml:space="preserve"> давления, оказывающего влияние на развитие отраслей экономики и финансового сектора;</w:t>
      </w:r>
    </w:p>
    <w:p w14:paraId="161D35A2" w14:textId="77777777" w:rsidR="00EF3EF0" w:rsidRPr="00BA22AE" w:rsidRDefault="00EF3EF0" w:rsidP="006B3DF7">
      <w:pPr>
        <w:pStyle w:val="1"/>
        <w:numPr>
          <w:ilvl w:val="0"/>
          <w:numId w:val="7"/>
        </w:numPr>
        <w:spacing w:before="0" w:after="0"/>
        <w:ind w:left="0" w:firstLine="709"/>
      </w:pPr>
      <w:r w:rsidRPr="00BA22AE">
        <w:t>повышение эффективности бюджетных расходов;</w:t>
      </w:r>
    </w:p>
    <w:p w14:paraId="799F3568" w14:textId="77777777" w:rsidR="00EF3EF0" w:rsidRPr="00BA22AE" w:rsidRDefault="00EF3EF0" w:rsidP="006B3DF7">
      <w:pPr>
        <w:pStyle w:val="1"/>
        <w:numPr>
          <w:ilvl w:val="0"/>
          <w:numId w:val="7"/>
        </w:numPr>
        <w:spacing w:before="0" w:after="0"/>
        <w:ind w:left="0" w:firstLine="709"/>
      </w:pPr>
      <w:r w:rsidRPr="00BA22AE">
        <w:t>эффективное управление государственным долгом;</w:t>
      </w:r>
    </w:p>
    <w:p w14:paraId="6BD0C167" w14:textId="77777777" w:rsidR="00EF3EF0" w:rsidRPr="00BA22AE" w:rsidRDefault="00EF3EF0" w:rsidP="006B3DF7">
      <w:pPr>
        <w:pStyle w:val="1"/>
        <w:numPr>
          <w:ilvl w:val="0"/>
          <w:numId w:val="7"/>
        </w:numPr>
        <w:spacing w:before="0" w:after="0"/>
        <w:ind w:left="0" w:firstLine="709"/>
      </w:pPr>
      <w:r w:rsidRPr="00BA22AE">
        <w:t>совершенствование системы межбюджетных отношений;</w:t>
      </w:r>
    </w:p>
    <w:p w14:paraId="4298788A" w14:textId="77777777" w:rsidR="00EF3EF0" w:rsidRPr="00BA22AE" w:rsidRDefault="00EF3EF0" w:rsidP="006B3DF7">
      <w:pPr>
        <w:pStyle w:val="1"/>
        <w:numPr>
          <w:ilvl w:val="0"/>
          <w:numId w:val="7"/>
        </w:numPr>
        <w:spacing w:before="0" w:after="0"/>
        <w:ind w:left="0" w:firstLine="709"/>
      </w:pPr>
      <w:r w:rsidRPr="00BA22AE">
        <w:t>обеспечение контроля за соблюдением бюджетного законодательства;</w:t>
      </w:r>
    </w:p>
    <w:p w14:paraId="6E55242A" w14:textId="77777777" w:rsidR="00EF3EF0" w:rsidRPr="00BA22AE" w:rsidRDefault="00EF3EF0" w:rsidP="006B3DF7">
      <w:pPr>
        <w:pStyle w:val="1"/>
        <w:numPr>
          <w:ilvl w:val="0"/>
          <w:numId w:val="7"/>
        </w:numPr>
        <w:spacing w:before="0" w:after="0"/>
        <w:ind w:left="0" w:firstLine="709"/>
      </w:pPr>
      <w:r w:rsidRPr="00BA22AE">
        <w:t>обеспечение открытости и прозрачности управления общественными финансами.</w:t>
      </w:r>
    </w:p>
    <w:p w14:paraId="6487A4D1" w14:textId="77777777" w:rsidR="00594ED2" w:rsidRDefault="00594ED2" w:rsidP="006B3DF7">
      <w:pPr>
        <w:pStyle w:val="1"/>
        <w:numPr>
          <w:ilvl w:val="0"/>
          <w:numId w:val="0"/>
        </w:numPr>
        <w:spacing w:before="0" w:after="0"/>
        <w:ind w:firstLine="709"/>
      </w:pPr>
      <w:r w:rsidRPr="00594ED2">
        <w:t>В соответствии с государственной программой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 мая 2016 года № 445, показатель доли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 в 2025 году в расходах консолидированного бюджета Кабардино-Балкарской Республики не должен превышать 0,02 %. Данное условие выполняется.</w:t>
      </w:r>
    </w:p>
    <w:p w14:paraId="0097DF6F" w14:textId="19FEF19C" w:rsidR="007B6763" w:rsidRPr="00541B3C" w:rsidRDefault="007B6763" w:rsidP="006B3DF7">
      <w:pPr>
        <w:pStyle w:val="1"/>
        <w:numPr>
          <w:ilvl w:val="0"/>
          <w:numId w:val="0"/>
        </w:numPr>
        <w:spacing w:before="0" w:after="0"/>
        <w:ind w:firstLine="709"/>
      </w:pPr>
      <w:r w:rsidRPr="00541B3C">
        <w:t xml:space="preserve">Кроме того, Правительством Кабардино-Балкарской Республики обеспечивается сдерживание роста расходов на содержание органов государственной власти КБР. По итогам 2025 года фактические расходы на содержание органов государственной власти КБР составили </w:t>
      </w:r>
      <w:r w:rsidR="003F61C3">
        <w:t>8,4</w:t>
      </w:r>
      <w:r w:rsidRPr="00541B3C">
        <w:t xml:space="preserve"> % от общей суммы налоговых и неналоговых доходов консолидированного бюджета КБР, </w:t>
      </w:r>
      <w:r w:rsidR="003F61C3">
        <w:t xml:space="preserve">что соответствует </w:t>
      </w:r>
      <w:r w:rsidRPr="00541B3C">
        <w:t>утвержденном</w:t>
      </w:r>
      <w:r w:rsidR="003F61C3">
        <w:t>у</w:t>
      </w:r>
      <w:r w:rsidRPr="00541B3C">
        <w:t xml:space="preserve"> норматив</w:t>
      </w:r>
      <w:r w:rsidR="003F61C3">
        <w:t>у</w:t>
      </w:r>
      <w:r w:rsidRPr="00541B3C">
        <w:t xml:space="preserve"> (распоряжение Правительства РФ</w:t>
      </w:r>
      <w:r w:rsidR="006842E2">
        <w:t xml:space="preserve"> </w:t>
      </w:r>
      <w:r w:rsidRPr="00541B3C">
        <w:t xml:space="preserve">от 11 декабря 2024 года № 3684-р). </w:t>
      </w:r>
    </w:p>
    <w:p w14:paraId="5D63647D" w14:textId="3458A4EC" w:rsidR="007B6763" w:rsidRDefault="007B6763" w:rsidP="006B3DF7">
      <w:pPr>
        <w:pStyle w:val="1"/>
        <w:numPr>
          <w:ilvl w:val="0"/>
          <w:numId w:val="0"/>
        </w:numPr>
        <w:spacing w:before="0" w:after="0"/>
        <w:ind w:firstLine="709"/>
      </w:pPr>
      <w:r w:rsidRPr="005803F5">
        <w:t xml:space="preserve">По итогам 2025 года бюджетный эффект от выполнения мероприятий Программы оздоровления государственных финансов (оптимизации расходов) Кабардино-Балкарской Республики на 2018 - 2026 годы при прогнозном значении </w:t>
      </w:r>
      <w:r w:rsidR="006B3DF7">
        <w:br/>
      </w:r>
      <w:r w:rsidRPr="005803F5">
        <w:t xml:space="preserve">251 160,2 тыс. рублей составил 5 499 400,5 тыс. </w:t>
      </w:r>
      <w:r w:rsidRPr="006574AC">
        <w:t>рублей (в 22 раза больше установленных целевых показателей), в том числе по росту доходного</w:t>
      </w:r>
      <w:r w:rsidR="006842E2">
        <w:t xml:space="preserve"> </w:t>
      </w:r>
      <w:r w:rsidRPr="006574AC">
        <w:t xml:space="preserve">потенциала – </w:t>
      </w:r>
      <w:r w:rsidR="001836C3">
        <w:br/>
      </w:r>
      <w:r w:rsidRPr="006574AC">
        <w:t xml:space="preserve">5 229 796,3 тыс. рублей (в 66,5 раз больше), по оптимизации расходов – </w:t>
      </w:r>
      <w:r w:rsidR="001836C3">
        <w:br/>
      </w:r>
      <w:r w:rsidRPr="006574AC">
        <w:t>269 604,3</w:t>
      </w:r>
      <w:r w:rsidR="001836C3">
        <w:t xml:space="preserve"> </w:t>
      </w:r>
      <w:r w:rsidRPr="006574AC">
        <w:t>тыс. рублей (в 1,6 раза).</w:t>
      </w:r>
    </w:p>
    <w:p w14:paraId="4912EDF8" w14:textId="4FA596BD" w:rsidR="000A2162" w:rsidRPr="00BA22AE" w:rsidRDefault="00115041" w:rsidP="006B3DF7">
      <w:pPr>
        <w:autoSpaceDE w:val="0"/>
        <w:autoSpaceDN w:val="0"/>
        <w:adjustRightInd w:val="0"/>
        <w:rPr>
          <w:rFonts w:eastAsiaTheme="minorHAnsi"/>
        </w:rPr>
      </w:pPr>
      <w:r w:rsidRPr="00246F87">
        <w:t>В 202</w:t>
      </w:r>
      <w:r w:rsidR="00BA22AE" w:rsidRPr="00246F87">
        <w:t>5</w:t>
      </w:r>
      <w:r w:rsidRPr="00246F87">
        <w:t xml:space="preserve"> году Министерством финансов</w:t>
      </w:r>
      <w:r w:rsidR="00246F87" w:rsidRPr="00246F87">
        <w:t xml:space="preserve"> </w:t>
      </w:r>
      <w:r w:rsidR="00F47CE4" w:rsidRPr="00246F87">
        <w:t>К</w:t>
      </w:r>
      <w:r w:rsidRPr="00246F87">
        <w:t>аба</w:t>
      </w:r>
      <w:r w:rsidRPr="00BA22AE">
        <w:t>рдино-Балкарской Республики</w:t>
      </w:r>
      <w:r w:rsidR="00F47CE4" w:rsidRPr="00BA22AE">
        <w:t xml:space="preserve"> проведен мониторинг качества финансового менеджмента, </w:t>
      </w:r>
      <w:r w:rsidR="003F61C3" w:rsidRPr="003F61C3">
        <w:rPr>
          <w:rFonts w:eastAsiaTheme="minorHAnsi"/>
        </w:rPr>
        <w:t>осуществляемого главными распорядителями средств республиканского бюджета Кабардино-Балкарской Республики и главными администраторами доходов республиканского бюджета Кабардино-Балкарской Республики</w:t>
      </w:r>
      <w:r w:rsidR="000A2162" w:rsidRPr="00BA22AE">
        <w:t xml:space="preserve"> (далее – ГРБС)</w:t>
      </w:r>
      <w:r w:rsidR="00F47CE4" w:rsidRPr="00BA22AE">
        <w:rPr>
          <w:rFonts w:eastAsiaTheme="minorHAnsi"/>
        </w:rPr>
        <w:t xml:space="preserve"> за 202</w:t>
      </w:r>
      <w:r w:rsidR="00BA22AE" w:rsidRPr="00BA22AE">
        <w:rPr>
          <w:rFonts w:eastAsiaTheme="minorHAnsi"/>
        </w:rPr>
        <w:t>4</w:t>
      </w:r>
      <w:r w:rsidR="00F47CE4" w:rsidRPr="00BA22AE">
        <w:rPr>
          <w:rFonts w:eastAsiaTheme="minorHAnsi"/>
        </w:rPr>
        <w:t xml:space="preserve"> год.</w:t>
      </w:r>
      <w:r w:rsidR="00E4713B" w:rsidRPr="00BA22AE">
        <w:rPr>
          <w:rFonts w:eastAsiaTheme="minorHAnsi"/>
        </w:rPr>
        <w:t xml:space="preserve"> По результатам проведенного мониторинга </w:t>
      </w:r>
      <w:r w:rsidR="000A2162" w:rsidRPr="00BA22AE">
        <w:rPr>
          <w:rFonts w:eastAsiaTheme="minorHAnsi"/>
        </w:rPr>
        <w:t>места распределились следующим образом:</w:t>
      </w:r>
    </w:p>
    <w:p w14:paraId="7640313C" w14:textId="77777777" w:rsidR="000A2162" w:rsidRPr="00BA22AE" w:rsidRDefault="000A2162" w:rsidP="006B3DF7">
      <w:pPr>
        <w:autoSpaceDE w:val="0"/>
        <w:autoSpaceDN w:val="0"/>
        <w:adjustRightInd w:val="0"/>
      </w:pPr>
      <w:r w:rsidRPr="00BA22AE">
        <w:t xml:space="preserve">I группа (высокая степень достижения результата) – </w:t>
      </w:r>
      <w:r w:rsidR="00BA22AE" w:rsidRPr="00BA22AE">
        <w:t>6</w:t>
      </w:r>
      <w:r w:rsidRPr="00BA22AE">
        <w:t xml:space="preserve"> ГРБС;</w:t>
      </w:r>
    </w:p>
    <w:p w14:paraId="17ADCB74" w14:textId="77777777" w:rsidR="000A2162" w:rsidRPr="00BA22AE" w:rsidRDefault="000A2162" w:rsidP="006B3DF7">
      <w:pPr>
        <w:autoSpaceDE w:val="0"/>
        <w:autoSpaceDN w:val="0"/>
        <w:adjustRightInd w:val="0"/>
      </w:pPr>
      <w:r w:rsidRPr="00BA22AE">
        <w:t xml:space="preserve">II группа (средняя степень достижения результата) – </w:t>
      </w:r>
      <w:r w:rsidR="00BA22AE" w:rsidRPr="00BA22AE">
        <w:t>9</w:t>
      </w:r>
      <w:r w:rsidRPr="00BA22AE">
        <w:t xml:space="preserve"> ГРБС;</w:t>
      </w:r>
    </w:p>
    <w:p w14:paraId="0162CFFA" w14:textId="77777777" w:rsidR="000A2162" w:rsidRPr="00BA22AE" w:rsidRDefault="000A2162" w:rsidP="006B3DF7">
      <w:pPr>
        <w:autoSpaceDE w:val="0"/>
        <w:autoSpaceDN w:val="0"/>
        <w:adjustRightInd w:val="0"/>
      </w:pPr>
      <w:r w:rsidRPr="00BA22AE">
        <w:t>III группа (удовлетворительна ст</w:t>
      </w:r>
      <w:r w:rsidR="00C2740C" w:rsidRPr="00BA22AE">
        <w:t>епень достижения результата) – 9</w:t>
      </w:r>
      <w:r w:rsidRPr="00BA22AE">
        <w:t xml:space="preserve"> ГРБС;</w:t>
      </w:r>
    </w:p>
    <w:p w14:paraId="46D14B17" w14:textId="77777777" w:rsidR="000A2162" w:rsidRPr="00BA22AE" w:rsidRDefault="000A2162" w:rsidP="006B3DF7">
      <w:pPr>
        <w:autoSpaceDE w:val="0"/>
        <w:autoSpaceDN w:val="0"/>
        <w:adjustRightInd w:val="0"/>
      </w:pPr>
      <w:r w:rsidRPr="00BA22AE">
        <w:t xml:space="preserve">IV группа (низкая степень достижения результата) – </w:t>
      </w:r>
      <w:r w:rsidR="00BA22AE" w:rsidRPr="00BA22AE">
        <w:t>5</w:t>
      </w:r>
      <w:r w:rsidR="00246F87">
        <w:t xml:space="preserve"> </w:t>
      </w:r>
      <w:r w:rsidRPr="00BA22AE">
        <w:t>ГРБС.</w:t>
      </w:r>
    </w:p>
    <w:p w14:paraId="663A7DB5" w14:textId="277FB7BD" w:rsidR="000A2162" w:rsidRPr="00C014DC" w:rsidRDefault="00CD0836" w:rsidP="006B3DF7">
      <w:pPr>
        <w:autoSpaceDE w:val="0"/>
        <w:autoSpaceDN w:val="0"/>
        <w:adjustRightInd w:val="0"/>
        <w:rPr>
          <w:rFonts w:eastAsiaTheme="minorHAnsi"/>
          <w:color w:val="FF0000"/>
        </w:rPr>
      </w:pPr>
      <w:r w:rsidRPr="00BA22AE">
        <w:rPr>
          <w:rFonts w:eastAsiaTheme="minorHAnsi"/>
        </w:rPr>
        <w:t>Средний показатель качества финансового менеджмента</w:t>
      </w:r>
      <w:r w:rsidR="003F61C3">
        <w:rPr>
          <w:rFonts w:eastAsiaTheme="minorHAnsi"/>
        </w:rPr>
        <w:t>,</w:t>
      </w:r>
      <w:r w:rsidRPr="00BA22AE">
        <w:rPr>
          <w:rFonts w:eastAsiaTheme="minorHAnsi"/>
        </w:rPr>
        <w:t xml:space="preserve"> </w:t>
      </w:r>
      <w:r w:rsidR="003F61C3" w:rsidRPr="003F61C3">
        <w:rPr>
          <w:rFonts w:eastAsiaTheme="minorHAnsi"/>
        </w:rPr>
        <w:t>осуществляемого главными распорядителями средств республиканского бюджета Кабардино-Балкарской Республики и главными администраторами доходов республиканского бюджета Кабардино-Балкарской Республики,</w:t>
      </w:r>
      <w:r w:rsidRPr="00BA22AE">
        <w:rPr>
          <w:rFonts w:eastAsiaTheme="minorHAnsi"/>
        </w:rPr>
        <w:t xml:space="preserve"> составил</w:t>
      </w:r>
      <w:r w:rsidR="00246F87">
        <w:rPr>
          <w:rFonts w:eastAsiaTheme="minorHAnsi"/>
        </w:rPr>
        <w:t xml:space="preserve"> </w:t>
      </w:r>
      <w:r w:rsidR="00BA22AE" w:rsidRPr="00BA22AE">
        <w:rPr>
          <w:rFonts w:eastAsiaTheme="minorHAnsi"/>
        </w:rPr>
        <w:t>70,3</w:t>
      </w:r>
      <w:r w:rsidR="00CE0038" w:rsidRPr="00BA22AE">
        <w:rPr>
          <w:rFonts w:eastAsiaTheme="minorHAnsi"/>
        </w:rPr>
        <w:t xml:space="preserve"> балла </w:t>
      </w:r>
      <w:r w:rsidR="00C2740C" w:rsidRPr="00BA22AE">
        <w:rPr>
          <w:rFonts w:eastAsiaTheme="minorHAnsi"/>
        </w:rPr>
        <w:t xml:space="preserve">при </w:t>
      </w:r>
      <w:r w:rsidR="00C2740C" w:rsidRPr="00210D3B">
        <w:rPr>
          <w:rFonts w:eastAsiaTheme="minorHAnsi"/>
        </w:rPr>
        <w:t>плане 64</w:t>
      </w:r>
      <w:r w:rsidR="00CE0038" w:rsidRPr="00210D3B">
        <w:rPr>
          <w:rFonts w:eastAsiaTheme="minorHAnsi"/>
        </w:rPr>
        <w:t xml:space="preserve"> балл</w:t>
      </w:r>
      <w:r w:rsidR="00C2740C" w:rsidRPr="00210D3B">
        <w:rPr>
          <w:rFonts w:eastAsiaTheme="minorHAnsi"/>
        </w:rPr>
        <w:t>а</w:t>
      </w:r>
      <w:r w:rsidR="00CE0038" w:rsidRPr="00210D3B">
        <w:rPr>
          <w:rFonts w:eastAsiaTheme="minorHAnsi"/>
        </w:rPr>
        <w:t>.</w:t>
      </w:r>
    </w:p>
    <w:p w14:paraId="6CF57193" w14:textId="217BFBD4" w:rsidR="00C13E32" w:rsidRPr="00C014DC" w:rsidRDefault="00C13E32" w:rsidP="006B3DF7">
      <w:pPr>
        <w:autoSpaceDE w:val="0"/>
        <w:autoSpaceDN w:val="0"/>
        <w:adjustRightInd w:val="0"/>
        <w:rPr>
          <w:rFonts w:eastAsiaTheme="minorHAnsi"/>
          <w:color w:val="FF0000"/>
        </w:rPr>
      </w:pPr>
      <w:r w:rsidRPr="00210D3B">
        <w:rPr>
          <w:rFonts w:eastAsiaTheme="minorHAnsi"/>
        </w:rPr>
        <w:t xml:space="preserve">По оценке эффективности деятельности руководителей исполнительных органов государственной власти Кабардино-Балкарской Республики, проведенной в соответствии с распоряжением Правительства Кабардино-Балкарской Республики </w:t>
      </w:r>
      <w:r w:rsidR="00C52EBA" w:rsidRPr="00210D3B">
        <w:rPr>
          <w:rFonts w:eastAsiaTheme="minorHAnsi"/>
        </w:rPr>
        <w:br/>
      </w:r>
      <w:r w:rsidRPr="00210D3B">
        <w:rPr>
          <w:rFonts w:eastAsiaTheme="minorHAnsi"/>
        </w:rPr>
        <w:t>от 12</w:t>
      </w:r>
      <w:r w:rsidR="00D9608E" w:rsidRPr="00210D3B">
        <w:rPr>
          <w:rFonts w:eastAsiaTheme="minorHAnsi"/>
        </w:rPr>
        <w:t>.03.</w:t>
      </w:r>
      <w:r w:rsidRPr="00210D3B">
        <w:rPr>
          <w:rFonts w:eastAsiaTheme="minorHAnsi"/>
        </w:rPr>
        <w:t xml:space="preserve">2018 </w:t>
      </w:r>
      <w:r w:rsidR="00C314E4" w:rsidRPr="00210D3B">
        <w:rPr>
          <w:rFonts w:eastAsiaTheme="minorHAnsi"/>
        </w:rPr>
        <w:t>года</w:t>
      </w:r>
      <w:r w:rsidRPr="00210D3B">
        <w:rPr>
          <w:rFonts w:eastAsiaTheme="minorHAnsi"/>
        </w:rPr>
        <w:t xml:space="preserve"> № 134-рп в 202</w:t>
      </w:r>
      <w:r w:rsidR="00210D3B" w:rsidRPr="00210D3B">
        <w:rPr>
          <w:rFonts w:eastAsiaTheme="minorHAnsi"/>
        </w:rPr>
        <w:t>5</w:t>
      </w:r>
      <w:r w:rsidRPr="00210D3B">
        <w:rPr>
          <w:rFonts w:eastAsiaTheme="minorHAnsi"/>
        </w:rPr>
        <w:t xml:space="preserve"> году по итогам 202</w:t>
      </w:r>
      <w:r w:rsidR="00210D3B" w:rsidRPr="00210D3B">
        <w:rPr>
          <w:rFonts w:eastAsiaTheme="minorHAnsi"/>
        </w:rPr>
        <w:t>4</w:t>
      </w:r>
      <w:r w:rsidRPr="00210D3B">
        <w:rPr>
          <w:rFonts w:eastAsiaTheme="minorHAnsi"/>
        </w:rPr>
        <w:t xml:space="preserve"> года, Министерство заняло</w:t>
      </w:r>
      <w:r w:rsidR="00840C6F">
        <w:rPr>
          <w:rFonts w:eastAsiaTheme="minorHAnsi"/>
        </w:rPr>
        <w:t xml:space="preserve"> </w:t>
      </w:r>
      <w:r w:rsidR="006B0CB1" w:rsidRPr="006B0CB1">
        <w:rPr>
          <w:rFonts w:eastAsiaTheme="minorHAnsi"/>
        </w:rPr>
        <w:t>2</w:t>
      </w:r>
      <w:r w:rsidRPr="006B0CB1">
        <w:rPr>
          <w:rFonts w:eastAsiaTheme="minorHAnsi"/>
        </w:rPr>
        <w:t xml:space="preserve"> место. </w:t>
      </w:r>
    </w:p>
    <w:p w14:paraId="1F131907" w14:textId="3B0E9F46" w:rsidR="006B0CB1" w:rsidRDefault="006B0CB1" w:rsidP="006B3DF7">
      <w:pPr>
        <w:autoSpaceDE w:val="0"/>
        <w:autoSpaceDN w:val="0"/>
        <w:adjustRightInd w:val="0"/>
      </w:pPr>
      <w:r w:rsidRPr="006B0CB1">
        <w:t>Высокое качество управления финансами в республике было вновь отмечено на федера</w:t>
      </w:r>
      <w:r w:rsidR="00246F87">
        <w:t xml:space="preserve">льном уровне: по оценке </w:t>
      </w:r>
      <w:proofErr w:type="gramStart"/>
      <w:r w:rsidR="00DD3C61">
        <w:t>Минфина Р</w:t>
      </w:r>
      <w:r w:rsidR="00016E54">
        <w:t>Ф</w:t>
      </w:r>
      <w:proofErr w:type="gramEnd"/>
      <w:r w:rsidRPr="006B0CB1">
        <w:t xml:space="preserve"> за 2024 год регион уже в шестой раз подряд вошел в группу лидеров.</w:t>
      </w:r>
    </w:p>
    <w:p w14:paraId="3AB3E880" w14:textId="77777777" w:rsidR="006B0CB1" w:rsidRDefault="006B0CB1" w:rsidP="006B3DF7">
      <w:pPr>
        <w:autoSpaceDE w:val="0"/>
        <w:autoSpaceDN w:val="0"/>
        <w:adjustRightInd w:val="0"/>
      </w:pPr>
    </w:p>
    <w:p w14:paraId="22EB50DE" w14:textId="77777777" w:rsidR="006B0CB1" w:rsidRDefault="006B0CB1" w:rsidP="006B3DF7">
      <w:pPr>
        <w:autoSpaceDE w:val="0"/>
        <w:autoSpaceDN w:val="0"/>
        <w:adjustRightInd w:val="0"/>
      </w:pPr>
      <w:r>
        <w:rPr>
          <w:noProof/>
          <w:lang w:eastAsia="ru-RU"/>
        </w:rPr>
        <w:drawing>
          <wp:inline distT="0" distB="0" distL="0" distR="0" wp14:anchorId="6D2FF671" wp14:editId="640E313A">
            <wp:extent cx="5715000" cy="3187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81" r="949"/>
                    <a:stretch/>
                  </pic:blipFill>
                  <pic:spPr bwMode="auto">
                    <a:xfrm>
                      <a:off x="0" y="0"/>
                      <a:ext cx="5755750" cy="3209790"/>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inline>
        </w:drawing>
      </w:r>
    </w:p>
    <w:p w14:paraId="388A0A5F" w14:textId="77777777" w:rsidR="00F44D7C" w:rsidRPr="00C014DC" w:rsidRDefault="00F44D7C" w:rsidP="006B3DF7">
      <w:pPr>
        <w:autoSpaceDE w:val="0"/>
        <w:autoSpaceDN w:val="0"/>
        <w:adjustRightInd w:val="0"/>
        <w:rPr>
          <w:color w:val="FF0000"/>
        </w:rPr>
      </w:pPr>
    </w:p>
    <w:p w14:paraId="22BCC16B" w14:textId="77777777" w:rsidR="00422103" w:rsidRDefault="00422103" w:rsidP="006B3DF7">
      <w:pPr>
        <w:keepNext/>
        <w:keepLines/>
        <w:outlineLvl w:val="2"/>
      </w:pPr>
      <w:bookmarkStart w:id="2" w:name="_Toc128735817"/>
      <w:bookmarkStart w:id="3" w:name="_Toc129858660"/>
      <w:bookmarkStart w:id="4" w:name="_Toc129882070"/>
      <w:bookmarkStart w:id="5" w:name="_Toc130394835"/>
      <w:bookmarkStart w:id="6" w:name="_Toc130809873"/>
      <w:bookmarkStart w:id="7" w:name="_Toc131001514"/>
      <w:bookmarkStart w:id="8" w:name="_Toc131085633"/>
      <w:bookmarkStart w:id="9" w:name="_Toc161837293"/>
      <w:bookmarkStart w:id="10" w:name="_Toc162008701"/>
      <w:r w:rsidRPr="00422103">
        <w:t>В 2025 году в Кабардино-Балкарской Республике продолжилось планомерное расширение открытости бюджетного процесса. Ключевые мероприятия года включали:</w:t>
      </w:r>
    </w:p>
    <w:p w14:paraId="3E54F6B8" w14:textId="2876FC53" w:rsidR="006315C7" w:rsidRPr="002C54CC" w:rsidRDefault="00542B65" w:rsidP="006B3DF7">
      <w:pPr>
        <w:keepNext/>
        <w:keepLines/>
        <w:outlineLvl w:val="2"/>
      </w:pPr>
      <w:r>
        <w:t xml:space="preserve">- </w:t>
      </w:r>
      <w:r w:rsidR="006315C7" w:rsidRPr="002C54CC">
        <w:t>публичные слушания по годовому отчету об исполнении республиканского бюджета за 202</w:t>
      </w:r>
      <w:r w:rsidR="00CF0D8A" w:rsidRPr="002C54CC">
        <w:t>4</w:t>
      </w:r>
      <w:r w:rsidR="006315C7" w:rsidRPr="002C54CC">
        <w:t xml:space="preserve"> год, а также публичные слушания по проекту закона </w:t>
      </w:r>
      <w:r w:rsidR="001836C3">
        <w:rPr>
          <w:rFonts w:ascii="Calibri Light" w:eastAsia="Calibri" w:hAnsi="Calibri Light"/>
          <w:bCs/>
        </w:rPr>
        <w:t>«</w:t>
      </w:r>
      <w:r w:rsidR="006315C7" w:rsidRPr="002C54CC">
        <w:t>О республиканском бюджете КБР на 202</w:t>
      </w:r>
      <w:r w:rsidR="00CF0D8A" w:rsidRPr="002C54CC">
        <w:t>6</w:t>
      </w:r>
      <w:r w:rsidR="006315C7" w:rsidRPr="002C54CC">
        <w:t xml:space="preserve"> год и на плановый период 202</w:t>
      </w:r>
      <w:r w:rsidR="00CF0D8A" w:rsidRPr="002C54CC">
        <w:t>7</w:t>
      </w:r>
      <w:r w:rsidR="006315C7" w:rsidRPr="002C54CC">
        <w:t xml:space="preserve"> и 202</w:t>
      </w:r>
      <w:r w:rsidR="00CF0D8A" w:rsidRPr="002C54CC">
        <w:t>8</w:t>
      </w:r>
      <w:r w:rsidR="006315C7" w:rsidRPr="002C54CC">
        <w:t xml:space="preserve"> годов</w:t>
      </w:r>
      <w:r w:rsidR="006B3DF7">
        <w:rPr>
          <w:rFonts w:ascii="Calibri Light" w:eastAsia="Calibri" w:hAnsi="Calibri Light"/>
          <w:bCs/>
        </w:rPr>
        <w:t>»</w:t>
      </w:r>
      <w:r w:rsidR="006315C7" w:rsidRPr="002C54CC">
        <w:t>;</w:t>
      </w:r>
      <w:bookmarkEnd w:id="2"/>
      <w:bookmarkEnd w:id="3"/>
      <w:bookmarkEnd w:id="4"/>
      <w:bookmarkEnd w:id="5"/>
      <w:bookmarkEnd w:id="6"/>
      <w:bookmarkEnd w:id="7"/>
      <w:bookmarkEnd w:id="8"/>
      <w:bookmarkEnd w:id="9"/>
      <w:bookmarkEnd w:id="10"/>
    </w:p>
    <w:p w14:paraId="5C89CA4F" w14:textId="76FB5E4D" w:rsidR="006315C7" w:rsidRPr="002C54CC" w:rsidRDefault="00542B65" w:rsidP="006B3DF7">
      <w:pPr>
        <w:autoSpaceDE w:val="0"/>
        <w:autoSpaceDN w:val="0"/>
        <w:adjustRightInd w:val="0"/>
        <w:contextualSpacing/>
      </w:pPr>
      <w:r>
        <w:t xml:space="preserve">- </w:t>
      </w:r>
      <w:r w:rsidR="006315C7" w:rsidRPr="002C54CC">
        <w:t>ежеквартальные заседания Общественного совета при Министерстве финансов Кабардино-Балкарской Республики;</w:t>
      </w:r>
    </w:p>
    <w:p w14:paraId="2D230DE5" w14:textId="79A8019B" w:rsidR="006315C7" w:rsidRPr="002C54CC" w:rsidRDefault="00542B65" w:rsidP="006B3DF7">
      <w:pPr>
        <w:autoSpaceDE w:val="0"/>
        <w:autoSpaceDN w:val="0"/>
        <w:adjustRightInd w:val="0"/>
        <w:contextualSpacing/>
      </w:pPr>
      <w:r>
        <w:t>- разработку</w:t>
      </w:r>
      <w:r w:rsidR="006315C7" w:rsidRPr="002C54CC">
        <w:t xml:space="preserve"> и </w:t>
      </w:r>
      <w:r>
        <w:t>публикацию</w:t>
      </w:r>
      <w:r w:rsidR="006315C7" w:rsidRPr="002C54CC">
        <w:t xml:space="preserve"> информационны</w:t>
      </w:r>
      <w:r>
        <w:t>х</w:t>
      </w:r>
      <w:r w:rsidR="006315C7" w:rsidRPr="002C54CC">
        <w:t xml:space="preserve"> брошюр </w:t>
      </w:r>
      <w:r w:rsidR="006B3DF7">
        <w:t>«</w:t>
      </w:r>
      <w:r w:rsidR="006315C7" w:rsidRPr="002C54CC">
        <w:t>Бюджет для граждан</w:t>
      </w:r>
      <w:r w:rsidR="006B3DF7">
        <w:t>»</w:t>
      </w:r>
      <w:r w:rsidR="006315C7" w:rsidRPr="002C54CC">
        <w:t xml:space="preserve"> к закону о республиканском бюджете Кабардино-Балкарской Республики, годовому отчету об исполнении республиканского бюджета Кабардино-Балкарской Республики за 202</w:t>
      </w:r>
      <w:r w:rsidR="00CF0D8A" w:rsidRPr="002C54CC">
        <w:t>4</w:t>
      </w:r>
      <w:r w:rsidR="006315C7" w:rsidRPr="002C54CC">
        <w:t xml:space="preserve"> год, проекту закона</w:t>
      </w:r>
      <w:r w:rsidR="006315C7" w:rsidRPr="002C54CC">
        <w:rPr>
          <w:rFonts w:eastAsia="Calibri"/>
          <w:b/>
        </w:rPr>
        <w:t xml:space="preserve"> </w:t>
      </w:r>
      <w:r w:rsidR="006B3DF7">
        <w:rPr>
          <w:rFonts w:eastAsia="Calibri"/>
          <w:b/>
        </w:rPr>
        <w:t>«</w:t>
      </w:r>
      <w:r w:rsidR="006315C7" w:rsidRPr="002C54CC">
        <w:t>О республиканском бюджете КБР на 202</w:t>
      </w:r>
      <w:r w:rsidR="00CF0D8A" w:rsidRPr="002C54CC">
        <w:t>6</w:t>
      </w:r>
      <w:r w:rsidR="006315C7" w:rsidRPr="002C54CC">
        <w:t xml:space="preserve"> год и на плановый период 202</w:t>
      </w:r>
      <w:r w:rsidR="00CF0D8A" w:rsidRPr="002C54CC">
        <w:t>7</w:t>
      </w:r>
      <w:r w:rsidR="006315C7" w:rsidRPr="002C54CC">
        <w:t xml:space="preserve"> и 202</w:t>
      </w:r>
      <w:r w:rsidR="00CF0D8A" w:rsidRPr="002C54CC">
        <w:t>8</w:t>
      </w:r>
      <w:r w:rsidR="006315C7" w:rsidRPr="002C54CC">
        <w:t xml:space="preserve"> годов</w:t>
      </w:r>
      <w:r w:rsidR="006B3DF7">
        <w:rPr>
          <w:rFonts w:eastAsia="Calibri"/>
          <w:b/>
        </w:rPr>
        <w:t>»</w:t>
      </w:r>
      <w:r w:rsidR="006315C7" w:rsidRPr="002C54CC">
        <w:t>;</w:t>
      </w:r>
    </w:p>
    <w:p w14:paraId="34D8D1D3" w14:textId="7F953D5F" w:rsidR="002C54CC" w:rsidRPr="002C54CC" w:rsidRDefault="002C54CC" w:rsidP="006B3DF7">
      <w:pPr>
        <w:autoSpaceDE w:val="0"/>
        <w:autoSpaceDN w:val="0"/>
        <w:adjustRightInd w:val="0"/>
        <w:contextualSpacing/>
      </w:pPr>
      <w:r w:rsidRPr="002C54CC">
        <w:t xml:space="preserve">- </w:t>
      </w:r>
      <w:r w:rsidR="00542B65">
        <w:t>организацию и проведение</w:t>
      </w:r>
      <w:r w:rsidRPr="002C54CC">
        <w:t xml:space="preserve"> республиканск</w:t>
      </w:r>
      <w:r w:rsidR="00542B65">
        <w:t>ого</w:t>
      </w:r>
      <w:r w:rsidRPr="002C54CC">
        <w:t xml:space="preserve"> этап</w:t>
      </w:r>
      <w:r w:rsidR="00542B65">
        <w:t>а</w:t>
      </w:r>
      <w:r w:rsidRPr="002C54CC">
        <w:t xml:space="preserve"> Всероссийского конкурса проектов по представлению бюджетов в доступной для граждан форме. На конкурс поступило 6 заявок от финансовых органов муниципальных образований и 10 заявок от физических лиц по следующим номинациям:</w:t>
      </w:r>
    </w:p>
    <w:p w14:paraId="7CF65800" w14:textId="5C3FD918" w:rsidR="002C54CC" w:rsidRPr="002C54CC" w:rsidRDefault="006B3DF7" w:rsidP="006B3DF7">
      <w:pPr>
        <w:autoSpaceDE w:val="0"/>
        <w:autoSpaceDN w:val="0"/>
        <w:adjustRightInd w:val="0"/>
        <w:contextualSpacing/>
      </w:pPr>
      <w:r>
        <w:t>«</w:t>
      </w:r>
      <w:r w:rsidR="002C54CC" w:rsidRPr="002C54CC">
        <w:t>Современные формы представления проекта местного бюджета для граждан</w:t>
      </w:r>
      <w:r>
        <w:t>»</w:t>
      </w:r>
      <w:r w:rsidR="002C54CC" w:rsidRPr="002C54CC">
        <w:t xml:space="preserve"> - </w:t>
      </w:r>
      <w:r w:rsidR="002C54CC" w:rsidRPr="002C54CC">
        <w:br/>
        <w:t>5 заявок;</w:t>
      </w:r>
    </w:p>
    <w:p w14:paraId="119AFBBA" w14:textId="1182A25B" w:rsidR="002C54CC" w:rsidRPr="002C54CC" w:rsidRDefault="006B3DF7" w:rsidP="006B3DF7">
      <w:pPr>
        <w:autoSpaceDE w:val="0"/>
        <w:autoSpaceDN w:val="0"/>
        <w:adjustRightInd w:val="0"/>
        <w:contextualSpacing/>
      </w:pPr>
      <w:r>
        <w:t>«</w:t>
      </w:r>
      <w:r w:rsidR="002C54CC" w:rsidRPr="002C54CC">
        <w:t>Лучшая информационная панель (</w:t>
      </w:r>
      <w:proofErr w:type="spellStart"/>
      <w:r w:rsidR="002C54CC" w:rsidRPr="002C54CC">
        <w:t>дашборд</w:t>
      </w:r>
      <w:proofErr w:type="spellEnd"/>
      <w:r w:rsidR="002C54CC" w:rsidRPr="002C54CC">
        <w:t>) по бюджету</w:t>
      </w:r>
      <w:r>
        <w:t>»</w:t>
      </w:r>
      <w:r w:rsidR="002C54CC" w:rsidRPr="002C54CC">
        <w:t xml:space="preserve"> - 1 заявка;</w:t>
      </w:r>
    </w:p>
    <w:p w14:paraId="01B7CEA3" w14:textId="62C19FAD" w:rsidR="002C54CC" w:rsidRPr="002C54CC" w:rsidRDefault="006B3DF7" w:rsidP="006B3DF7">
      <w:pPr>
        <w:autoSpaceDE w:val="0"/>
        <w:autoSpaceDN w:val="0"/>
        <w:adjustRightInd w:val="0"/>
        <w:contextualSpacing/>
      </w:pPr>
      <w:r>
        <w:t>«</w:t>
      </w:r>
      <w:r w:rsidR="002C54CC" w:rsidRPr="002C54CC">
        <w:t>Лучшая настольная игра о бюджете для граждан</w:t>
      </w:r>
      <w:r>
        <w:t>»</w:t>
      </w:r>
      <w:r w:rsidR="002C54CC" w:rsidRPr="002C54CC">
        <w:t xml:space="preserve"> - 4 заявки;</w:t>
      </w:r>
    </w:p>
    <w:p w14:paraId="037F024F" w14:textId="7A975979" w:rsidR="002C54CC" w:rsidRPr="002C54CC" w:rsidRDefault="006B3DF7" w:rsidP="006B3DF7">
      <w:pPr>
        <w:autoSpaceDE w:val="0"/>
        <w:autoSpaceDN w:val="0"/>
        <w:adjustRightInd w:val="0"/>
        <w:contextualSpacing/>
      </w:pPr>
      <w:r>
        <w:t>«</w:t>
      </w:r>
      <w:r w:rsidR="002C54CC" w:rsidRPr="002C54CC">
        <w:t>Лучший видеоролик о бюджете</w:t>
      </w:r>
      <w:r>
        <w:t>»</w:t>
      </w:r>
      <w:r w:rsidR="002C54CC" w:rsidRPr="002C54CC">
        <w:t xml:space="preserve"> - 4 заявки;</w:t>
      </w:r>
    </w:p>
    <w:p w14:paraId="3A8841EE" w14:textId="0876487B" w:rsidR="002C54CC" w:rsidRPr="002C54CC" w:rsidRDefault="006B3DF7" w:rsidP="006B3DF7">
      <w:pPr>
        <w:autoSpaceDE w:val="0"/>
        <w:autoSpaceDN w:val="0"/>
        <w:adjustRightInd w:val="0"/>
        <w:contextualSpacing/>
      </w:pPr>
      <w:r>
        <w:t>«</w:t>
      </w:r>
      <w:r w:rsidR="002C54CC" w:rsidRPr="002C54CC">
        <w:t>Бюджет для граждан в современных формах искусства</w:t>
      </w:r>
      <w:r>
        <w:t>»</w:t>
      </w:r>
      <w:r w:rsidR="002C54CC" w:rsidRPr="002C54CC">
        <w:t xml:space="preserve"> - 1 заявка;</w:t>
      </w:r>
    </w:p>
    <w:p w14:paraId="18561EE5" w14:textId="5088F7F7" w:rsidR="002C54CC" w:rsidRPr="002C54CC" w:rsidRDefault="006B3DF7" w:rsidP="006B3DF7">
      <w:pPr>
        <w:autoSpaceDE w:val="0"/>
        <w:autoSpaceDN w:val="0"/>
        <w:adjustRightInd w:val="0"/>
        <w:contextualSpacing/>
      </w:pPr>
      <w:r>
        <w:t>«</w:t>
      </w:r>
      <w:r w:rsidR="002C54CC" w:rsidRPr="002C54CC">
        <w:t>Информационные карточки по бюджету для социальных сетей и мессенджеров</w:t>
      </w:r>
      <w:r>
        <w:t>»</w:t>
      </w:r>
      <w:r w:rsidR="002C54CC" w:rsidRPr="002C54CC">
        <w:t xml:space="preserve"> - 1 заявка.</w:t>
      </w:r>
    </w:p>
    <w:p w14:paraId="3AEC00C6" w14:textId="77777777" w:rsidR="002C54CC" w:rsidRPr="002C54CC" w:rsidRDefault="002C54CC" w:rsidP="006B3DF7">
      <w:pPr>
        <w:autoSpaceDE w:val="0"/>
        <w:autoSpaceDN w:val="0"/>
        <w:adjustRightInd w:val="0"/>
        <w:contextualSpacing/>
      </w:pPr>
      <w:r w:rsidRPr="002C54CC">
        <w:t>Информация о победителях конкурса размещена на официальном портале Министерства финансов Кабардино-Балкарской Республики.</w:t>
      </w:r>
    </w:p>
    <w:p w14:paraId="0AE66DA5" w14:textId="56A63A61" w:rsidR="002C54CC" w:rsidRPr="002C54CC" w:rsidRDefault="002C54CC" w:rsidP="006B3DF7">
      <w:pPr>
        <w:autoSpaceDE w:val="0"/>
        <w:autoSpaceDN w:val="0"/>
        <w:adjustRightInd w:val="0"/>
        <w:contextualSpacing/>
      </w:pPr>
      <w:r w:rsidRPr="002C54CC">
        <w:t xml:space="preserve">Конкурсные проекты победителей направлены в Финансовый университет при Правительстве Российской Федерации для участия во втором туре федерального конкурса. По итогам второго федерального тура конкурсный проект Морозовой Б.А. и </w:t>
      </w:r>
      <w:proofErr w:type="spellStart"/>
      <w:r w:rsidRPr="002C54CC">
        <w:t>Габачиевой</w:t>
      </w:r>
      <w:proofErr w:type="spellEnd"/>
      <w:r w:rsidRPr="002C54CC">
        <w:t xml:space="preserve"> В.З. в номинации </w:t>
      </w:r>
      <w:r w:rsidR="006B3DF7">
        <w:t>«</w:t>
      </w:r>
      <w:r w:rsidRPr="002C54CC">
        <w:t>Лучший видеоролик о бюджете</w:t>
      </w:r>
      <w:r w:rsidR="006B3DF7">
        <w:t>»</w:t>
      </w:r>
      <w:r w:rsidRPr="002C54CC">
        <w:t xml:space="preserve"> занял 2 место.</w:t>
      </w:r>
    </w:p>
    <w:p w14:paraId="450911E2" w14:textId="280D9385" w:rsidR="006315C7" w:rsidRPr="00A379DF" w:rsidRDefault="006315C7" w:rsidP="006B3DF7">
      <w:pPr>
        <w:autoSpaceDE w:val="0"/>
        <w:autoSpaceDN w:val="0"/>
        <w:adjustRightInd w:val="0"/>
        <w:contextualSpacing/>
      </w:pPr>
      <w:r w:rsidRPr="00A379DF">
        <w:t xml:space="preserve">- мониторинг своевременного размещения государственными учреждениями Кабардино-Балкарской Республики отчетных документов на официальном сайте в сети </w:t>
      </w:r>
      <w:r w:rsidR="006B3DF7">
        <w:t>«</w:t>
      </w:r>
      <w:r w:rsidRPr="00A379DF">
        <w:t>Интернет</w:t>
      </w:r>
      <w:r w:rsidR="006B3DF7">
        <w:t>»</w:t>
      </w:r>
      <w:r w:rsidRPr="00A379DF">
        <w:t xml:space="preserve"> по размещению информации о государственных и муниципальных учреждениях (bus.gov.ru). По результатам оценки уровня открытости бюджетных данных субъектов Российской Федерации по разделу </w:t>
      </w:r>
      <w:r w:rsidR="006B3DF7">
        <w:t>«</w:t>
      </w:r>
      <w:r w:rsidRPr="00A379DF">
        <w:t>Публичные сведения о деятельности государственных учреждений</w:t>
      </w:r>
      <w:r w:rsidR="006B3DF7">
        <w:t>»</w:t>
      </w:r>
      <w:r w:rsidRPr="00A379DF">
        <w:t xml:space="preserve"> за 202</w:t>
      </w:r>
      <w:r w:rsidR="002C54CC" w:rsidRPr="00A379DF">
        <w:t>5</w:t>
      </w:r>
      <w:r w:rsidRPr="00A379DF">
        <w:t xml:space="preserve"> год Кабардино-Балкарская Республика вошла в группу с очень высоким уровнем открытости бюджетных данных;</w:t>
      </w:r>
    </w:p>
    <w:p w14:paraId="07FFD4C3" w14:textId="4F433907" w:rsidR="006315C7" w:rsidRPr="00C014DC" w:rsidRDefault="006315C7" w:rsidP="006B3DF7">
      <w:pPr>
        <w:autoSpaceDE w:val="0"/>
        <w:autoSpaceDN w:val="0"/>
        <w:adjustRightInd w:val="0"/>
        <w:contextualSpacing/>
        <w:rPr>
          <w:color w:val="FF0000"/>
        </w:rPr>
      </w:pPr>
      <w:r w:rsidRPr="00422103">
        <w:t xml:space="preserve">- </w:t>
      </w:r>
      <w:r w:rsidRPr="00422103">
        <w:rPr>
          <w:rFonts w:eastAsia="Calibri"/>
        </w:rPr>
        <w:t>регулярно</w:t>
      </w:r>
      <w:r w:rsidR="00542B65">
        <w:rPr>
          <w:rFonts w:eastAsia="Calibri"/>
        </w:rPr>
        <w:t>е размещение</w:t>
      </w:r>
      <w:r w:rsidRPr="00422103">
        <w:rPr>
          <w:rFonts w:eastAsia="Calibri"/>
        </w:rPr>
        <w:t xml:space="preserve"> на едином портале бюджетной системы Российской Федерации информаци</w:t>
      </w:r>
      <w:r w:rsidR="00542B65">
        <w:rPr>
          <w:rFonts w:eastAsia="Calibri"/>
        </w:rPr>
        <w:t>и</w:t>
      </w:r>
      <w:r w:rsidRPr="00422103">
        <w:rPr>
          <w:rFonts w:eastAsia="Calibri"/>
        </w:rPr>
        <w:t>, предусмотренн</w:t>
      </w:r>
      <w:r w:rsidR="00542B65">
        <w:rPr>
          <w:rFonts w:eastAsia="Calibri"/>
        </w:rPr>
        <w:t>ой</w:t>
      </w:r>
      <w:r w:rsidRPr="00422103">
        <w:rPr>
          <w:rFonts w:eastAsia="Calibri"/>
        </w:rPr>
        <w:t xml:space="preserve"> Приказом </w:t>
      </w:r>
      <w:r w:rsidR="00016E54" w:rsidRPr="009B4E24">
        <w:t>Мин</w:t>
      </w:r>
      <w:r w:rsidR="00016E54">
        <w:t>фина РФ</w:t>
      </w:r>
      <w:r w:rsidRPr="00422103">
        <w:rPr>
          <w:rFonts w:eastAsia="Calibri"/>
        </w:rPr>
        <w:t xml:space="preserve"> от 28.12.2016 </w:t>
      </w:r>
      <w:r w:rsidR="00C314E4" w:rsidRPr="00422103">
        <w:rPr>
          <w:rFonts w:eastAsia="Calibri"/>
        </w:rPr>
        <w:t>года</w:t>
      </w:r>
      <w:r w:rsidRPr="00422103">
        <w:rPr>
          <w:rFonts w:eastAsia="Calibri"/>
        </w:rPr>
        <w:t xml:space="preserve"> № 243н, за 202</w:t>
      </w:r>
      <w:r w:rsidR="00422103" w:rsidRPr="00422103">
        <w:rPr>
          <w:rFonts w:eastAsia="Calibri"/>
        </w:rPr>
        <w:t>5</w:t>
      </w:r>
      <w:r w:rsidRPr="00422103">
        <w:rPr>
          <w:rFonts w:eastAsia="Calibri"/>
        </w:rPr>
        <w:t xml:space="preserve"> год только в подсистеме </w:t>
      </w:r>
      <w:r w:rsidR="006B3DF7">
        <w:rPr>
          <w:rFonts w:eastAsia="Calibri"/>
        </w:rPr>
        <w:t>«</w:t>
      </w:r>
      <w:r w:rsidRPr="00422103">
        <w:rPr>
          <w:rFonts w:eastAsia="Calibri"/>
        </w:rPr>
        <w:t>Бюджетное планирование</w:t>
      </w:r>
      <w:r w:rsidR="006B3DF7">
        <w:rPr>
          <w:rFonts w:eastAsia="Calibri"/>
        </w:rPr>
        <w:t>»</w:t>
      </w:r>
      <w:r w:rsidRPr="00422103">
        <w:rPr>
          <w:rFonts w:eastAsia="Calibri"/>
        </w:rPr>
        <w:t xml:space="preserve"> размещен</w:t>
      </w:r>
      <w:r w:rsidR="00422103">
        <w:rPr>
          <w:rFonts w:eastAsia="Calibri"/>
        </w:rPr>
        <w:t>о</w:t>
      </w:r>
      <w:r w:rsidR="00246F87">
        <w:rPr>
          <w:rFonts w:eastAsia="Calibri"/>
        </w:rPr>
        <w:t xml:space="preserve"> </w:t>
      </w:r>
      <w:r w:rsidR="00422103" w:rsidRPr="00422103">
        <w:rPr>
          <w:rFonts w:eastAsia="Calibri"/>
        </w:rPr>
        <w:t>696</w:t>
      </w:r>
      <w:r w:rsidRPr="00422103">
        <w:rPr>
          <w:rFonts w:eastAsia="Calibri"/>
        </w:rPr>
        <w:t xml:space="preserve"> набор</w:t>
      </w:r>
      <w:r w:rsidR="00422103" w:rsidRPr="00422103">
        <w:rPr>
          <w:rFonts w:eastAsia="Calibri"/>
        </w:rPr>
        <w:t>ов</w:t>
      </w:r>
      <w:r w:rsidRPr="00422103">
        <w:rPr>
          <w:rFonts w:eastAsia="Calibri"/>
        </w:rPr>
        <w:t xml:space="preserve"> информации</w:t>
      </w:r>
      <w:r w:rsidRPr="00246F87">
        <w:rPr>
          <w:rFonts w:eastAsia="Calibri"/>
        </w:rPr>
        <w:t>;</w:t>
      </w:r>
    </w:p>
    <w:p w14:paraId="7C91DF27" w14:textId="6D6FA8C3" w:rsidR="006315C7" w:rsidRPr="00422103" w:rsidRDefault="006315C7" w:rsidP="006B3DF7">
      <w:pPr>
        <w:autoSpaceDE w:val="0"/>
        <w:autoSpaceDN w:val="0"/>
        <w:adjustRightInd w:val="0"/>
        <w:contextualSpacing/>
      </w:pPr>
      <w:r w:rsidRPr="00422103">
        <w:t>- организ</w:t>
      </w:r>
      <w:r w:rsidR="00542B65">
        <w:t>ацию системной</w:t>
      </w:r>
      <w:r w:rsidRPr="00422103">
        <w:t xml:space="preserve"> и методическ</w:t>
      </w:r>
      <w:r w:rsidR="00542B65">
        <w:t>ой</w:t>
      </w:r>
      <w:r w:rsidRPr="00422103">
        <w:t xml:space="preserve"> работ</w:t>
      </w:r>
      <w:r w:rsidR="00542B65">
        <w:t>ы</w:t>
      </w:r>
      <w:r w:rsidRPr="00422103">
        <w:t xml:space="preserve"> по своевременному размещению информационных и аналитических материалов, используемых </w:t>
      </w:r>
      <w:r w:rsidR="00016E54" w:rsidRPr="009B4E24">
        <w:t>Мин</w:t>
      </w:r>
      <w:r w:rsidR="00016E54">
        <w:t>фином РФ</w:t>
      </w:r>
      <w:r w:rsidR="00016E54" w:rsidRPr="00422103">
        <w:t xml:space="preserve"> </w:t>
      </w:r>
      <w:r w:rsidRPr="00422103">
        <w:t xml:space="preserve">для </w:t>
      </w:r>
      <w:proofErr w:type="spellStart"/>
      <w:r w:rsidRPr="00422103">
        <w:t>рейтингования</w:t>
      </w:r>
      <w:proofErr w:type="spellEnd"/>
      <w:r w:rsidRPr="00422103">
        <w:t xml:space="preserve"> субъектов </w:t>
      </w:r>
      <w:r w:rsidR="00D9608E" w:rsidRPr="00422103">
        <w:t>Российской Федерации</w:t>
      </w:r>
      <w:r w:rsidRPr="00422103">
        <w:t xml:space="preserve"> по уровню открытости бюджетных данных.</w:t>
      </w:r>
    </w:p>
    <w:p w14:paraId="032AE2B8" w14:textId="77777777" w:rsidR="00765023" w:rsidRPr="00034CD9" w:rsidRDefault="00765023" w:rsidP="006B3DF7">
      <w:pPr>
        <w:autoSpaceDE w:val="0"/>
        <w:autoSpaceDN w:val="0"/>
        <w:adjustRightInd w:val="0"/>
        <w:rPr>
          <w:color w:val="FF0000"/>
        </w:rPr>
      </w:pPr>
    </w:p>
    <w:p w14:paraId="1F485096" w14:textId="77777777" w:rsidR="00F811F4" w:rsidRPr="00034CD9" w:rsidRDefault="00F811F4" w:rsidP="006B3DF7">
      <w:pPr>
        <w:pStyle w:val="24"/>
        <w:spacing w:before="0" w:after="0"/>
        <w:ind w:left="0" w:firstLine="709"/>
        <w:rPr>
          <w:color w:val="000000" w:themeColor="text1"/>
        </w:rPr>
      </w:pPr>
      <w:bookmarkStart w:id="11" w:name="_Toc482701239"/>
      <w:bookmarkStart w:id="12" w:name="_Toc131085634"/>
      <w:bookmarkStart w:id="13" w:name="_Toc162008702"/>
      <w:r w:rsidRPr="00C32F32">
        <w:rPr>
          <w:color w:val="568D11" w:themeColor="accent3" w:themeShade="80"/>
        </w:rPr>
        <w:t>Деятельность Министерства финансов КБР в области</w:t>
      </w:r>
      <w:bookmarkStart w:id="14" w:name="_Toc482701240"/>
      <w:bookmarkEnd w:id="11"/>
      <w:r w:rsidR="006842E2">
        <w:rPr>
          <w:color w:val="568D11" w:themeColor="accent3" w:themeShade="80"/>
        </w:rPr>
        <w:t xml:space="preserve"> </w:t>
      </w:r>
      <w:r w:rsidRPr="00C32F32">
        <w:rPr>
          <w:color w:val="568D11" w:themeColor="accent3" w:themeShade="80"/>
        </w:rPr>
        <w:t>составления и исполнения республиканского бюджета</w:t>
      </w:r>
      <w:bookmarkEnd w:id="12"/>
      <w:bookmarkEnd w:id="14"/>
      <w:bookmarkEnd w:id="13"/>
    </w:p>
    <w:p w14:paraId="562FF138" w14:textId="77777777" w:rsidR="00D04A66" w:rsidRDefault="00D04A66" w:rsidP="006B3DF7">
      <w:pPr>
        <w:widowControl/>
        <w:contextualSpacing/>
        <w:jc w:val="center"/>
        <w:rPr>
          <w:color w:val="FF0000"/>
        </w:rPr>
      </w:pPr>
    </w:p>
    <w:p w14:paraId="0845DAEC" w14:textId="77777777" w:rsidR="002371F3" w:rsidRPr="002371F3" w:rsidRDefault="002371F3" w:rsidP="006B3DF7">
      <w:pPr>
        <w:widowControl/>
        <w:contextualSpacing/>
      </w:pPr>
      <w:r w:rsidRPr="002371F3">
        <w:t>Ключевым фактором устойчивости бюджетной системы является своевременное принятие закона о республиканском бюджете на очередной финансовый год и плановый период. Разработка этого документа осуществляется Министерством финансов Кабардино-Балкарской Республики в рамках установленных полномочий.</w:t>
      </w:r>
    </w:p>
    <w:p w14:paraId="7AEC4096" w14:textId="4806C501" w:rsidR="002371F3" w:rsidRPr="002371F3" w:rsidRDefault="002371F3" w:rsidP="006B3DF7">
      <w:pPr>
        <w:widowControl/>
        <w:contextualSpacing/>
      </w:pPr>
      <w:r w:rsidRPr="002371F3">
        <w:t>В 202</w:t>
      </w:r>
      <w:r>
        <w:t>5</w:t>
      </w:r>
      <w:r w:rsidRPr="002371F3">
        <w:t xml:space="preserve"> году работа над проектом бюджета </w:t>
      </w:r>
      <w:r w:rsidR="004D08F4">
        <w:t>велась с учетом складывающейся экономической ситуации</w:t>
      </w:r>
      <w:r w:rsidRPr="002371F3">
        <w:t>. В процессе подготовки были выполнены следующие основные мероприятия:</w:t>
      </w:r>
    </w:p>
    <w:p w14:paraId="5476A4D1" w14:textId="77777777" w:rsidR="00084D6E" w:rsidRPr="002371F3" w:rsidRDefault="00084D6E" w:rsidP="006B3DF7">
      <w:pPr>
        <w:widowControl/>
        <w:contextualSpacing/>
      </w:pPr>
      <w:r w:rsidRPr="002371F3">
        <w:t>- разработаны и доведены до главных распорядителей бюджетных средств методические указания по распределению бюджетных ассигнований республиканского бюджета Кабардино-Балкарской Республики на очередной финансовый год и плановый период;</w:t>
      </w:r>
    </w:p>
    <w:p w14:paraId="669DB62C" w14:textId="77777777" w:rsidR="00084D6E" w:rsidRPr="002371F3" w:rsidRDefault="00084D6E" w:rsidP="006B3DF7">
      <w:pPr>
        <w:widowControl/>
        <w:contextualSpacing/>
      </w:pPr>
      <w:r w:rsidRPr="002371F3">
        <w:t>- разработаны основные направления налоговой, бюджетной и долговой политики на очередной финансовый год и плановый период;</w:t>
      </w:r>
    </w:p>
    <w:p w14:paraId="4B62A46E" w14:textId="2998326D" w:rsidR="00084D6E" w:rsidRPr="002371F3" w:rsidRDefault="00084D6E" w:rsidP="006B3DF7">
      <w:pPr>
        <w:widowControl/>
        <w:contextualSpacing/>
      </w:pPr>
      <w:r w:rsidRPr="002371F3">
        <w:t xml:space="preserve">- выполнена сверка исходных данных для расчета распределения дотаций и субвенций, главным распорядителем которых является </w:t>
      </w:r>
      <w:r w:rsidR="00016E54" w:rsidRPr="009B4E24">
        <w:t>Мин</w:t>
      </w:r>
      <w:r w:rsidR="00016E54">
        <w:t>фин РФ</w:t>
      </w:r>
      <w:r w:rsidRPr="002371F3">
        <w:t>;</w:t>
      </w:r>
    </w:p>
    <w:p w14:paraId="224ADFC3" w14:textId="04271167" w:rsidR="00084D6E" w:rsidRPr="002371F3" w:rsidRDefault="00084D6E" w:rsidP="006B3DF7">
      <w:r w:rsidRPr="002371F3">
        <w:t xml:space="preserve">- в целях распределения объема дотации на выравнивание бюджетной обеспеченности составлен и представлен в </w:t>
      </w:r>
      <w:r w:rsidR="00016E54" w:rsidRPr="009B4E24">
        <w:t>Мин</w:t>
      </w:r>
      <w:r w:rsidR="00016E54">
        <w:t>фин РФ</w:t>
      </w:r>
      <w:r w:rsidRPr="002371F3">
        <w:t xml:space="preserve"> реестр расходных обязательств Кабардино-Балкарской Республики, свод реестров расходных обязательств муниципальных образований и справочная таблица по финансированию полномочий субъектов РФ и </w:t>
      </w:r>
      <w:r w:rsidR="000C03D2" w:rsidRPr="002371F3">
        <w:t>муниципальных образований.</w:t>
      </w:r>
    </w:p>
    <w:p w14:paraId="2D77007A" w14:textId="77777777" w:rsidR="00791E69" w:rsidRPr="002371F3" w:rsidRDefault="00084D6E" w:rsidP="006B3DF7">
      <w:pPr>
        <w:autoSpaceDE w:val="0"/>
        <w:autoSpaceDN w:val="0"/>
        <w:adjustRightInd w:val="0"/>
        <w:contextualSpacing/>
        <w:rPr>
          <w:rFonts w:eastAsia="Calibri"/>
        </w:rPr>
      </w:pPr>
      <w:r w:rsidRPr="002371F3">
        <w:t>Закон о бюджете на 202</w:t>
      </w:r>
      <w:r w:rsidR="002371F3" w:rsidRPr="002371F3">
        <w:t>6</w:t>
      </w:r>
      <w:r w:rsidRPr="002371F3">
        <w:t>-202</w:t>
      </w:r>
      <w:r w:rsidR="002371F3" w:rsidRPr="002371F3">
        <w:t>8</w:t>
      </w:r>
      <w:r w:rsidRPr="002371F3">
        <w:t xml:space="preserve"> годы </w:t>
      </w:r>
      <w:r w:rsidR="00791E69" w:rsidRPr="002371F3">
        <w:rPr>
          <w:rFonts w:eastAsia="Calibri"/>
        </w:rPr>
        <w:t xml:space="preserve">составлен по программному принципу на основании утверждённого Перечня государственных программ. </w:t>
      </w:r>
    </w:p>
    <w:p w14:paraId="495A0A7B" w14:textId="38B52E1D" w:rsidR="00084D6E" w:rsidRPr="000F438D" w:rsidRDefault="00084D6E" w:rsidP="006B3DF7">
      <w:pPr>
        <w:autoSpaceDE w:val="0"/>
        <w:autoSpaceDN w:val="0"/>
        <w:adjustRightInd w:val="0"/>
        <w:contextualSpacing/>
      </w:pPr>
      <w:r w:rsidRPr="000F438D">
        <w:t>Основные характеристики принятого в 202</w:t>
      </w:r>
      <w:r w:rsidR="000F438D" w:rsidRPr="000F438D">
        <w:t>5</w:t>
      </w:r>
      <w:r w:rsidRPr="000F438D">
        <w:t xml:space="preserve"> году закона </w:t>
      </w:r>
      <w:r w:rsidR="006B3DF7">
        <w:t>«</w:t>
      </w:r>
      <w:r w:rsidRPr="000F438D">
        <w:t>О республиканском бюджете на 20</w:t>
      </w:r>
      <w:r w:rsidR="000C03D2" w:rsidRPr="000F438D">
        <w:t>2</w:t>
      </w:r>
      <w:r w:rsidR="000F438D" w:rsidRPr="000F438D">
        <w:t>6</w:t>
      </w:r>
      <w:r w:rsidRPr="000F438D">
        <w:t xml:space="preserve"> год и на плановый период 202</w:t>
      </w:r>
      <w:r w:rsidR="000F438D" w:rsidRPr="000F438D">
        <w:t>7</w:t>
      </w:r>
      <w:r w:rsidRPr="000F438D">
        <w:t xml:space="preserve"> и 202</w:t>
      </w:r>
      <w:r w:rsidR="000F438D" w:rsidRPr="000F438D">
        <w:t>8</w:t>
      </w:r>
      <w:r w:rsidRPr="000F438D">
        <w:t xml:space="preserve"> годов</w:t>
      </w:r>
      <w:r w:rsidR="006B3DF7">
        <w:t>»</w:t>
      </w:r>
      <w:r w:rsidRPr="000F438D">
        <w:t xml:space="preserve"> обеспечивают все первоочередные расходные обязательства, сохраняют сбалансированность республиканского бюджета при соблюдении всех ограничений. </w:t>
      </w:r>
    </w:p>
    <w:p w14:paraId="1E50F970" w14:textId="4B5F3821" w:rsidR="0027553F" w:rsidRPr="000F438D" w:rsidRDefault="0027553F" w:rsidP="006B3DF7">
      <w:pPr>
        <w:widowControl/>
        <w:contextualSpacing/>
      </w:pPr>
      <w:r w:rsidRPr="000F438D">
        <w:t>В соответствии с пунктом 2.1.1. Соглашения о мерах по социально</w:t>
      </w:r>
      <w:r w:rsidR="00793168" w:rsidRPr="000F438D">
        <w:t>-</w:t>
      </w:r>
      <w:r w:rsidRPr="000F438D">
        <w:t xml:space="preserve"> экономическому развитию и оздоровлению государственных финансов </w:t>
      </w:r>
      <w:r w:rsidR="00793168" w:rsidRPr="000F438D">
        <w:br/>
      </w:r>
      <w:r w:rsidRPr="000F438D">
        <w:t>Кабардино-Балкар</w:t>
      </w:r>
      <w:r w:rsidR="00793168" w:rsidRPr="000F438D">
        <w:t>ской Республики от 2</w:t>
      </w:r>
      <w:r w:rsidR="000F438D">
        <w:t>3</w:t>
      </w:r>
      <w:r w:rsidR="00793168" w:rsidRPr="000F438D">
        <w:t>.12.202</w:t>
      </w:r>
      <w:r w:rsidR="000F438D">
        <w:t>4</w:t>
      </w:r>
      <w:r w:rsidR="001836C3">
        <w:t xml:space="preserve"> </w:t>
      </w:r>
      <w:r w:rsidR="00C314E4" w:rsidRPr="000F438D">
        <w:t>года</w:t>
      </w:r>
      <w:r w:rsidR="000F438D">
        <w:t xml:space="preserve"> № 2024</w:t>
      </w:r>
      <w:r w:rsidRPr="000F438D">
        <w:t>-00</w:t>
      </w:r>
      <w:r w:rsidR="000F438D">
        <w:t>281</w:t>
      </w:r>
      <w:r w:rsidRPr="000F438D">
        <w:t xml:space="preserve"> проект закона Кабардино-Балкарской Республики </w:t>
      </w:r>
      <w:r w:rsidR="006B3DF7">
        <w:t>«</w:t>
      </w:r>
      <w:r w:rsidRPr="000F438D">
        <w:t xml:space="preserve">О республиканском бюджете </w:t>
      </w:r>
      <w:r w:rsidR="00793168" w:rsidRPr="000F438D">
        <w:br/>
      </w:r>
      <w:r w:rsidRPr="000F438D">
        <w:t>Кабардино-Балкарской Республики на 202</w:t>
      </w:r>
      <w:r w:rsidR="000F438D" w:rsidRPr="000F438D">
        <w:t>6</w:t>
      </w:r>
      <w:r w:rsidRPr="000F438D">
        <w:t xml:space="preserve"> год и на плановый период </w:t>
      </w:r>
      <w:r w:rsidR="00A77BA1">
        <w:br/>
      </w:r>
      <w:r w:rsidRPr="000F438D">
        <w:t>202</w:t>
      </w:r>
      <w:r w:rsidR="000F438D" w:rsidRPr="000F438D">
        <w:t>7</w:t>
      </w:r>
      <w:r w:rsidRPr="000F438D">
        <w:t xml:space="preserve"> и 202</w:t>
      </w:r>
      <w:r w:rsidR="000F438D" w:rsidRPr="000F438D">
        <w:t>8</w:t>
      </w:r>
      <w:r w:rsidRPr="000F438D">
        <w:t xml:space="preserve"> годов</w:t>
      </w:r>
      <w:r w:rsidR="006B3DF7">
        <w:t>»</w:t>
      </w:r>
      <w:r w:rsidRPr="000F438D">
        <w:t>, основные параметры бюджета по видам доходов, по видам расходов, разделам, подразделам, по видам источников финансирования дефицита бюджета, а также информация о потребности и предусмотренных средствах консолидированного бюджета</w:t>
      </w:r>
      <w:r w:rsidR="00542B65">
        <w:t xml:space="preserve"> </w:t>
      </w:r>
      <w:r w:rsidRPr="000F438D">
        <w:t>Кабардино-Балкарской Республики на повышение оплаты труда работников бюджетной сферы в 202</w:t>
      </w:r>
      <w:r w:rsidR="000F438D" w:rsidRPr="000F438D">
        <w:t>6</w:t>
      </w:r>
      <w:r w:rsidRPr="000F438D">
        <w:t>-202</w:t>
      </w:r>
      <w:r w:rsidR="000F438D" w:rsidRPr="000F438D">
        <w:t>8</w:t>
      </w:r>
      <w:r w:rsidRPr="000F438D">
        <w:t xml:space="preserve"> годах были своевременно направлены в </w:t>
      </w:r>
      <w:r w:rsidR="00AA0DE8" w:rsidRPr="009B4E24">
        <w:t>Мин</w:t>
      </w:r>
      <w:r w:rsidR="00AA0DE8">
        <w:t>фин РФ</w:t>
      </w:r>
      <w:r w:rsidR="00793168" w:rsidRPr="000F438D">
        <w:t xml:space="preserve"> на согласование.</w:t>
      </w:r>
    </w:p>
    <w:p w14:paraId="237DEE9E" w14:textId="072681D6" w:rsidR="005F1CD3" w:rsidRPr="00ED5F38" w:rsidRDefault="005F1CD3" w:rsidP="006B3DF7">
      <w:pPr>
        <w:widowControl/>
        <w:contextualSpacing/>
      </w:pPr>
      <w:r w:rsidRPr="00ED5F38">
        <w:t xml:space="preserve">Проект закона Кабардино-Балкарской Республики </w:t>
      </w:r>
      <w:r w:rsidR="006B3DF7">
        <w:t>«</w:t>
      </w:r>
      <w:r w:rsidRPr="00ED5F38">
        <w:t>О республиканском бюджете Кабардино-Балкарской Республики на 202</w:t>
      </w:r>
      <w:r w:rsidR="00ED5F38" w:rsidRPr="00ED5F38">
        <w:t>6</w:t>
      </w:r>
      <w:r w:rsidRPr="00ED5F38">
        <w:t xml:space="preserve"> год и на плановый период </w:t>
      </w:r>
      <w:r w:rsidR="00A77BA1">
        <w:br/>
      </w:r>
      <w:r w:rsidRPr="00ED5F38">
        <w:t>202</w:t>
      </w:r>
      <w:r w:rsidR="00ED5F38" w:rsidRPr="00ED5F38">
        <w:t>7</w:t>
      </w:r>
      <w:r w:rsidRPr="00ED5F38">
        <w:t xml:space="preserve"> и 202</w:t>
      </w:r>
      <w:r w:rsidR="00ED5F38" w:rsidRPr="00ED5F38">
        <w:t>8</w:t>
      </w:r>
      <w:r w:rsidRPr="00ED5F38">
        <w:t xml:space="preserve"> годов</w:t>
      </w:r>
      <w:r w:rsidR="006B3DF7">
        <w:t>»</w:t>
      </w:r>
      <w:r w:rsidRPr="00ED5F38">
        <w:t xml:space="preserve"> внесен на заседание Правительства Кабардино-Балкарской Республики и одобрен распоряжением Правительства КБР </w:t>
      </w:r>
      <w:r w:rsidR="00ED5F38" w:rsidRPr="00ED5F38">
        <w:t>от 17</w:t>
      </w:r>
      <w:r w:rsidR="000C03D2" w:rsidRPr="00ED5F38">
        <w:t>.10.202</w:t>
      </w:r>
      <w:r w:rsidR="00ED5F38" w:rsidRPr="00ED5F38">
        <w:t>5</w:t>
      </w:r>
      <w:r w:rsidR="00246F87">
        <w:t xml:space="preserve"> </w:t>
      </w:r>
      <w:r w:rsidR="00C314E4" w:rsidRPr="00ED5F38">
        <w:t>года</w:t>
      </w:r>
      <w:r w:rsidR="000C03D2" w:rsidRPr="00ED5F38">
        <w:t xml:space="preserve"> № 6</w:t>
      </w:r>
      <w:r w:rsidR="00ED5F38" w:rsidRPr="00ED5F38">
        <w:t>26</w:t>
      </w:r>
      <w:r w:rsidR="000C03D2" w:rsidRPr="00ED5F38">
        <w:t>-рп</w:t>
      </w:r>
      <w:r w:rsidRPr="00ED5F38">
        <w:t>, рассмотрен на заседаниях</w:t>
      </w:r>
      <w:r w:rsidR="002649A8" w:rsidRPr="00ED5F38">
        <w:t xml:space="preserve"> профильных</w:t>
      </w:r>
      <w:r w:rsidRPr="00ED5F38">
        <w:t xml:space="preserve"> комитетов Парламента республики с участием отраслевых министерств и ведомств Кабардино-Балкарской Республики, а также </w:t>
      </w:r>
      <w:r w:rsidR="002649A8" w:rsidRPr="00ED5F38">
        <w:t xml:space="preserve">прошел процедуру </w:t>
      </w:r>
      <w:r w:rsidRPr="00ED5F38">
        <w:t>публичных слушани</w:t>
      </w:r>
      <w:r w:rsidR="002649A8" w:rsidRPr="00ED5F38">
        <w:t>й</w:t>
      </w:r>
      <w:r w:rsidRPr="00ED5F38">
        <w:t>. Принятие законодательным органом проекта бюджета во втором чтении стало завершающей стадией сложной и объемной работы по формированию главного финансового документа республики, прошедшего все стадии бюджетного процесса.</w:t>
      </w:r>
    </w:p>
    <w:p w14:paraId="3137EE54" w14:textId="7D3C6359" w:rsidR="006E042B" w:rsidRPr="00FE7808" w:rsidRDefault="006E042B" w:rsidP="006B3DF7">
      <w:pPr>
        <w:widowControl/>
        <w:contextualSpacing/>
        <w:rPr>
          <w:rFonts w:eastAsia="Trebuchet MS"/>
        </w:rPr>
      </w:pPr>
      <w:r w:rsidRPr="00FE7808">
        <w:t>Исполнение республиканского бюджета в 202</w:t>
      </w:r>
      <w:r w:rsidR="00ED5F38" w:rsidRPr="00FE7808">
        <w:t>5</w:t>
      </w:r>
      <w:r w:rsidRPr="00FE7808">
        <w:t xml:space="preserve"> году осуществлялось в соответствии с </w:t>
      </w:r>
      <w:r w:rsidRPr="00FE7808">
        <w:rPr>
          <w:rFonts w:eastAsia="Trebuchet MS"/>
        </w:rPr>
        <w:t>Законом Кабардино-Балкарской Республики от 2</w:t>
      </w:r>
      <w:r w:rsidR="00FE7808" w:rsidRPr="00FE7808">
        <w:rPr>
          <w:rFonts w:eastAsia="Trebuchet MS"/>
        </w:rPr>
        <w:t>8</w:t>
      </w:r>
      <w:r w:rsidRPr="00FE7808">
        <w:rPr>
          <w:rFonts w:eastAsia="Trebuchet MS"/>
        </w:rPr>
        <w:t>.12.202</w:t>
      </w:r>
      <w:r w:rsidR="00ED5F38" w:rsidRPr="00FE7808">
        <w:rPr>
          <w:rFonts w:eastAsia="Trebuchet MS"/>
        </w:rPr>
        <w:t>4</w:t>
      </w:r>
      <w:r w:rsidR="00246F87">
        <w:rPr>
          <w:rFonts w:eastAsia="Trebuchet MS"/>
        </w:rPr>
        <w:t xml:space="preserve"> </w:t>
      </w:r>
      <w:r w:rsidR="00C314E4" w:rsidRPr="00FE7808">
        <w:rPr>
          <w:rFonts w:eastAsia="Trebuchet MS"/>
        </w:rPr>
        <w:t>года</w:t>
      </w:r>
      <w:r w:rsidRPr="00FE7808">
        <w:rPr>
          <w:rFonts w:eastAsia="Trebuchet MS"/>
        </w:rPr>
        <w:br/>
        <w:t xml:space="preserve">№ </w:t>
      </w:r>
      <w:r w:rsidR="00ED5F38" w:rsidRPr="00FE7808">
        <w:rPr>
          <w:rFonts w:eastAsia="Trebuchet MS"/>
        </w:rPr>
        <w:t>5</w:t>
      </w:r>
      <w:r w:rsidR="002649A8" w:rsidRPr="00FE7808">
        <w:rPr>
          <w:rFonts w:eastAsia="Trebuchet MS"/>
        </w:rPr>
        <w:t>2</w:t>
      </w:r>
      <w:r w:rsidRPr="00FE7808">
        <w:rPr>
          <w:rFonts w:eastAsia="Trebuchet MS"/>
        </w:rPr>
        <w:t xml:space="preserve">-РЗ </w:t>
      </w:r>
      <w:r w:rsidR="006B3DF7">
        <w:rPr>
          <w:rFonts w:eastAsia="Trebuchet MS"/>
        </w:rPr>
        <w:t>«</w:t>
      </w:r>
      <w:r w:rsidRPr="00FE7808">
        <w:rPr>
          <w:rFonts w:eastAsia="Trebuchet MS"/>
        </w:rPr>
        <w:t xml:space="preserve">О республиканском бюджете Кабардино-Балкарской Республики на </w:t>
      </w:r>
      <w:r w:rsidRPr="00FE7808">
        <w:rPr>
          <w:rFonts w:eastAsia="Trebuchet MS"/>
        </w:rPr>
        <w:br/>
        <w:t>202</w:t>
      </w:r>
      <w:r w:rsidR="00ED5F38" w:rsidRPr="00FE7808">
        <w:rPr>
          <w:rFonts w:eastAsia="Trebuchet MS"/>
        </w:rPr>
        <w:t>5</w:t>
      </w:r>
      <w:r w:rsidRPr="00FE7808">
        <w:rPr>
          <w:rFonts w:eastAsia="Trebuchet MS"/>
        </w:rPr>
        <w:t xml:space="preserve"> год и на плановый период 202</w:t>
      </w:r>
      <w:r w:rsidR="00ED5F38" w:rsidRPr="00FE7808">
        <w:rPr>
          <w:rFonts w:eastAsia="Trebuchet MS"/>
        </w:rPr>
        <w:t>6</w:t>
      </w:r>
      <w:r w:rsidRPr="00FE7808">
        <w:rPr>
          <w:rFonts w:eastAsia="Trebuchet MS"/>
        </w:rPr>
        <w:t xml:space="preserve"> и 202</w:t>
      </w:r>
      <w:r w:rsidR="00ED5F38" w:rsidRPr="00FE7808">
        <w:rPr>
          <w:rFonts w:eastAsia="Trebuchet MS"/>
        </w:rPr>
        <w:t>7</w:t>
      </w:r>
      <w:r w:rsidRPr="00FE7808">
        <w:rPr>
          <w:rFonts w:eastAsia="Trebuchet MS"/>
        </w:rPr>
        <w:t xml:space="preserve"> годов</w:t>
      </w:r>
      <w:r w:rsidR="006B3DF7">
        <w:rPr>
          <w:rFonts w:eastAsia="Trebuchet MS"/>
        </w:rPr>
        <w:t>»</w:t>
      </w:r>
      <w:r w:rsidRPr="00FE7808">
        <w:rPr>
          <w:rFonts w:eastAsia="Trebuchet MS"/>
        </w:rPr>
        <w:t>.</w:t>
      </w:r>
    </w:p>
    <w:p w14:paraId="49BED891" w14:textId="0E912FC7" w:rsidR="006E042B" w:rsidRPr="001A5D67" w:rsidRDefault="006E042B" w:rsidP="006B3DF7">
      <w:pPr>
        <w:widowControl/>
        <w:contextualSpacing/>
      </w:pPr>
      <w:r w:rsidRPr="001A5D67">
        <w:t>В целях организации исп</w:t>
      </w:r>
      <w:r w:rsidR="00D22E5A" w:rsidRPr="001A5D67">
        <w:t>олнения закона о бюджете на 202</w:t>
      </w:r>
      <w:r w:rsidR="001A5D67" w:rsidRPr="001A5D67">
        <w:t>5</w:t>
      </w:r>
      <w:r w:rsidRPr="001A5D67">
        <w:t>-202</w:t>
      </w:r>
      <w:r w:rsidR="001A5D67" w:rsidRPr="001A5D67">
        <w:t>7</w:t>
      </w:r>
      <w:r w:rsidRPr="001A5D67">
        <w:t xml:space="preserve"> годы </w:t>
      </w:r>
      <w:r w:rsidR="00D22E5A" w:rsidRPr="001A5D67">
        <w:t xml:space="preserve">утверждено </w:t>
      </w:r>
      <w:r w:rsidRPr="001A5D67">
        <w:t>постановление Правительства КБР от 2</w:t>
      </w:r>
      <w:r w:rsidR="001A5D67" w:rsidRPr="001A5D67">
        <w:t>8</w:t>
      </w:r>
      <w:r w:rsidR="00D22E5A" w:rsidRPr="001A5D67">
        <w:t>.0</w:t>
      </w:r>
      <w:r w:rsidR="001A5D67" w:rsidRPr="001A5D67">
        <w:t>1</w:t>
      </w:r>
      <w:r w:rsidRPr="001A5D67">
        <w:t>.202</w:t>
      </w:r>
      <w:r w:rsidR="001A5D67" w:rsidRPr="001A5D67">
        <w:t>5</w:t>
      </w:r>
      <w:r w:rsidR="00246F87">
        <w:t xml:space="preserve"> </w:t>
      </w:r>
      <w:r w:rsidR="00C314E4" w:rsidRPr="001A5D67">
        <w:t>года</w:t>
      </w:r>
      <w:r w:rsidR="00D22E5A" w:rsidRPr="001A5D67">
        <w:t xml:space="preserve"> № </w:t>
      </w:r>
      <w:r w:rsidR="001A5D67" w:rsidRPr="001A5D67">
        <w:t>6</w:t>
      </w:r>
      <w:r w:rsidRPr="001A5D67">
        <w:t xml:space="preserve">-ПП </w:t>
      </w:r>
      <w:r w:rsidR="006B3DF7">
        <w:t>«</w:t>
      </w:r>
      <w:r w:rsidR="00D22E5A" w:rsidRPr="001A5D67">
        <w:t xml:space="preserve">Об особенностях реализации Закона Кабардино-Балкарской Республики </w:t>
      </w:r>
      <w:r w:rsidR="006B3DF7">
        <w:t>«</w:t>
      </w:r>
      <w:r w:rsidR="00D22E5A" w:rsidRPr="001A5D67">
        <w:t>О республиканском бюджете Кабардино-Балкарской Республики на 202</w:t>
      </w:r>
      <w:r w:rsidR="001A5D67" w:rsidRPr="001A5D67">
        <w:t>5</w:t>
      </w:r>
      <w:r w:rsidR="00D22E5A" w:rsidRPr="001A5D67">
        <w:t xml:space="preserve"> год и на плановый период </w:t>
      </w:r>
      <w:r w:rsidR="00A77BA1">
        <w:br/>
      </w:r>
      <w:r w:rsidR="00D22E5A" w:rsidRPr="001A5D67">
        <w:t>202</w:t>
      </w:r>
      <w:r w:rsidR="001A5D67" w:rsidRPr="001A5D67">
        <w:t>6</w:t>
      </w:r>
      <w:r w:rsidR="00D22E5A" w:rsidRPr="001A5D67">
        <w:t xml:space="preserve"> и 202</w:t>
      </w:r>
      <w:r w:rsidR="001A5D67" w:rsidRPr="001A5D67">
        <w:t>7</w:t>
      </w:r>
      <w:r w:rsidR="00D22E5A" w:rsidRPr="001A5D67">
        <w:t xml:space="preserve"> годов</w:t>
      </w:r>
      <w:r w:rsidR="006B3DF7">
        <w:t>»</w:t>
      </w:r>
      <w:r w:rsidRPr="001A5D67">
        <w:t>.</w:t>
      </w:r>
    </w:p>
    <w:p w14:paraId="39871A87" w14:textId="77777777" w:rsidR="00084D6E" w:rsidRPr="001A5D67" w:rsidRDefault="006E042B" w:rsidP="006B3DF7">
      <w:pPr>
        <w:widowControl/>
        <w:contextualSpacing/>
      </w:pPr>
      <w:r w:rsidRPr="001A5D67">
        <w:t xml:space="preserve">Для </w:t>
      </w:r>
      <w:r w:rsidR="00084D6E" w:rsidRPr="001A5D67">
        <w:t>обеспечения финансирования расходов республиканского бюджета бюджетные ассигнования и лимиты бюджетных обязательств на 202</w:t>
      </w:r>
      <w:r w:rsidR="00D22E5A" w:rsidRPr="001A5D67">
        <w:t>4</w:t>
      </w:r>
      <w:r w:rsidR="00084D6E" w:rsidRPr="001A5D67">
        <w:t xml:space="preserve"> год были своевременно доведены до 29 главных распорядителей средств республиканского бюджета Кабардино-Балкарской Республики, сводная бюджетная роспись респу</w:t>
      </w:r>
      <w:r w:rsidR="00B64217" w:rsidRPr="001A5D67">
        <w:t>бликанского бюджета утверждена 01</w:t>
      </w:r>
      <w:r w:rsidR="00084D6E" w:rsidRPr="001A5D67">
        <w:t>.</w:t>
      </w:r>
      <w:r w:rsidR="00B64217" w:rsidRPr="001A5D67">
        <w:t>01</w:t>
      </w:r>
      <w:r w:rsidR="00084D6E" w:rsidRPr="001A5D67">
        <w:rPr>
          <w:shd w:val="clear" w:color="auto" w:fill="FFFFFF"/>
        </w:rPr>
        <w:t>.202</w:t>
      </w:r>
      <w:r w:rsidR="001A5D67" w:rsidRPr="001A5D67">
        <w:rPr>
          <w:shd w:val="clear" w:color="auto" w:fill="FFFFFF"/>
        </w:rPr>
        <w:t>5</w:t>
      </w:r>
      <w:r w:rsidR="00246F87">
        <w:rPr>
          <w:shd w:val="clear" w:color="auto" w:fill="FFFFFF"/>
        </w:rPr>
        <w:t xml:space="preserve"> </w:t>
      </w:r>
      <w:r w:rsidR="00C314E4" w:rsidRPr="001A5D67">
        <w:rPr>
          <w:shd w:val="clear" w:color="auto" w:fill="FFFFFF"/>
        </w:rPr>
        <w:t>года</w:t>
      </w:r>
      <w:r w:rsidR="00084D6E" w:rsidRPr="001A5D67">
        <w:t>, финансирование открыто в первый рабочий день года.</w:t>
      </w:r>
    </w:p>
    <w:p w14:paraId="0F117D72" w14:textId="77777777" w:rsidR="002E0D37" w:rsidRPr="002E3AA7" w:rsidRDefault="00F2054D" w:rsidP="006B3DF7">
      <w:pPr>
        <w:pStyle w:val="a"/>
        <w:numPr>
          <w:ilvl w:val="0"/>
          <w:numId w:val="0"/>
        </w:numPr>
        <w:spacing w:before="0" w:after="0"/>
        <w:ind w:firstLine="709"/>
        <w:jc w:val="both"/>
        <w:rPr>
          <w:rFonts w:eastAsiaTheme="minorHAnsi"/>
        </w:rPr>
      </w:pPr>
      <w:r w:rsidRPr="002E3AA7">
        <w:rPr>
          <w:rFonts w:eastAsiaTheme="minorHAnsi"/>
        </w:rPr>
        <w:t>В 202</w:t>
      </w:r>
      <w:r w:rsidR="002E3AA7">
        <w:rPr>
          <w:rFonts w:eastAsiaTheme="minorHAnsi"/>
        </w:rPr>
        <w:t>5</w:t>
      </w:r>
      <w:r w:rsidRPr="002E3AA7">
        <w:rPr>
          <w:rFonts w:eastAsiaTheme="minorHAnsi"/>
        </w:rPr>
        <w:t xml:space="preserve"> году было </w:t>
      </w:r>
      <w:r w:rsidR="00FD2436" w:rsidRPr="002E3AA7">
        <w:rPr>
          <w:rFonts w:eastAsiaTheme="minorHAnsi"/>
        </w:rPr>
        <w:t xml:space="preserve">проверено и обработано </w:t>
      </w:r>
      <w:r w:rsidR="00D22E5A" w:rsidRPr="002E3AA7">
        <w:rPr>
          <w:rFonts w:eastAsiaTheme="minorHAnsi"/>
        </w:rPr>
        <w:t>3</w:t>
      </w:r>
      <w:r w:rsidR="002E3AA7" w:rsidRPr="002E3AA7">
        <w:rPr>
          <w:rFonts w:eastAsiaTheme="minorHAnsi"/>
        </w:rPr>
        <w:t>102</w:t>
      </w:r>
      <w:r w:rsidR="00FD2436" w:rsidRPr="002E3AA7">
        <w:rPr>
          <w:rFonts w:eastAsiaTheme="minorHAnsi"/>
        </w:rPr>
        <w:t xml:space="preserve"> уведомлени</w:t>
      </w:r>
      <w:r w:rsidR="00446DF2">
        <w:rPr>
          <w:rFonts w:eastAsiaTheme="minorHAnsi"/>
        </w:rPr>
        <w:t>я</w:t>
      </w:r>
      <w:r w:rsidR="00FD2436" w:rsidRPr="002E3AA7">
        <w:rPr>
          <w:rFonts w:eastAsiaTheme="minorHAnsi"/>
        </w:rPr>
        <w:t xml:space="preserve"> об изменении бюджетных назначений.</w:t>
      </w:r>
    </w:p>
    <w:p w14:paraId="2D062E12" w14:textId="77777777" w:rsidR="0027553F" w:rsidRPr="00580F5F" w:rsidRDefault="0027553F" w:rsidP="006B3DF7">
      <w:pPr>
        <w:contextualSpacing/>
      </w:pPr>
      <w:r w:rsidRPr="00580F5F">
        <w:rPr>
          <w:b/>
        </w:rPr>
        <w:t xml:space="preserve">Исполнение основных параметров </w:t>
      </w:r>
      <w:r w:rsidRPr="00580F5F">
        <w:t xml:space="preserve">республиканского бюджета </w:t>
      </w:r>
      <w:r w:rsidRPr="00580F5F">
        <w:br/>
      </w:r>
      <w:r w:rsidRPr="00580F5F">
        <w:rPr>
          <w:rFonts w:eastAsia="Trebuchet MS"/>
        </w:rPr>
        <w:t xml:space="preserve">Кабардино-Балкарской Республики </w:t>
      </w:r>
      <w:r w:rsidRPr="00580F5F">
        <w:t>за 202</w:t>
      </w:r>
      <w:r w:rsidR="00580F5F" w:rsidRPr="00580F5F">
        <w:t>5</w:t>
      </w:r>
      <w:r w:rsidRPr="00580F5F">
        <w:t xml:space="preserve"> год характеризуется следующим образом:</w:t>
      </w:r>
    </w:p>
    <w:p w14:paraId="150D3780" w14:textId="77777777" w:rsidR="001D28E5" w:rsidRPr="001D28E5" w:rsidRDefault="001D28E5" w:rsidP="006B3DF7">
      <w:pPr>
        <w:contextualSpacing/>
      </w:pPr>
      <w:r w:rsidRPr="001D28E5">
        <w:rPr>
          <w:b/>
        </w:rPr>
        <w:t>Доходы</w:t>
      </w:r>
      <w:r w:rsidRPr="001D28E5">
        <w:t xml:space="preserve"> республиканского бюджета исполнены в объеме 67 138,8 млн рублей или 100,7 % от годовых плановых назначений, с темпом к аналогичному периоду прошлого года 107,6 %. Налоговые и неналоговые доходы исполнены на 102,2 % от плановых назначений и составили 24 258,3 млн рублей, с темпом к 2024 году 114,9%.</w:t>
      </w:r>
    </w:p>
    <w:p w14:paraId="3716DA21" w14:textId="77777777" w:rsidR="001D28E5" w:rsidRPr="001D28E5" w:rsidRDefault="001D28E5" w:rsidP="006B3DF7">
      <w:pPr>
        <w:contextualSpacing/>
      </w:pPr>
      <w:r w:rsidRPr="001D28E5">
        <w:rPr>
          <w:bCs/>
        </w:rPr>
        <w:t xml:space="preserve">Безвозмездные поступления исполнены в объеме 42 880,6 млн рублей или </w:t>
      </w:r>
      <w:r w:rsidRPr="001D28E5">
        <w:rPr>
          <w:bCs/>
        </w:rPr>
        <w:br/>
        <w:t>99,9 % от плановых назначений, с темпом к аналогичному периоду 103,9 %.</w:t>
      </w:r>
    </w:p>
    <w:p w14:paraId="34FE5AB7" w14:textId="4074DBA5" w:rsidR="00F26502" w:rsidRPr="00DD3C61" w:rsidRDefault="00F26502" w:rsidP="006B3DF7">
      <w:pPr>
        <w:contextualSpacing/>
      </w:pPr>
      <w:r w:rsidRPr="00DD3C61">
        <w:rPr>
          <w:b/>
        </w:rPr>
        <w:t>Расходы</w:t>
      </w:r>
      <w:r w:rsidRPr="00DD3C61">
        <w:t xml:space="preserve"> республиканского бюджета исполнены в объеме </w:t>
      </w:r>
      <w:r w:rsidR="00DD3C61" w:rsidRPr="00DD3C61">
        <w:t>69 126,0</w:t>
      </w:r>
      <w:r w:rsidR="00B31270" w:rsidRPr="00DD3C61">
        <w:t xml:space="preserve"> млн рублей (</w:t>
      </w:r>
      <w:r w:rsidR="00DD3C61" w:rsidRPr="00DD3C61">
        <w:t>темп роста к 2024 году 109,4%</w:t>
      </w:r>
      <w:r w:rsidR="00B31270" w:rsidRPr="00DD3C61">
        <w:t xml:space="preserve">) или </w:t>
      </w:r>
      <w:r w:rsidR="00DD3C61" w:rsidRPr="00DD3C61">
        <w:t>96,9</w:t>
      </w:r>
      <w:r w:rsidRPr="00DD3C61">
        <w:t xml:space="preserve"> % от запланированных годовых назначений. </w:t>
      </w:r>
    </w:p>
    <w:p w14:paraId="1CEADE19" w14:textId="7ED9050D" w:rsidR="0027553F" w:rsidRPr="00DD3C61" w:rsidRDefault="0027553F" w:rsidP="006B3DF7">
      <w:pPr>
        <w:contextualSpacing/>
      </w:pPr>
      <w:r w:rsidRPr="00DD3C61">
        <w:rPr>
          <w:b/>
        </w:rPr>
        <w:t>Дефицит</w:t>
      </w:r>
      <w:r w:rsidRPr="00DD3C61">
        <w:t xml:space="preserve"> – </w:t>
      </w:r>
      <w:r w:rsidR="00DD3C61" w:rsidRPr="00DD3C61">
        <w:t>1 987,2</w:t>
      </w:r>
      <w:r w:rsidRPr="00DD3C61">
        <w:t xml:space="preserve"> млн рублей.</w:t>
      </w:r>
    </w:p>
    <w:p w14:paraId="795720B9" w14:textId="7482CA58" w:rsidR="00725A75" w:rsidRDefault="00725A75" w:rsidP="006B3DF7">
      <w:pPr>
        <w:jc w:val="center"/>
        <w:rPr>
          <w:b/>
          <w:bCs/>
          <w:color w:val="FF0000"/>
        </w:rPr>
      </w:pPr>
    </w:p>
    <w:p w14:paraId="1E8F4987" w14:textId="04CFFA38" w:rsidR="0027553F" w:rsidRPr="001D28E5" w:rsidRDefault="0027553F" w:rsidP="006B3DF7">
      <w:pPr>
        <w:jc w:val="center"/>
        <w:rPr>
          <w:b/>
          <w:bCs/>
          <w:i/>
        </w:rPr>
      </w:pPr>
      <w:r w:rsidRPr="001D28E5">
        <w:rPr>
          <w:b/>
          <w:bCs/>
        </w:rPr>
        <w:t>ИСПОЛНЕНИЕ ОСНОВНЫХ ПАРАМЕТРОВ РЕСПУБЛИКАНСКОГО БЮДЖЕТА КБР ЗА 202</w:t>
      </w:r>
      <w:r w:rsidR="001D28E5" w:rsidRPr="001D28E5">
        <w:rPr>
          <w:b/>
          <w:bCs/>
        </w:rPr>
        <w:t>5</w:t>
      </w:r>
      <w:r w:rsidRPr="001D28E5">
        <w:rPr>
          <w:b/>
          <w:bCs/>
        </w:rPr>
        <w:t xml:space="preserve"> год</w:t>
      </w:r>
    </w:p>
    <w:p w14:paraId="7A047E4E" w14:textId="77777777" w:rsidR="0027553F" w:rsidRPr="001D28E5" w:rsidRDefault="0027553F" w:rsidP="006B3DF7">
      <w:pPr>
        <w:rPr>
          <w:sz w:val="10"/>
          <w:szCs w:val="10"/>
        </w:rPr>
      </w:pPr>
    </w:p>
    <w:p w14:paraId="196E745E" w14:textId="77777777" w:rsidR="0027553F" w:rsidRPr="001D28E5" w:rsidRDefault="0027553F" w:rsidP="006B3DF7">
      <w:pPr>
        <w:jc w:val="right"/>
        <w:rPr>
          <w:i/>
          <w:iCs/>
          <w:sz w:val="24"/>
          <w:szCs w:val="24"/>
        </w:rPr>
      </w:pPr>
      <w:r w:rsidRPr="001D28E5">
        <w:rPr>
          <w:i/>
          <w:iCs/>
          <w:sz w:val="24"/>
          <w:szCs w:val="24"/>
        </w:rPr>
        <w:t>(млн рублей)</w:t>
      </w:r>
    </w:p>
    <w:p w14:paraId="3D7301B5" w14:textId="77777777" w:rsidR="00FB79EA" w:rsidRPr="00C014DC" w:rsidRDefault="00FB79EA" w:rsidP="006B3DF7">
      <w:pPr>
        <w:jc w:val="right"/>
        <w:rPr>
          <w:i/>
          <w:iCs/>
          <w:color w:val="FF0000"/>
          <w:sz w:val="24"/>
          <w:szCs w:val="24"/>
        </w:rPr>
      </w:pPr>
    </w:p>
    <w:tbl>
      <w:tblPr>
        <w:tblW w:w="10377" w:type="dxa"/>
        <w:tblInd w:w="108" w:type="dxa"/>
        <w:tblLook w:val="04A0" w:firstRow="1" w:lastRow="0" w:firstColumn="1" w:lastColumn="0" w:noHBand="0" w:noVBand="1"/>
      </w:tblPr>
      <w:tblGrid>
        <w:gridCol w:w="2914"/>
        <w:gridCol w:w="1765"/>
        <w:gridCol w:w="1276"/>
        <w:gridCol w:w="1387"/>
        <w:gridCol w:w="1856"/>
        <w:gridCol w:w="1179"/>
      </w:tblGrid>
      <w:tr w:rsidR="001D28E5" w:rsidRPr="0087105A" w14:paraId="66BA96DE" w14:textId="77777777" w:rsidTr="001D28E5">
        <w:trPr>
          <w:trHeight w:val="698"/>
        </w:trPr>
        <w:tc>
          <w:tcPr>
            <w:tcW w:w="2914" w:type="dxa"/>
            <w:vMerge w:val="restart"/>
            <w:tcBorders>
              <w:top w:val="single" w:sz="4" w:space="0" w:color="000000"/>
              <w:left w:val="single" w:sz="4" w:space="0" w:color="000000"/>
              <w:bottom w:val="single" w:sz="4" w:space="0" w:color="000000"/>
              <w:right w:val="single" w:sz="4" w:space="0" w:color="000000"/>
            </w:tcBorders>
            <w:shd w:val="clear" w:color="auto" w:fill="EDFADC" w:themeFill="accent3" w:themeFillTint="33"/>
            <w:vAlign w:val="center"/>
            <w:hideMark/>
          </w:tcPr>
          <w:p w14:paraId="76ABC4E7" w14:textId="77777777" w:rsidR="001D28E5" w:rsidRPr="0087105A" w:rsidRDefault="001D28E5" w:rsidP="006B3DF7">
            <w:pPr>
              <w:widowControl/>
              <w:jc w:val="center"/>
              <w:rPr>
                <w:b/>
                <w:bCs/>
                <w:color w:val="auto"/>
                <w:sz w:val="24"/>
                <w:szCs w:val="24"/>
                <w:lang w:eastAsia="ru-RU"/>
              </w:rPr>
            </w:pPr>
            <w:r w:rsidRPr="0087105A">
              <w:rPr>
                <w:b/>
                <w:bCs/>
                <w:color w:val="auto"/>
                <w:sz w:val="24"/>
                <w:szCs w:val="24"/>
                <w:lang w:eastAsia="ru-RU"/>
              </w:rPr>
              <w:t>Наименование показателей</w:t>
            </w:r>
          </w:p>
        </w:tc>
        <w:tc>
          <w:tcPr>
            <w:tcW w:w="1765" w:type="dxa"/>
            <w:tcBorders>
              <w:top w:val="single" w:sz="4" w:space="0" w:color="000000"/>
              <w:left w:val="nil"/>
              <w:bottom w:val="single" w:sz="4" w:space="0" w:color="000000"/>
              <w:right w:val="single" w:sz="4" w:space="0" w:color="000000"/>
            </w:tcBorders>
            <w:shd w:val="clear" w:color="auto" w:fill="EDFADC" w:themeFill="accent3" w:themeFillTint="33"/>
            <w:vAlign w:val="center"/>
            <w:hideMark/>
          </w:tcPr>
          <w:p w14:paraId="36ADD711" w14:textId="77777777" w:rsidR="001D28E5" w:rsidRPr="0087105A" w:rsidRDefault="001D28E5" w:rsidP="001836C3">
            <w:pPr>
              <w:widowControl/>
              <w:ind w:firstLine="0"/>
              <w:jc w:val="center"/>
              <w:rPr>
                <w:b/>
                <w:bCs/>
                <w:color w:val="auto"/>
                <w:lang w:eastAsia="ru-RU"/>
              </w:rPr>
            </w:pPr>
            <w:r w:rsidRPr="0087105A">
              <w:rPr>
                <w:b/>
                <w:bCs/>
                <w:color w:val="auto"/>
                <w:lang w:eastAsia="ru-RU"/>
              </w:rPr>
              <w:t>Годовой план 2025 год</w:t>
            </w:r>
          </w:p>
        </w:tc>
        <w:tc>
          <w:tcPr>
            <w:tcW w:w="5698" w:type="dxa"/>
            <w:gridSpan w:val="4"/>
            <w:tcBorders>
              <w:top w:val="single" w:sz="4" w:space="0" w:color="auto"/>
              <w:left w:val="single" w:sz="4" w:space="0" w:color="auto"/>
              <w:bottom w:val="single" w:sz="4" w:space="0" w:color="auto"/>
              <w:right w:val="single" w:sz="4" w:space="0" w:color="auto"/>
            </w:tcBorders>
            <w:shd w:val="clear" w:color="auto" w:fill="EDFADC" w:themeFill="accent3" w:themeFillTint="33"/>
            <w:vAlign w:val="center"/>
            <w:hideMark/>
          </w:tcPr>
          <w:p w14:paraId="46207879" w14:textId="77777777" w:rsidR="001D28E5" w:rsidRPr="0087105A" w:rsidRDefault="001D28E5" w:rsidP="006B3DF7">
            <w:pPr>
              <w:widowControl/>
              <w:jc w:val="center"/>
              <w:rPr>
                <w:b/>
                <w:bCs/>
                <w:color w:val="auto"/>
                <w:lang w:eastAsia="ru-RU"/>
              </w:rPr>
            </w:pPr>
            <w:r w:rsidRPr="0087105A">
              <w:rPr>
                <w:b/>
                <w:bCs/>
                <w:color w:val="auto"/>
                <w:lang w:eastAsia="ru-RU"/>
              </w:rPr>
              <w:t>Исполнено за 2025 год</w:t>
            </w:r>
          </w:p>
        </w:tc>
      </w:tr>
      <w:tr w:rsidR="001D28E5" w:rsidRPr="0087105A" w14:paraId="725CF2FC" w14:textId="77777777" w:rsidTr="001D28E5">
        <w:trPr>
          <w:trHeight w:val="1409"/>
        </w:trPr>
        <w:tc>
          <w:tcPr>
            <w:tcW w:w="2914" w:type="dxa"/>
            <w:vMerge/>
            <w:tcBorders>
              <w:top w:val="single" w:sz="4" w:space="0" w:color="000000"/>
              <w:left w:val="single" w:sz="4" w:space="0" w:color="000000"/>
              <w:bottom w:val="single" w:sz="4" w:space="0" w:color="000000"/>
              <w:right w:val="single" w:sz="4" w:space="0" w:color="000000"/>
            </w:tcBorders>
            <w:shd w:val="clear" w:color="auto" w:fill="EDFADC" w:themeFill="accent3" w:themeFillTint="33"/>
            <w:vAlign w:val="center"/>
            <w:hideMark/>
          </w:tcPr>
          <w:p w14:paraId="1F3AA57B" w14:textId="77777777" w:rsidR="001D28E5" w:rsidRPr="0087105A" w:rsidRDefault="001D28E5" w:rsidP="006B3DF7">
            <w:pPr>
              <w:widowControl/>
              <w:jc w:val="left"/>
              <w:rPr>
                <w:b/>
                <w:bCs/>
                <w:color w:val="auto"/>
                <w:sz w:val="24"/>
                <w:szCs w:val="24"/>
                <w:lang w:eastAsia="ru-RU"/>
              </w:rPr>
            </w:pPr>
          </w:p>
        </w:tc>
        <w:tc>
          <w:tcPr>
            <w:tcW w:w="1765" w:type="dxa"/>
            <w:tcBorders>
              <w:top w:val="nil"/>
              <w:left w:val="nil"/>
              <w:bottom w:val="single" w:sz="4" w:space="0" w:color="000000"/>
              <w:right w:val="single" w:sz="4" w:space="0" w:color="000000"/>
            </w:tcBorders>
            <w:shd w:val="clear" w:color="auto" w:fill="EDFADC" w:themeFill="accent3" w:themeFillTint="33"/>
            <w:vAlign w:val="center"/>
            <w:hideMark/>
          </w:tcPr>
          <w:p w14:paraId="27EB2991" w14:textId="77777777" w:rsidR="001D28E5" w:rsidRPr="0087105A" w:rsidRDefault="001D28E5" w:rsidP="001836C3">
            <w:pPr>
              <w:widowControl/>
              <w:ind w:firstLine="0"/>
              <w:rPr>
                <w:b/>
                <w:bCs/>
                <w:color w:val="auto"/>
                <w:lang w:eastAsia="ru-RU"/>
              </w:rPr>
            </w:pPr>
            <w:r w:rsidRPr="0087105A">
              <w:rPr>
                <w:b/>
                <w:bCs/>
                <w:color w:val="auto"/>
                <w:lang w:eastAsia="ru-RU"/>
              </w:rPr>
              <w:t>млн рублей</w:t>
            </w:r>
          </w:p>
        </w:tc>
        <w:tc>
          <w:tcPr>
            <w:tcW w:w="1276" w:type="dxa"/>
            <w:tcBorders>
              <w:top w:val="nil"/>
              <w:left w:val="single" w:sz="4" w:space="0" w:color="auto"/>
              <w:bottom w:val="single" w:sz="4" w:space="0" w:color="auto"/>
              <w:right w:val="single" w:sz="4" w:space="0" w:color="auto"/>
            </w:tcBorders>
            <w:shd w:val="clear" w:color="auto" w:fill="EDFADC" w:themeFill="accent3" w:themeFillTint="33"/>
            <w:vAlign w:val="center"/>
            <w:hideMark/>
          </w:tcPr>
          <w:p w14:paraId="03A656E7" w14:textId="77777777" w:rsidR="001D28E5" w:rsidRPr="0087105A" w:rsidRDefault="001D28E5" w:rsidP="001836C3">
            <w:pPr>
              <w:widowControl/>
              <w:ind w:firstLine="0"/>
              <w:jc w:val="center"/>
              <w:rPr>
                <w:b/>
                <w:bCs/>
                <w:color w:val="auto"/>
                <w:lang w:eastAsia="ru-RU"/>
              </w:rPr>
            </w:pPr>
            <w:r w:rsidRPr="0087105A">
              <w:rPr>
                <w:b/>
                <w:bCs/>
                <w:color w:val="auto"/>
                <w:lang w:eastAsia="ru-RU"/>
              </w:rPr>
              <w:t>млн рублей</w:t>
            </w:r>
          </w:p>
        </w:tc>
        <w:tc>
          <w:tcPr>
            <w:tcW w:w="1387" w:type="dxa"/>
            <w:tcBorders>
              <w:top w:val="nil"/>
              <w:left w:val="nil"/>
              <w:bottom w:val="single" w:sz="4" w:space="0" w:color="auto"/>
              <w:right w:val="single" w:sz="4" w:space="0" w:color="auto"/>
            </w:tcBorders>
            <w:shd w:val="clear" w:color="auto" w:fill="EDFADC" w:themeFill="accent3" w:themeFillTint="33"/>
            <w:vAlign w:val="center"/>
            <w:hideMark/>
          </w:tcPr>
          <w:p w14:paraId="1F608A60" w14:textId="77777777" w:rsidR="001D28E5" w:rsidRPr="0087105A" w:rsidRDefault="001D28E5" w:rsidP="001836C3">
            <w:pPr>
              <w:widowControl/>
              <w:ind w:firstLine="0"/>
              <w:jc w:val="center"/>
              <w:rPr>
                <w:b/>
                <w:bCs/>
                <w:color w:val="auto"/>
                <w:lang w:eastAsia="ru-RU"/>
              </w:rPr>
            </w:pPr>
            <w:r w:rsidRPr="0087105A">
              <w:rPr>
                <w:b/>
                <w:bCs/>
                <w:color w:val="auto"/>
                <w:lang w:eastAsia="ru-RU"/>
              </w:rPr>
              <w:t>в % к годовому плану</w:t>
            </w:r>
          </w:p>
        </w:tc>
        <w:tc>
          <w:tcPr>
            <w:tcW w:w="1856" w:type="dxa"/>
            <w:tcBorders>
              <w:top w:val="nil"/>
              <w:left w:val="nil"/>
              <w:bottom w:val="single" w:sz="4" w:space="0" w:color="auto"/>
              <w:right w:val="single" w:sz="4" w:space="0" w:color="auto"/>
            </w:tcBorders>
            <w:shd w:val="clear" w:color="auto" w:fill="EDFADC" w:themeFill="accent3" w:themeFillTint="33"/>
            <w:vAlign w:val="center"/>
            <w:hideMark/>
          </w:tcPr>
          <w:p w14:paraId="55A95007" w14:textId="77777777" w:rsidR="001D28E5" w:rsidRPr="0087105A" w:rsidRDefault="001D28E5" w:rsidP="001836C3">
            <w:pPr>
              <w:widowControl/>
              <w:ind w:firstLine="0"/>
              <w:jc w:val="center"/>
              <w:rPr>
                <w:b/>
                <w:bCs/>
                <w:color w:val="auto"/>
                <w:lang w:eastAsia="ru-RU"/>
              </w:rPr>
            </w:pPr>
            <w:r w:rsidRPr="0087105A">
              <w:rPr>
                <w:b/>
                <w:bCs/>
                <w:color w:val="auto"/>
                <w:lang w:eastAsia="ru-RU"/>
              </w:rPr>
              <w:t>изменение к прошлому году, млн рублей</w:t>
            </w:r>
          </w:p>
        </w:tc>
        <w:tc>
          <w:tcPr>
            <w:tcW w:w="1179" w:type="dxa"/>
            <w:tcBorders>
              <w:top w:val="nil"/>
              <w:left w:val="nil"/>
              <w:bottom w:val="single" w:sz="4" w:space="0" w:color="auto"/>
              <w:right w:val="single" w:sz="4" w:space="0" w:color="auto"/>
            </w:tcBorders>
            <w:shd w:val="clear" w:color="auto" w:fill="EDFADC" w:themeFill="accent3" w:themeFillTint="33"/>
            <w:vAlign w:val="center"/>
            <w:hideMark/>
          </w:tcPr>
          <w:p w14:paraId="5B6FFD80" w14:textId="77777777" w:rsidR="001D28E5" w:rsidRPr="0087105A" w:rsidRDefault="001D28E5" w:rsidP="001836C3">
            <w:pPr>
              <w:widowControl/>
              <w:ind w:firstLine="0"/>
              <w:jc w:val="center"/>
              <w:rPr>
                <w:b/>
                <w:bCs/>
                <w:color w:val="auto"/>
                <w:lang w:eastAsia="ru-RU"/>
              </w:rPr>
            </w:pPr>
            <w:r w:rsidRPr="0087105A">
              <w:rPr>
                <w:b/>
                <w:bCs/>
                <w:color w:val="auto"/>
                <w:lang w:eastAsia="ru-RU"/>
              </w:rPr>
              <w:t xml:space="preserve">темп роста к </w:t>
            </w:r>
            <w:r>
              <w:rPr>
                <w:b/>
                <w:bCs/>
                <w:color w:val="auto"/>
                <w:lang w:eastAsia="ru-RU"/>
              </w:rPr>
              <w:t xml:space="preserve">уровню </w:t>
            </w:r>
            <w:r w:rsidRPr="0087105A">
              <w:rPr>
                <w:b/>
                <w:bCs/>
                <w:color w:val="auto"/>
                <w:lang w:eastAsia="ru-RU"/>
              </w:rPr>
              <w:t>202</w:t>
            </w:r>
            <w:r>
              <w:rPr>
                <w:b/>
                <w:bCs/>
                <w:color w:val="auto"/>
                <w:lang w:eastAsia="ru-RU"/>
              </w:rPr>
              <w:t>4</w:t>
            </w:r>
            <w:r w:rsidRPr="0087105A">
              <w:rPr>
                <w:b/>
                <w:bCs/>
                <w:color w:val="auto"/>
                <w:lang w:eastAsia="ru-RU"/>
              </w:rPr>
              <w:t xml:space="preserve"> год</w:t>
            </w:r>
            <w:r>
              <w:rPr>
                <w:b/>
                <w:bCs/>
                <w:color w:val="auto"/>
                <w:lang w:eastAsia="ru-RU"/>
              </w:rPr>
              <w:t>а</w:t>
            </w:r>
          </w:p>
        </w:tc>
      </w:tr>
      <w:tr w:rsidR="001D28E5" w:rsidRPr="00C014DC" w14:paraId="7019202E" w14:textId="77777777" w:rsidTr="00790A72">
        <w:trPr>
          <w:trHeight w:val="735"/>
        </w:trPr>
        <w:tc>
          <w:tcPr>
            <w:tcW w:w="2914" w:type="dxa"/>
            <w:tcBorders>
              <w:top w:val="nil"/>
              <w:left w:val="single" w:sz="4" w:space="0" w:color="000000"/>
              <w:bottom w:val="single" w:sz="4" w:space="0" w:color="000000"/>
              <w:right w:val="single" w:sz="4" w:space="0" w:color="000000"/>
            </w:tcBorders>
            <w:shd w:val="clear" w:color="auto" w:fill="CCFF99"/>
            <w:vAlign w:val="center"/>
            <w:hideMark/>
          </w:tcPr>
          <w:p w14:paraId="72E2A56E" w14:textId="77777777" w:rsidR="001D28E5" w:rsidRPr="00583033" w:rsidRDefault="001D28E5" w:rsidP="001836C3">
            <w:pPr>
              <w:widowControl/>
              <w:ind w:firstLine="0"/>
              <w:jc w:val="left"/>
              <w:rPr>
                <w:b/>
                <w:bCs/>
                <w:color w:val="auto"/>
                <w:sz w:val="24"/>
                <w:szCs w:val="24"/>
                <w:lang w:eastAsia="ru-RU"/>
              </w:rPr>
            </w:pPr>
            <w:r w:rsidRPr="00583033">
              <w:rPr>
                <w:b/>
                <w:bCs/>
                <w:color w:val="auto"/>
                <w:sz w:val="24"/>
                <w:szCs w:val="24"/>
                <w:lang w:eastAsia="ru-RU"/>
              </w:rPr>
              <w:t>НАЛОГОВЫЕ И НЕНАЛОГОВЫЕ ДОХОДЫ</w:t>
            </w:r>
          </w:p>
        </w:tc>
        <w:tc>
          <w:tcPr>
            <w:tcW w:w="1765" w:type="dxa"/>
            <w:tcBorders>
              <w:top w:val="nil"/>
              <w:left w:val="nil"/>
              <w:bottom w:val="single" w:sz="8" w:space="0" w:color="000000"/>
              <w:right w:val="single" w:sz="8" w:space="0" w:color="000000"/>
            </w:tcBorders>
            <w:shd w:val="clear" w:color="auto" w:fill="CCFF99"/>
            <w:noWrap/>
            <w:vAlign w:val="center"/>
            <w:hideMark/>
          </w:tcPr>
          <w:p w14:paraId="7BF15EC6" w14:textId="77777777" w:rsidR="001D28E5" w:rsidRPr="00BD377C" w:rsidRDefault="001D28E5" w:rsidP="00A95CD5">
            <w:pPr>
              <w:widowControl/>
              <w:ind w:firstLine="0"/>
              <w:jc w:val="center"/>
              <w:rPr>
                <w:b/>
                <w:bCs/>
                <w:color w:val="auto"/>
                <w:lang w:eastAsia="ru-RU"/>
              </w:rPr>
            </w:pPr>
            <w:r w:rsidRPr="00BD377C">
              <w:rPr>
                <w:b/>
                <w:bCs/>
                <w:color w:val="auto"/>
              </w:rPr>
              <w:t>23 726,0</w:t>
            </w:r>
          </w:p>
        </w:tc>
        <w:tc>
          <w:tcPr>
            <w:tcW w:w="1276" w:type="dxa"/>
            <w:tcBorders>
              <w:top w:val="single" w:sz="4" w:space="0" w:color="000000"/>
              <w:left w:val="single" w:sz="4" w:space="0" w:color="000000"/>
              <w:bottom w:val="single" w:sz="4" w:space="0" w:color="000000"/>
              <w:right w:val="single" w:sz="4" w:space="0" w:color="000000"/>
            </w:tcBorders>
            <w:shd w:val="clear" w:color="auto" w:fill="CCFF99"/>
            <w:noWrap/>
            <w:vAlign w:val="center"/>
            <w:hideMark/>
          </w:tcPr>
          <w:p w14:paraId="75CDCED5" w14:textId="77777777" w:rsidR="001D28E5" w:rsidRPr="00BD377C" w:rsidRDefault="001D28E5" w:rsidP="00A95CD5">
            <w:pPr>
              <w:widowControl/>
              <w:ind w:firstLine="0"/>
              <w:jc w:val="center"/>
              <w:rPr>
                <w:b/>
                <w:bCs/>
                <w:color w:val="auto"/>
                <w:lang w:eastAsia="ru-RU"/>
              </w:rPr>
            </w:pPr>
            <w:r w:rsidRPr="00BD377C">
              <w:rPr>
                <w:b/>
                <w:bCs/>
                <w:color w:val="auto"/>
              </w:rPr>
              <w:t>24</w:t>
            </w:r>
            <w:r>
              <w:rPr>
                <w:b/>
                <w:bCs/>
                <w:color w:val="auto"/>
              </w:rPr>
              <w:t> </w:t>
            </w:r>
            <w:r w:rsidRPr="00BD377C">
              <w:rPr>
                <w:b/>
                <w:bCs/>
                <w:color w:val="auto"/>
              </w:rPr>
              <w:t>258</w:t>
            </w:r>
            <w:r>
              <w:rPr>
                <w:b/>
                <w:bCs/>
                <w:color w:val="auto"/>
              </w:rPr>
              <w:t>,3</w:t>
            </w:r>
          </w:p>
        </w:tc>
        <w:tc>
          <w:tcPr>
            <w:tcW w:w="1387" w:type="dxa"/>
            <w:tcBorders>
              <w:top w:val="single" w:sz="4" w:space="0" w:color="000000"/>
              <w:left w:val="nil"/>
              <w:bottom w:val="single" w:sz="4" w:space="0" w:color="000000"/>
              <w:right w:val="single" w:sz="4" w:space="0" w:color="000000"/>
            </w:tcBorders>
            <w:shd w:val="clear" w:color="auto" w:fill="CCFF99"/>
            <w:vAlign w:val="center"/>
          </w:tcPr>
          <w:p w14:paraId="7384B9C9" w14:textId="77777777" w:rsidR="001D28E5" w:rsidRPr="00BC6E30" w:rsidRDefault="001D28E5" w:rsidP="00A95CD5">
            <w:pPr>
              <w:widowControl/>
              <w:ind w:firstLine="0"/>
              <w:jc w:val="center"/>
              <w:rPr>
                <w:b/>
                <w:bCs/>
                <w:color w:val="auto"/>
                <w:lang w:eastAsia="ru-RU"/>
              </w:rPr>
            </w:pPr>
            <w:r w:rsidRPr="00BC6E30">
              <w:rPr>
                <w:b/>
                <w:bCs/>
                <w:color w:val="auto"/>
              </w:rPr>
              <w:t>102,2</w:t>
            </w:r>
            <w:r w:rsidRPr="00BC6E30">
              <w:rPr>
                <w:b/>
                <w:bCs/>
                <w:color w:val="auto"/>
                <w:lang w:val="en-US" w:eastAsia="ru-RU"/>
              </w:rPr>
              <w:t>%</w:t>
            </w:r>
          </w:p>
        </w:tc>
        <w:tc>
          <w:tcPr>
            <w:tcW w:w="1856" w:type="dxa"/>
            <w:tcBorders>
              <w:top w:val="single" w:sz="4" w:space="0" w:color="000000"/>
              <w:left w:val="nil"/>
              <w:bottom w:val="single" w:sz="4" w:space="0" w:color="000000"/>
              <w:right w:val="single" w:sz="4" w:space="0" w:color="000000"/>
            </w:tcBorders>
            <w:shd w:val="clear" w:color="auto" w:fill="CCFF99"/>
            <w:vAlign w:val="center"/>
          </w:tcPr>
          <w:p w14:paraId="45D85053" w14:textId="77777777" w:rsidR="001D28E5" w:rsidRPr="00BC6E30" w:rsidRDefault="001D28E5" w:rsidP="00A95CD5">
            <w:pPr>
              <w:widowControl/>
              <w:ind w:firstLine="0"/>
              <w:jc w:val="center"/>
              <w:rPr>
                <w:b/>
                <w:bCs/>
                <w:color w:val="auto"/>
                <w:lang w:eastAsia="ru-RU"/>
              </w:rPr>
            </w:pPr>
            <w:r w:rsidRPr="00BC6E30">
              <w:rPr>
                <w:b/>
                <w:bCs/>
                <w:color w:val="auto"/>
              </w:rPr>
              <w:t>3 141,3</w:t>
            </w:r>
          </w:p>
        </w:tc>
        <w:tc>
          <w:tcPr>
            <w:tcW w:w="1179" w:type="dxa"/>
            <w:tcBorders>
              <w:top w:val="single" w:sz="4" w:space="0" w:color="000000"/>
              <w:left w:val="nil"/>
              <w:bottom w:val="single" w:sz="4" w:space="0" w:color="000000"/>
              <w:right w:val="single" w:sz="4" w:space="0" w:color="000000"/>
            </w:tcBorders>
            <w:shd w:val="clear" w:color="auto" w:fill="CCFF99"/>
            <w:vAlign w:val="center"/>
          </w:tcPr>
          <w:p w14:paraId="168E672E" w14:textId="77777777" w:rsidR="001D28E5" w:rsidRPr="00BC6E30" w:rsidRDefault="001D28E5" w:rsidP="00A95CD5">
            <w:pPr>
              <w:widowControl/>
              <w:ind w:firstLine="0"/>
              <w:jc w:val="center"/>
              <w:rPr>
                <w:b/>
                <w:bCs/>
                <w:color w:val="auto"/>
                <w:lang w:eastAsia="ru-RU"/>
              </w:rPr>
            </w:pPr>
            <w:r w:rsidRPr="00BC6E30">
              <w:rPr>
                <w:b/>
                <w:bCs/>
                <w:color w:val="auto"/>
              </w:rPr>
              <w:t>114,9</w:t>
            </w:r>
            <w:r w:rsidRPr="00BC6E30">
              <w:rPr>
                <w:b/>
                <w:bCs/>
                <w:color w:val="auto"/>
                <w:lang w:eastAsia="ru-RU"/>
              </w:rPr>
              <w:t>%</w:t>
            </w:r>
          </w:p>
        </w:tc>
      </w:tr>
      <w:tr w:rsidR="001D28E5" w:rsidRPr="00C014DC" w14:paraId="3B585662" w14:textId="77777777" w:rsidTr="00790A72">
        <w:trPr>
          <w:trHeight w:val="465"/>
        </w:trPr>
        <w:tc>
          <w:tcPr>
            <w:tcW w:w="2914" w:type="dxa"/>
            <w:tcBorders>
              <w:top w:val="nil"/>
              <w:left w:val="single" w:sz="4" w:space="0" w:color="000000"/>
              <w:bottom w:val="single" w:sz="4" w:space="0" w:color="000000"/>
              <w:right w:val="single" w:sz="4" w:space="0" w:color="000000"/>
            </w:tcBorders>
            <w:shd w:val="clear" w:color="auto" w:fill="CCFF99"/>
            <w:vAlign w:val="center"/>
            <w:hideMark/>
          </w:tcPr>
          <w:p w14:paraId="0EF48810" w14:textId="77777777" w:rsidR="001D28E5" w:rsidRPr="00583033" w:rsidRDefault="001D28E5" w:rsidP="001836C3">
            <w:pPr>
              <w:widowControl/>
              <w:ind w:firstLine="0"/>
              <w:jc w:val="left"/>
              <w:rPr>
                <w:b/>
                <w:bCs/>
                <w:color w:val="auto"/>
                <w:sz w:val="24"/>
                <w:szCs w:val="24"/>
                <w:lang w:eastAsia="ru-RU"/>
              </w:rPr>
            </w:pPr>
            <w:r w:rsidRPr="00583033">
              <w:rPr>
                <w:b/>
                <w:bCs/>
                <w:color w:val="auto"/>
                <w:sz w:val="24"/>
                <w:szCs w:val="24"/>
                <w:lang w:eastAsia="ru-RU"/>
              </w:rPr>
              <w:t>НАЛОГОВЫЕ ДОХОДЫ</w:t>
            </w:r>
          </w:p>
        </w:tc>
        <w:tc>
          <w:tcPr>
            <w:tcW w:w="1765" w:type="dxa"/>
            <w:tcBorders>
              <w:top w:val="single" w:sz="4" w:space="0" w:color="000000"/>
              <w:left w:val="single" w:sz="4" w:space="0" w:color="000000"/>
              <w:bottom w:val="single" w:sz="4" w:space="0" w:color="000000"/>
              <w:right w:val="single" w:sz="4" w:space="0" w:color="000000"/>
            </w:tcBorders>
            <w:shd w:val="clear" w:color="auto" w:fill="CCFF99"/>
            <w:noWrap/>
            <w:vAlign w:val="center"/>
            <w:hideMark/>
          </w:tcPr>
          <w:p w14:paraId="56149152" w14:textId="77777777" w:rsidR="001D28E5" w:rsidRPr="00BD377C" w:rsidRDefault="001D28E5" w:rsidP="00A95CD5">
            <w:pPr>
              <w:widowControl/>
              <w:ind w:firstLine="0"/>
              <w:jc w:val="center"/>
              <w:rPr>
                <w:b/>
                <w:bCs/>
                <w:color w:val="auto"/>
                <w:lang w:eastAsia="ru-RU"/>
              </w:rPr>
            </w:pPr>
            <w:r w:rsidRPr="00BD377C">
              <w:rPr>
                <w:b/>
                <w:bCs/>
                <w:color w:val="auto"/>
              </w:rPr>
              <w:t>19</w:t>
            </w:r>
            <w:r>
              <w:rPr>
                <w:b/>
                <w:bCs/>
                <w:color w:val="auto"/>
              </w:rPr>
              <w:t> </w:t>
            </w:r>
            <w:r w:rsidRPr="00BD377C">
              <w:rPr>
                <w:b/>
                <w:bCs/>
                <w:color w:val="auto"/>
              </w:rPr>
              <w:t>253</w:t>
            </w:r>
            <w:r>
              <w:rPr>
                <w:b/>
                <w:bCs/>
                <w:color w:val="auto"/>
              </w:rPr>
              <w:t>,8</w:t>
            </w:r>
          </w:p>
        </w:tc>
        <w:tc>
          <w:tcPr>
            <w:tcW w:w="1276" w:type="dxa"/>
            <w:tcBorders>
              <w:top w:val="single" w:sz="4" w:space="0" w:color="000000"/>
              <w:left w:val="nil"/>
              <w:bottom w:val="single" w:sz="4" w:space="0" w:color="000000"/>
              <w:right w:val="single" w:sz="4" w:space="0" w:color="000000"/>
            </w:tcBorders>
            <w:shd w:val="clear" w:color="auto" w:fill="CCFF99"/>
            <w:noWrap/>
            <w:vAlign w:val="center"/>
            <w:hideMark/>
          </w:tcPr>
          <w:p w14:paraId="6E17E9E0" w14:textId="77777777" w:rsidR="001D28E5" w:rsidRPr="00BD377C" w:rsidRDefault="001D28E5" w:rsidP="00A95CD5">
            <w:pPr>
              <w:widowControl/>
              <w:ind w:firstLine="0"/>
              <w:jc w:val="center"/>
              <w:rPr>
                <w:b/>
                <w:bCs/>
                <w:color w:val="auto"/>
                <w:lang w:eastAsia="ru-RU"/>
              </w:rPr>
            </w:pPr>
            <w:r w:rsidRPr="00BD377C">
              <w:rPr>
                <w:b/>
                <w:bCs/>
                <w:color w:val="auto"/>
              </w:rPr>
              <w:t>19</w:t>
            </w:r>
            <w:r>
              <w:rPr>
                <w:b/>
                <w:bCs/>
                <w:color w:val="auto"/>
              </w:rPr>
              <w:t> </w:t>
            </w:r>
            <w:r w:rsidRPr="00BD377C">
              <w:rPr>
                <w:b/>
                <w:bCs/>
                <w:color w:val="auto"/>
              </w:rPr>
              <w:t>55</w:t>
            </w:r>
            <w:r>
              <w:rPr>
                <w:b/>
                <w:bCs/>
                <w:color w:val="auto"/>
              </w:rPr>
              <w:t>7,0</w:t>
            </w:r>
          </w:p>
        </w:tc>
        <w:tc>
          <w:tcPr>
            <w:tcW w:w="1387" w:type="dxa"/>
            <w:tcBorders>
              <w:top w:val="single" w:sz="4" w:space="0" w:color="000000"/>
              <w:left w:val="nil"/>
              <w:bottom w:val="single" w:sz="4" w:space="0" w:color="000000"/>
              <w:right w:val="single" w:sz="4" w:space="0" w:color="000000"/>
            </w:tcBorders>
            <w:shd w:val="clear" w:color="auto" w:fill="CCFF99"/>
            <w:vAlign w:val="center"/>
          </w:tcPr>
          <w:p w14:paraId="26743694" w14:textId="77777777" w:rsidR="001D28E5" w:rsidRPr="00BC6E30" w:rsidRDefault="001D28E5" w:rsidP="00A95CD5">
            <w:pPr>
              <w:widowControl/>
              <w:ind w:firstLine="0"/>
              <w:jc w:val="center"/>
              <w:rPr>
                <w:b/>
                <w:bCs/>
                <w:color w:val="auto"/>
                <w:lang w:eastAsia="ru-RU"/>
              </w:rPr>
            </w:pPr>
            <w:r w:rsidRPr="00BC6E30">
              <w:rPr>
                <w:b/>
                <w:bCs/>
                <w:color w:val="auto"/>
              </w:rPr>
              <w:t>101,6</w:t>
            </w:r>
            <w:r w:rsidRPr="00BC6E30">
              <w:rPr>
                <w:b/>
                <w:bCs/>
                <w:color w:val="auto"/>
                <w:lang w:eastAsia="ru-RU"/>
              </w:rPr>
              <w:t>%</w:t>
            </w:r>
          </w:p>
        </w:tc>
        <w:tc>
          <w:tcPr>
            <w:tcW w:w="1856" w:type="dxa"/>
            <w:tcBorders>
              <w:top w:val="single" w:sz="4" w:space="0" w:color="000000"/>
              <w:left w:val="nil"/>
              <w:bottom w:val="single" w:sz="4" w:space="0" w:color="000000"/>
              <w:right w:val="single" w:sz="4" w:space="0" w:color="000000"/>
            </w:tcBorders>
            <w:shd w:val="clear" w:color="auto" w:fill="CCFF99"/>
            <w:vAlign w:val="center"/>
          </w:tcPr>
          <w:p w14:paraId="535E9D83" w14:textId="77777777" w:rsidR="001D28E5" w:rsidRPr="00BC6E30" w:rsidRDefault="001D28E5" w:rsidP="00A95CD5">
            <w:pPr>
              <w:widowControl/>
              <w:ind w:firstLine="0"/>
              <w:jc w:val="center"/>
              <w:rPr>
                <w:b/>
                <w:bCs/>
                <w:color w:val="auto"/>
                <w:lang w:eastAsia="ru-RU"/>
              </w:rPr>
            </w:pPr>
            <w:r w:rsidRPr="00BC6E30">
              <w:rPr>
                <w:b/>
                <w:bCs/>
                <w:color w:val="auto"/>
              </w:rPr>
              <w:t>2 087,0</w:t>
            </w:r>
          </w:p>
        </w:tc>
        <w:tc>
          <w:tcPr>
            <w:tcW w:w="1179" w:type="dxa"/>
            <w:tcBorders>
              <w:top w:val="single" w:sz="4" w:space="0" w:color="000000"/>
              <w:left w:val="nil"/>
              <w:bottom w:val="single" w:sz="4" w:space="0" w:color="000000"/>
              <w:right w:val="single" w:sz="4" w:space="0" w:color="000000"/>
            </w:tcBorders>
            <w:shd w:val="clear" w:color="auto" w:fill="CCFF99"/>
            <w:vAlign w:val="center"/>
          </w:tcPr>
          <w:p w14:paraId="6FCD8AF2" w14:textId="77777777" w:rsidR="001D28E5" w:rsidRPr="00BC6E30" w:rsidRDefault="001D28E5" w:rsidP="00A95CD5">
            <w:pPr>
              <w:widowControl/>
              <w:ind w:firstLine="0"/>
              <w:jc w:val="center"/>
              <w:rPr>
                <w:b/>
                <w:bCs/>
                <w:color w:val="auto"/>
                <w:lang w:eastAsia="ru-RU"/>
              </w:rPr>
            </w:pPr>
            <w:r w:rsidRPr="00BC6E30">
              <w:rPr>
                <w:b/>
                <w:bCs/>
                <w:color w:val="auto"/>
              </w:rPr>
              <w:t>111,9%</w:t>
            </w:r>
          </w:p>
        </w:tc>
      </w:tr>
      <w:tr w:rsidR="001D28E5" w:rsidRPr="00C014DC" w14:paraId="035DB29B" w14:textId="77777777" w:rsidTr="001D28E5">
        <w:trPr>
          <w:trHeight w:val="375"/>
        </w:trPr>
        <w:tc>
          <w:tcPr>
            <w:tcW w:w="2914" w:type="dxa"/>
            <w:tcBorders>
              <w:top w:val="nil"/>
              <w:left w:val="single" w:sz="4" w:space="0" w:color="000000"/>
              <w:bottom w:val="single" w:sz="4" w:space="0" w:color="auto"/>
              <w:right w:val="single" w:sz="4" w:space="0" w:color="000000"/>
            </w:tcBorders>
            <w:shd w:val="clear" w:color="000000" w:fill="FFFFFF"/>
            <w:vAlign w:val="center"/>
            <w:hideMark/>
          </w:tcPr>
          <w:p w14:paraId="46F6B9CE" w14:textId="77777777" w:rsidR="001D28E5" w:rsidRPr="00583033" w:rsidRDefault="001D28E5" w:rsidP="001836C3">
            <w:pPr>
              <w:widowControl/>
              <w:ind w:firstLine="0"/>
              <w:jc w:val="left"/>
              <w:rPr>
                <w:color w:val="auto"/>
                <w:lang w:eastAsia="ru-RU"/>
              </w:rPr>
            </w:pPr>
            <w:r w:rsidRPr="00583033">
              <w:rPr>
                <w:color w:val="auto"/>
                <w:lang w:eastAsia="ru-RU"/>
              </w:rPr>
              <w:t>Налог на прибыль организаций</w:t>
            </w:r>
          </w:p>
        </w:tc>
        <w:tc>
          <w:tcPr>
            <w:tcW w:w="1765" w:type="dxa"/>
            <w:tcBorders>
              <w:top w:val="nil"/>
              <w:left w:val="nil"/>
              <w:bottom w:val="single" w:sz="8" w:space="0" w:color="auto"/>
              <w:right w:val="single" w:sz="8" w:space="0" w:color="000000"/>
            </w:tcBorders>
            <w:shd w:val="clear" w:color="000000" w:fill="FFFFFF"/>
            <w:noWrap/>
            <w:vAlign w:val="center"/>
            <w:hideMark/>
          </w:tcPr>
          <w:p w14:paraId="0242E344" w14:textId="77777777" w:rsidR="001D28E5" w:rsidRPr="00BD377C" w:rsidRDefault="001D28E5" w:rsidP="00A95CD5">
            <w:pPr>
              <w:widowControl/>
              <w:ind w:firstLine="0"/>
              <w:jc w:val="center"/>
              <w:rPr>
                <w:color w:val="auto"/>
                <w:lang w:eastAsia="ru-RU"/>
              </w:rPr>
            </w:pPr>
            <w:r w:rsidRPr="00BD377C">
              <w:rPr>
                <w:color w:val="auto"/>
              </w:rPr>
              <w:t>3</w:t>
            </w:r>
            <w:r>
              <w:rPr>
                <w:color w:val="auto"/>
              </w:rPr>
              <w:t> </w:t>
            </w:r>
            <w:r w:rsidRPr="00BD377C">
              <w:rPr>
                <w:color w:val="auto"/>
              </w:rPr>
              <w:t>350</w:t>
            </w:r>
            <w:r>
              <w:rPr>
                <w:color w:val="auto"/>
              </w:rPr>
              <w:t>,</w:t>
            </w:r>
            <w:r w:rsidRPr="00BD377C">
              <w:rPr>
                <w:color w:val="auto"/>
              </w:rPr>
              <w:t>6</w:t>
            </w:r>
          </w:p>
        </w:tc>
        <w:tc>
          <w:tcPr>
            <w:tcW w:w="1276" w:type="dxa"/>
            <w:tcBorders>
              <w:top w:val="nil"/>
              <w:left w:val="nil"/>
              <w:bottom w:val="single" w:sz="8" w:space="0" w:color="auto"/>
              <w:right w:val="single" w:sz="8" w:space="0" w:color="auto"/>
            </w:tcBorders>
            <w:shd w:val="clear" w:color="000000" w:fill="FFFFFF"/>
            <w:noWrap/>
            <w:vAlign w:val="center"/>
            <w:hideMark/>
          </w:tcPr>
          <w:p w14:paraId="5B15497F" w14:textId="77777777" w:rsidR="001D28E5" w:rsidRPr="00BD377C" w:rsidRDefault="001D28E5" w:rsidP="00A95CD5">
            <w:pPr>
              <w:widowControl/>
              <w:ind w:firstLine="0"/>
              <w:jc w:val="center"/>
              <w:rPr>
                <w:color w:val="auto"/>
                <w:lang w:eastAsia="ru-RU"/>
              </w:rPr>
            </w:pPr>
            <w:r w:rsidRPr="00BD377C">
              <w:rPr>
                <w:color w:val="auto"/>
              </w:rPr>
              <w:t>3</w:t>
            </w:r>
            <w:r>
              <w:rPr>
                <w:color w:val="auto"/>
              </w:rPr>
              <w:t> </w:t>
            </w:r>
            <w:r w:rsidRPr="00BD377C">
              <w:rPr>
                <w:color w:val="auto"/>
              </w:rPr>
              <w:t>641</w:t>
            </w:r>
            <w:r>
              <w:rPr>
                <w:color w:val="auto"/>
              </w:rPr>
              <w:t>,8</w:t>
            </w:r>
          </w:p>
        </w:tc>
        <w:tc>
          <w:tcPr>
            <w:tcW w:w="1387" w:type="dxa"/>
            <w:tcBorders>
              <w:top w:val="nil"/>
              <w:left w:val="nil"/>
              <w:bottom w:val="single" w:sz="8" w:space="0" w:color="auto"/>
              <w:right w:val="single" w:sz="8" w:space="0" w:color="auto"/>
            </w:tcBorders>
            <w:shd w:val="clear" w:color="000000" w:fill="FFFFFF"/>
            <w:vAlign w:val="center"/>
          </w:tcPr>
          <w:p w14:paraId="5AB163E8" w14:textId="77777777" w:rsidR="001D28E5" w:rsidRPr="00BC6E30" w:rsidRDefault="001D28E5" w:rsidP="00A95CD5">
            <w:pPr>
              <w:widowControl/>
              <w:ind w:firstLine="0"/>
              <w:jc w:val="center"/>
              <w:rPr>
                <w:color w:val="auto"/>
                <w:lang w:eastAsia="ru-RU"/>
              </w:rPr>
            </w:pPr>
            <w:r w:rsidRPr="00BC6E30">
              <w:rPr>
                <w:color w:val="auto"/>
              </w:rPr>
              <w:t>108,7%</w:t>
            </w:r>
          </w:p>
        </w:tc>
        <w:tc>
          <w:tcPr>
            <w:tcW w:w="1856" w:type="dxa"/>
            <w:tcBorders>
              <w:top w:val="nil"/>
              <w:left w:val="nil"/>
              <w:bottom w:val="single" w:sz="8" w:space="0" w:color="auto"/>
              <w:right w:val="single" w:sz="8" w:space="0" w:color="auto"/>
            </w:tcBorders>
            <w:shd w:val="clear" w:color="000000" w:fill="FFFFFF"/>
            <w:vAlign w:val="center"/>
          </w:tcPr>
          <w:p w14:paraId="625292CC" w14:textId="77777777" w:rsidR="001D28E5" w:rsidRPr="00BC6E30" w:rsidRDefault="001D28E5" w:rsidP="00A95CD5">
            <w:pPr>
              <w:widowControl/>
              <w:ind w:firstLine="0"/>
              <w:jc w:val="center"/>
              <w:rPr>
                <w:b/>
                <w:bCs/>
                <w:color w:val="auto"/>
                <w:lang w:eastAsia="ru-RU"/>
              </w:rPr>
            </w:pPr>
            <w:r w:rsidRPr="00BC6E30">
              <w:rPr>
                <w:color w:val="auto"/>
              </w:rPr>
              <w:t>927,9</w:t>
            </w:r>
          </w:p>
        </w:tc>
        <w:tc>
          <w:tcPr>
            <w:tcW w:w="1179" w:type="dxa"/>
            <w:tcBorders>
              <w:top w:val="nil"/>
              <w:left w:val="nil"/>
              <w:bottom w:val="single" w:sz="8" w:space="0" w:color="auto"/>
              <w:right w:val="single" w:sz="8" w:space="0" w:color="auto"/>
            </w:tcBorders>
            <w:shd w:val="clear" w:color="000000" w:fill="FFFFFF"/>
            <w:vAlign w:val="center"/>
          </w:tcPr>
          <w:p w14:paraId="14D67BF2" w14:textId="77777777" w:rsidR="001D28E5" w:rsidRPr="00BC6E30" w:rsidRDefault="001D28E5" w:rsidP="00A95CD5">
            <w:pPr>
              <w:widowControl/>
              <w:ind w:firstLine="0"/>
              <w:jc w:val="center"/>
              <w:rPr>
                <w:b/>
                <w:bCs/>
                <w:color w:val="auto"/>
                <w:lang w:eastAsia="ru-RU"/>
              </w:rPr>
            </w:pPr>
            <w:r w:rsidRPr="00BC6E30">
              <w:rPr>
                <w:color w:val="auto"/>
              </w:rPr>
              <w:t>134,2%</w:t>
            </w:r>
          </w:p>
        </w:tc>
      </w:tr>
      <w:tr w:rsidR="001D28E5" w:rsidRPr="00C014DC" w14:paraId="7985842A" w14:textId="77777777" w:rsidTr="00A77BA1">
        <w:trPr>
          <w:trHeight w:val="375"/>
        </w:trPr>
        <w:tc>
          <w:tcPr>
            <w:tcW w:w="2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9A6EC" w14:textId="77777777" w:rsidR="001D28E5" w:rsidRPr="00583033" w:rsidRDefault="001D28E5" w:rsidP="001836C3">
            <w:pPr>
              <w:widowControl/>
              <w:ind w:firstLine="0"/>
              <w:jc w:val="left"/>
              <w:rPr>
                <w:color w:val="auto"/>
                <w:lang w:eastAsia="ru-RU"/>
              </w:rPr>
            </w:pPr>
            <w:r w:rsidRPr="00583033">
              <w:rPr>
                <w:color w:val="auto"/>
                <w:lang w:eastAsia="ru-RU"/>
              </w:rPr>
              <w:t>Налог на доходы физических лиц</w:t>
            </w:r>
          </w:p>
        </w:tc>
        <w:tc>
          <w:tcPr>
            <w:tcW w:w="1765" w:type="dxa"/>
            <w:tcBorders>
              <w:top w:val="nil"/>
              <w:left w:val="nil"/>
              <w:bottom w:val="single" w:sz="4" w:space="0" w:color="auto"/>
              <w:right w:val="single" w:sz="8" w:space="0" w:color="auto"/>
            </w:tcBorders>
            <w:shd w:val="clear" w:color="000000" w:fill="FFFFFF"/>
            <w:noWrap/>
            <w:vAlign w:val="center"/>
            <w:hideMark/>
          </w:tcPr>
          <w:p w14:paraId="6DA57191" w14:textId="77777777" w:rsidR="001D28E5" w:rsidRPr="00BD377C" w:rsidRDefault="001D28E5" w:rsidP="00A95CD5">
            <w:pPr>
              <w:widowControl/>
              <w:ind w:firstLine="0"/>
              <w:jc w:val="center"/>
              <w:rPr>
                <w:color w:val="auto"/>
                <w:lang w:eastAsia="ru-RU"/>
              </w:rPr>
            </w:pPr>
            <w:r w:rsidRPr="00BD377C">
              <w:rPr>
                <w:color w:val="auto"/>
              </w:rPr>
              <w:t>6</w:t>
            </w:r>
            <w:r>
              <w:rPr>
                <w:color w:val="auto"/>
              </w:rPr>
              <w:t> </w:t>
            </w:r>
            <w:r w:rsidRPr="00BD377C">
              <w:rPr>
                <w:color w:val="auto"/>
              </w:rPr>
              <w:t>481</w:t>
            </w:r>
            <w:r>
              <w:rPr>
                <w:color w:val="auto"/>
              </w:rPr>
              <w:t>,1</w:t>
            </w:r>
          </w:p>
        </w:tc>
        <w:tc>
          <w:tcPr>
            <w:tcW w:w="1276" w:type="dxa"/>
            <w:tcBorders>
              <w:top w:val="nil"/>
              <w:left w:val="nil"/>
              <w:bottom w:val="single" w:sz="4" w:space="0" w:color="auto"/>
              <w:right w:val="single" w:sz="8" w:space="0" w:color="auto"/>
            </w:tcBorders>
            <w:shd w:val="clear" w:color="000000" w:fill="FFFFFF"/>
            <w:noWrap/>
            <w:vAlign w:val="center"/>
            <w:hideMark/>
          </w:tcPr>
          <w:p w14:paraId="7F02AC9A" w14:textId="77777777" w:rsidR="001D28E5" w:rsidRPr="00BD377C" w:rsidRDefault="001D28E5" w:rsidP="00A95CD5">
            <w:pPr>
              <w:widowControl/>
              <w:ind w:firstLine="0"/>
              <w:jc w:val="center"/>
              <w:rPr>
                <w:color w:val="auto"/>
                <w:lang w:eastAsia="ru-RU"/>
              </w:rPr>
            </w:pPr>
            <w:r w:rsidRPr="00BD377C">
              <w:rPr>
                <w:color w:val="auto"/>
              </w:rPr>
              <w:t>6</w:t>
            </w:r>
            <w:r>
              <w:rPr>
                <w:color w:val="auto"/>
              </w:rPr>
              <w:t> </w:t>
            </w:r>
            <w:r w:rsidRPr="00BD377C">
              <w:rPr>
                <w:color w:val="auto"/>
              </w:rPr>
              <w:t>497</w:t>
            </w:r>
            <w:r>
              <w:rPr>
                <w:color w:val="auto"/>
              </w:rPr>
              <w:t>,7</w:t>
            </w:r>
          </w:p>
        </w:tc>
        <w:tc>
          <w:tcPr>
            <w:tcW w:w="1387" w:type="dxa"/>
            <w:tcBorders>
              <w:top w:val="nil"/>
              <w:left w:val="nil"/>
              <w:bottom w:val="single" w:sz="4" w:space="0" w:color="auto"/>
              <w:right w:val="single" w:sz="8" w:space="0" w:color="auto"/>
            </w:tcBorders>
            <w:shd w:val="clear" w:color="000000" w:fill="FFFFFF"/>
            <w:vAlign w:val="center"/>
          </w:tcPr>
          <w:p w14:paraId="24A48390" w14:textId="77777777" w:rsidR="001D28E5" w:rsidRPr="00BC6E30" w:rsidRDefault="001D28E5" w:rsidP="00A95CD5">
            <w:pPr>
              <w:widowControl/>
              <w:ind w:firstLine="0"/>
              <w:jc w:val="center"/>
              <w:rPr>
                <w:color w:val="auto"/>
                <w:lang w:eastAsia="ru-RU"/>
              </w:rPr>
            </w:pPr>
            <w:r w:rsidRPr="00BC6E30">
              <w:rPr>
                <w:color w:val="auto"/>
              </w:rPr>
              <w:t>100,3</w:t>
            </w:r>
            <w:r w:rsidRPr="00BC6E30">
              <w:rPr>
                <w:color w:val="auto"/>
                <w:lang w:eastAsia="ru-RU"/>
              </w:rPr>
              <w:t>%</w:t>
            </w:r>
          </w:p>
        </w:tc>
        <w:tc>
          <w:tcPr>
            <w:tcW w:w="1856" w:type="dxa"/>
            <w:tcBorders>
              <w:top w:val="nil"/>
              <w:left w:val="nil"/>
              <w:bottom w:val="single" w:sz="4" w:space="0" w:color="auto"/>
              <w:right w:val="single" w:sz="8" w:space="0" w:color="auto"/>
            </w:tcBorders>
            <w:shd w:val="clear" w:color="000000" w:fill="FFFFFF"/>
            <w:vAlign w:val="center"/>
          </w:tcPr>
          <w:p w14:paraId="5657E947" w14:textId="77777777" w:rsidR="001D28E5" w:rsidRPr="00BC6E30" w:rsidRDefault="001D28E5" w:rsidP="00A95CD5">
            <w:pPr>
              <w:widowControl/>
              <w:ind w:firstLine="0"/>
              <w:jc w:val="center"/>
              <w:rPr>
                <w:b/>
                <w:bCs/>
                <w:color w:val="auto"/>
                <w:lang w:eastAsia="ru-RU"/>
              </w:rPr>
            </w:pPr>
            <w:r w:rsidRPr="00BC6E30">
              <w:rPr>
                <w:color w:val="auto"/>
              </w:rPr>
              <w:t>743,5</w:t>
            </w:r>
          </w:p>
        </w:tc>
        <w:tc>
          <w:tcPr>
            <w:tcW w:w="1179" w:type="dxa"/>
            <w:tcBorders>
              <w:top w:val="nil"/>
              <w:left w:val="nil"/>
              <w:bottom w:val="single" w:sz="4" w:space="0" w:color="auto"/>
              <w:right w:val="single" w:sz="8" w:space="0" w:color="auto"/>
            </w:tcBorders>
            <w:shd w:val="clear" w:color="000000" w:fill="FFFFFF"/>
            <w:vAlign w:val="center"/>
          </w:tcPr>
          <w:p w14:paraId="059D2AF4" w14:textId="35568A13" w:rsidR="001D28E5" w:rsidRPr="00BC6E30" w:rsidRDefault="001D28E5" w:rsidP="00A95CD5">
            <w:pPr>
              <w:widowControl/>
              <w:ind w:firstLine="0"/>
              <w:jc w:val="center"/>
              <w:rPr>
                <w:b/>
                <w:bCs/>
                <w:color w:val="auto"/>
                <w:lang w:eastAsia="ru-RU"/>
              </w:rPr>
            </w:pPr>
            <w:r w:rsidRPr="00BC6E30">
              <w:rPr>
                <w:color w:val="auto"/>
              </w:rPr>
              <w:t>12,9%</w:t>
            </w:r>
          </w:p>
        </w:tc>
      </w:tr>
      <w:tr w:rsidR="001D28E5" w:rsidRPr="00C014DC" w14:paraId="43AFDFDE" w14:textId="77777777" w:rsidTr="00A77BA1">
        <w:trPr>
          <w:trHeight w:val="1125"/>
        </w:trPr>
        <w:tc>
          <w:tcPr>
            <w:tcW w:w="2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C41F0" w14:textId="77777777" w:rsidR="001D28E5" w:rsidRPr="00583033" w:rsidRDefault="001D28E5" w:rsidP="001836C3">
            <w:pPr>
              <w:widowControl/>
              <w:ind w:firstLine="0"/>
              <w:jc w:val="left"/>
              <w:rPr>
                <w:color w:val="auto"/>
                <w:lang w:eastAsia="ru-RU"/>
              </w:rPr>
            </w:pPr>
            <w:r w:rsidRPr="00583033">
              <w:rPr>
                <w:color w:val="auto"/>
                <w:lang w:eastAsia="ru-RU"/>
              </w:rPr>
              <w:t>Налоги на товары (работы, услуги), реализуемые на территории Российской Федерации</w:t>
            </w:r>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A3F45" w14:textId="77777777" w:rsidR="001D28E5" w:rsidRPr="00583033" w:rsidRDefault="001D28E5" w:rsidP="00A95CD5">
            <w:pPr>
              <w:ind w:firstLine="0"/>
              <w:jc w:val="center"/>
              <w:rPr>
                <w:color w:val="auto"/>
                <w:lang w:eastAsia="ru-RU"/>
              </w:rPr>
            </w:pPr>
            <w:r w:rsidRPr="00583033">
              <w:rPr>
                <w:color w:val="auto"/>
              </w:rPr>
              <w:t>4</w:t>
            </w:r>
            <w:r>
              <w:rPr>
                <w:color w:val="auto"/>
              </w:rPr>
              <w:t> </w:t>
            </w:r>
            <w:r w:rsidRPr="00583033">
              <w:rPr>
                <w:color w:val="auto"/>
              </w:rPr>
              <w:t>746</w:t>
            </w:r>
            <w:r>
              <w:rPr>
                <w:color w:val="auto"/>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A24EB" w14:textId="77777777" w:rsidR="001D28E5" w:rsidRPr="00583033" w:rsidRDefault="001D28E5" w:rsidP="00A95CD5">
            <w:pPr>
              <w:widowControl/>
              <w:ind w:firstLine="0"/>
              <w:jc w:val="center"/>
              <w:rPr>
                <w:color w:val="auto"/>
                <w:lang w:eastAsia="ru-RU"/>
              </w:rPr>
            </w:pPr>
            <w:r w:rsidRPr="00583033">
              <w:rPr>
                <w:color w:val="auto"/>
              </w:rPr>
              <w:t>4</w:t>
            </w:r>
            <w:r>
              <w:rPr>
                <w:color w:val="auto"/>
              </w:rPr>
              <w:t> </w:t>
            </w:r>
            <w:r w:rsidRPr="00583033">
              <w:rPr>
                <w:color w:val="auto"/>
              </w:rPr>
              <w:t>684</w:t>
            </w:r>
            <w:r>
              <w:rPr>
                <w:color w:val="auto"/>
              </w:rPr>
              <w:t>,9</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05B6FF9A" w14:textId="77777777" w:rsidR="001D28E5" w:rsidRPr="00C014DC" w:rsidRDefault="001D28E5" w:rsidP="00A95CD5">
            <w:pPr>
              <w:widowControl/>
              <w:ind w:firstLine="0"/>
              <w:jc w:val="center"/>
              <w:rPr>
                <w:color w:val="FF0000"/>
                <w:lang w:eastAsia="ru-RU"/>
              </w:rPr>
            </w:pPr>
            <w:r w:rsidRPr="00A76BE9">
              <w:t>200,6</w:t>
            </w:r>
            <w:r>
              <w:t>%</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tcPr>
          <w:p w14:paraId="58785B36" w14:textId="77777777" w:rsidR="001D28E5" w:rsidRPr="00C014DC" w:rsidRDefault="001D28E5" w:rsidP="00A95CD5">
            <w:pPr>
              <w:widowControl/>
              <w:ind w:firstLine="0"/>
              <w:jc w:val="center"/>
              <w:rPr>
                <w:b/>
                <w:bCs/>
                <w:color w:val="FF0000"/>
                <w:lang w:eastAsia="ru-RU"/>
              </w:rPr>
            </w:pPr>
            <w:r w:rsidRPr="00A76BE9">
              <w:t>-</w:t>
            </w:r>
            <w:r>
              <w:t>8,4</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1C4FFD29" w14:textId="77777777" w:rsidR="001D28E5" w:rsidRPr="00C014DC" w:rsidRDefault="001D28E5" w:rsidP="00A95CD5">
            <w:pPr>
              <w:widowControl/>
              <w:ind w:firstLine="0"/>
              <w:jc w:val="center"/>
              <w:rPr>
                <w:b/>
                <w:bCs/>
                <w:color w:val="FF0000"/>
                <w:lang w:eastAsia="ru-RU"/>
              </w:rPr>
            </w:pPr>
            <w:r w:rsidRPr="00A76BE9">
              <w:t>184,1</w:t>
            </w:r>
            <w:r>
              <w:t>%</w:t>
            </w:r>
          </w:p>
        </w:tc>
      </w:tr>
      <w:tr w:rsidR="001D28E5" w:rsidRPr="00C014DC" w14:paraId="607346E6" w14:textId="77777777" w:rsidTr="00A77BA1">
        <w:trPr>
          <w:trHeight w:val="778"/>
        </w:trPr>
        <w:tc>
          <w:tcPr>
            <w:tcW w:w="2914" w:type="dxa"/>
            <w:tcBorders>
              <w:top w:val="single" w:sz="4" w:space="0" w:color="auto"/>
              <w:left w:val="single" w:sz="4" w:space="0" w:color="000000"/>
              <w:bottom w:val="single" w:sz="4" w:space="0" w:color="auto"/>
              <w:right w:val="single" w:sz="4" w:space="0" w:color="000000"/>
            </w:tcBorders>
            <w:shd w:val="clear" w:color="000000" w:fill="FFF2CC"/>
            <w:vAlign w:val="center"/>
            <w:hideMark/>
          </w:tcPr>
          <w:p w14:paraId="4D2C168C" w14:textId="0D195636" w:rsidR="001D28E5" w:rsidRPr="00583033" w:rsidRDefault="001D28E5" w:rsidP="001836C3">
            <w:pPr>
              <w:widowControl/>
              <w:ind w:firstLine="0"/>
              <w:jc w:val="left"/>
              <w:outlineLvl w:val="0"/>
              <w:rPr>
                <w:i/>
                <w:iCs/>
                <w:color w:val="auto"/>
                <w:lang w:eastAsia="ru-RU"/>
              </w:rPr>
            </w:pPr>
            <w:bookmarkStart w:id="15" w:name="_Toc161837295"/>
            <w:bookmarkStart w:id="16" w:name="_Toc162008703"/>
            <w:r w:rsidRPr="00583033">
              <w:rPr>
                <w:i/>
                <w:iCs/>
                <w:color w:val="auto"/>
                <w:lang w:eastAsia="ru-RU"/>
              </w:rPr>
              <w:t>Акц</w:t>
            </w:r>
            <w:r w:rsidR="001836C3">
              <w:rPr>
                <w:i/>
                <w:iCs/>
                <w:color w:val="auto"/>
                <w:lang w:eastAsia="ru-RU"/>
              </w:rPr>
              <w:t>изы на ал</w:t>
            </w:r>
            <w:r w:rsidRPr="00583033">
              <w:rPr>
                <w:i/>
                <w:iCs/>
                <w:color w:val="auto"/>
                <w:lang w:eastAsia="ru-RU"/>
              </w:rPr>
              <w:t>когольную продукцию</w:t>
            </w:r>
            <w:bookmarkEnd w:id="15"/>
            <w:bookmarkEnd w:id="16"/>
          </w:p>
        </w:tc>
        <w:tc>
          <w:tcPr>
            <w:tcW w:w="1765" w:type="dxa"/>
            <w:tcBorders>
              <w:top w:val="single" w:sz="4" w:space="0" w:color="auto"/>
              <w:left w:val="nil"/>
              <w:bottom w:val="single" w:sz="4" w:space="0" w:color="auto"/>
              <w:right w:val="single" w:sz="8" w:space="0" w:color="000000"/>
            </w:tcBorders>
            <w:shd w:val="clear" w:color="000000" w:fill="FFF2CC"/>
            <w:vAlign w:val="center"/>
            <w:hideMark/>
          </w:tcPr>
          <w:p w14:paraId="2F69DCF7" w14:textId="77777777" w:rsidR="001D28E5" w:rsidRPr="00583033" w:rsidRDefault="001D28E5" w:rsidP="00A95CD5">
            <w:pPr>
              <w:widowControl/>
              <w:ind w:firstLine="0"/>
              <w:jc w:val="center"/>
              <w:outlineLvl w:val="0"/>
              <w:rPr>
                <w:i/>
                <w:iCs/>
                <w:color w:val="auto"/>
                <w:lang w:eastAsia="ru-RU"/>
              </w:rPr>
            </w:pPr>
            <w:r w:rsidRPr="00583033">
              <w:rPr>
                <w:color w:val="auto"/>
              </w:rPr>
              <w:t>1</w:t>
            </w:r>
            <w:r>
              <w:rPr>
                <w:color w:val="auto"/>
              </w:rPr>
              <w:t> </w:t>
            </w:r>
            <w:r w:rsidRPr="00583033">
              <w:rPr>
                <w:color w:val="auto"/>
              </w:rPr>
              <w:t>006</w:t>
            </w:r>
            <w:r>
              <w:rPr>
                <w:color w:val="auto"/>
              </w:rPr>
              <w:t>,1</w:t>
            </w:r>
          </w:p>
        </w:tc>
        <w:tc>
          <w:tcPr>
            <w:tcW w:w="1276" w:type="dxa"/>
            <w:tcBorders>
              <w:top w:val="single" w:sz="4" w:space="0" w:color="auto"/>
              <w:left w:val="nil"/>
              <w:bottom w:val="single" w:sz="4" w:space="0" w:color="auto"/>
              <w:right w:val="single" w:sz="8" w:space="0" w:color="auto"/>
            </w:tcBorders>
            <w:shd w:val="clear" w:color="000000" w:fill="FFF2CC"/>
            <w:vAlign w:val="center"/>
            <w:hideMark/>
          </w:tcPr>
          <w:p w14:paraId="0B4EBCFC" w14:textId="77777777" w:rsidR="001D28E5" w:rsidRPr="00BC6E30" w:rsidRDefault="001D28E5" w:rsidP="00A95CD5">
            <w:pPr>
              <w:widowControl/>
              <w:ind w:firstLine="0"/>
              <w:jc w:val="center"/>
              <w:outlineLvl w:val="0"/>
              <w:rPr>
                <w:i/>
                <w:iCs/>
                <w:color w:val="auto"/>
                <w:lang w:eastAsia="ru-RU"/>
              </w:rPr>
            </w:pPr>
            <w:r w:rsidRPr="00BC6E30">
              <w:rPr>
                <w:color w:val="auto"/>
              </w:rPr>
              <w:t>1 036,6</w:t>
            </w:r>
          </w:p>
        </w:tc>
        <w:tc>
          <w:tcPr>
            <w:tcW w:w="1387" w:type="dxa"/>
            <w:tcBorders>
              <w:top w:val="single" w:sz="4" w:space="0" w:color="auto"/>
              <w:left w:val="nil"/>
              <w:bottom w:val="single" w:sz="4" w:space="0" w:color="auto"/>
              <w:right w:val="single" w:sz="8" w:space="0" w:color="auto"/>
            </w:tcBorders>
            <w:shd w:val="clear" w:color="000000" w:fill="FFF2CC"/>
            <w:vAlign w:val="center"/>
          </w:tcPr>
          <w:p w14:paraId="66B4CD70" w14:textId="77777777" w:rsidR="001D28E5" w:rsidRPr="00BC6E30" w:rsidRDefault="001D28E5" w:rsidP="00A95CD5">
            <w:pPr>
              <w:widowControl/>
              <w:ind w:firstLine="0"/>
              <w:jc w:val="center"/>
              <w:outlineLvl w:val="0"/>
              <w:rPr>
                <w:color w:val="auto"/>
                <w:lang w:eastAsia="ru-RU"/>
              </w:rPr>
            </w:pPr>
            <w:r w:rsidRPr="00BC6E30">
              <w:rPr>
                <w:color w:val="auto"/>
              </w:rPr>
              <w:t>103,0%</w:t>
            </w:r>
          </w:p>
        </w:tc>
        <w:tc>
          <w:tcPr>
            <w:tcW w:w="1856" w:type="dxa"/>
            <w:tcBorders>
              <w:top w:val="single" w:sz="4" w:space="0" w:color="auto"/>
              <w:left w:val="nil"/>
              <w:bottom w:val="single" w:sz="4" w:space="0" w:color="auto"/>
              <w:right w:val="single" w:sz="8" w:space="0" w:color="auto"/>
            </w:tcBorders>
            <w:shd w:val="clear" w:color="000000" w:fill="FFF2CC"/>
            <w:vAlign w:val="center"/>
          </w:tcPr>
          <w:p w14:paraId="413A1CE0" w14:textId="77777777" w:rsidR="001D28E5" w:rsidRPr="00BC6E30" w:rsidRDefault="001D28E5" w:rsidP="00A95CD5">
            <w:pPr>
              <w:widowControl/>
              <w:ind w:firstLine="0"/>
              <w:jc w:val="center"/>
              <w:outlineLvl w:val="0"/>
              <w:rPr>
                <w:b/>
                <w:bCs/>
                <w:color w:val="auto"/>
                <w:lang w:eastAsia="ru-RU"/>
              </w:rPr>
            </w:pPr>
            <w:r w:rsidRPr="00BC6E30">
              <w:rPr>
                <w:color w:val="auto"/>
              </w:rPr>
              <w:t>-407,6</w:t>
            </w:r>
          </w:p>
        </w:tc>
        <w:tc>
          <w:tcPr>
            <w:tcW w:w="1179" w:type="dxa"/>
            <w:tcBorders>
              <w:top w:val="single" w:sz="4" w:space="0" w:color="auto"/>
              <w:left w:val="nil"/>
              <w:bottom w:val="single" w:sz="4" w:space="0" w:color="auto"/>
              <w:right w:val="single" w:sz="8" w:space="0" w:color="auto"/>
            </w:tcBorders>
            <w:shd w:val="clear" w:color="000000" w:fill="FFF2CC"/>
            <w:vAlign w:val="center"/>
          </w:tcPr>
          <w:p w14:paraId="6D729962" w14:textId="77777777" w:rsidR="001D28E5" w:rsidRPr="00BC6E30" w:rsidRDefault="001D28E5" w:rsidP="00A95CD5">
            <w:pPr>
              <w:widowControl/>
              <w:ind w:firstLine="0"/>
              <w:jc w:val="center"/>
              <w:outlineLvl w:val="0"/>
              <w:rPr>
                <w:b/>
                <w:bCs/>
                <w:color w:val="auto"/>
                <w:lang w:eastAsia="ru-RU"/>
              </w:rPr>
            </w:pPr>
            <w:r w:rsidRPr="00BC6E30">
              <w:rPr>
                <w:color w:val="auto"/>
              </w:rPr>
              <w:t>71,8</w:t>
            </w:r>
            <w:r w:rsidRPr="00BC6E30">
              <w:rPr>
                <w:b/>
                <w:bCs/>
                <w:color w:val="auto"/>
                <w:lang w:eastAsia="ru-RU"/>
              </w:rPr>
              <w:t>%</w:t>
            </w:r>
          </w:p>
        </w:tc>
      </w:tr>
      <w:tr w:rsidR="001D28E5" w:rsidRPr="00C014DC" w14:paraId="6B6C0E4E" w14:textId="77777777" w:rsidTr="001D28E5">
        <w:trPr>
          <w:trHeight w:val="704"/>
        </w:trPr>
        <w:tc>
          <w:tcPr>
            <w:tcW w:w="2914"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173E0F6" w14:textId="4EA52501" w:rsidR="001D28E5" w:rsidRPr="00583033" w:rsidRDefault="001836C3" w:rsidP="001836C3">
            <w:pPr>
              <w:widowControl/>
              <w:ind w:firstLine="0"/>
              <w:jc w:val="left"/>
              <w:outlineLvl w:val="0"/>
              <w:rPr>
                <w:i/>
                <w:iCs/>
                <w:color w:val="auto"/>
                <w:lang w:eastAsia="ru-RU"/>
              </w:rPr>
            </w:pPr>
            <w:bookmarkStart w:id="17" w:name="_Toc161837301"/>
            <w:bookmarkStart w:id="18" w:name="_Toc162008709"/>
            <w:r>
              <w:rPr>
                <w:i/>
                <w:iCs/>
                <w:color w:val="auto"/>
                <w:lang w:eastAsia="ru-RU"/>
              </w:rPr>
              <w:t>Доходы от упл</w:t>
            </w:r>
            <w:r w:rsidR="001D28E5" w:rsidRPr="00583033">
              <w:rPr>
                <w:i/>
                <w:iCs/>
                <w:color w:val="auto"/>
                <w:lang w:eastAsia="ru-RU"/>
              </w:rPr>
              <w:t>аты акцизов на ГСМ</w:t>
            </w:r>
            <w:bookmarkEnd w:id="17"/>
            <w:bookmarkEnd w:id="18"/>
          </w:p>
        </w:tc>
        <w:tc>
          <w:tcPr>
            <w:tcW w:w="1765"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58A1D6E" w14:textId="77777777" w:rsidR="001D28E5" w:rsidRPr="00583033" w:rsidRDefault="001D28E5" w:rsidP="00A95CD5">
            <w:pPr>
              <w:widowControl/>
              <w:ind w:firstLine="0"/>
              <w:jc w:val="center"/>
              <w:outlineLvl w:val="0"/>
              <w:rPr>
                <w:i/>
                <w:iCs/>
                <w:color w:val="auto"/>
                <w:lang w:eastAsia="ru-RU"/>
              </w:rPr>
            </w:pPr>
            <w:r w:rsidRPr="00583033">
              <w:rPr>
                <w:color w:val="auto"/>
              </w:rPr>
              <w:t>3</w:t>
            </w:r>
            <w:r>
              <w:rPr>
                <w:color w:val="auto"/>
              </w:rPr>
              <w:t> </w:t>
            </w:r>
            <w:r w:rsidRPr="00583033">
              <w:rPr>
                <w:color w:val="auto"/>
              </w:rPr>
              <w:t>740</w:t>
            </w:r>
            <w:r>
              <w:rPr>
                <w:color w:val="auto"/>
              </w:rPr>
              <w:t>,1</w:t>
            </w:r>
          </w:p>
        </w:tc>
        <w:tc>
          <w:tcPr>
            <w:tcW w:w="127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E97B330" w14:textId="77777777" w:rsidR="001D28E5" w:rsidRPr="00BC6E30" w:rsidRDefault="001D28E5" w:rsidP="00A95CD5">
            <w:pPr>
              <w:widowControl/>
              <w:ind w:firstLine="0"/>
              <w:jc w:val="center"/>
              <w:outlineLvl w:val="0"/>
              <w:rPr>
                <w:i/>
                <w:iCs/>
                <w:color w:val="auto"/>
                <w:lang w:eastAsia="ru-RU"/>
              </w:rPr>
            </w:pPr>
            <w:r w:rsidRPr="00BC6E30">
              <w:rPr>
                <w:color w:val="auto"/>
              </w:rPr>
              <w:t>3 648,2</w:t>
            </w:r>
          </w:p>
        </w:tc>
        <w:tc>
          <w:tcPr>
            <w:tcW w:w="1387" w:type="dxa"/>
            <w:tcBorders>
              <w:top w:val="single" w:sz="4" w:space="0" w:color="auto"/>
              <w:left w:val="single" w:sz="4" w:space="0" w:color="auto"/>
              <w:bottom w:val="single" w:sz="4" w:space="0" w:color="auto"/>
              <w:right w:val="single" w:sz="4" w:space="0" w:color="auto"/>
            </w:tcBorders>
            <w:shd w:val="clear" w:color="000000" w:fill="FFF2CC"/>
            <w:vAlign w:val="center"/>
          </w:tcPr>
          <w:p w14:paraId="4CC23B69" w14:textId="77777777" w:rsidR="001D28E5" w:rsidRPr="00BC6E30" w:rsidRDefault="001D28E5" w:rsidP="00A95CD5">
            <w:pPr>
              <w:widowControl/>
              <w:ind w:firstLine="0"/>
              <w:jc w:val="center"/>
              <w:outlineLvl w:val="0"/>
              <w:rPr>
                <w:color w:val="auto"/>
                <w:lang w:eastAsia="ru-RU"/>
              </w:rPr>
            </w:pPr>
            <w:r w:rsidRPr="00BC6E30">
              <w:rPr>
                <w:color w:val="auto"/>
              </w:rPr>
              <w:t>97,5%</w:t>
            </w:r>
          </w:p>
        </w:tc>
        <w:tc>
          <w:tcPr>
            <w:tcW w:w="1856" w:type="dxa"/>
            <w:tcBorders>
              <w:top w:val="single" w:sz="4" w:space="0" w:color="auto"/>
              <w:left w:val="single" w:sz="4" w:space="0" w:color="auto"/>
              <w:bottom w:val="single" w:sz="4" w:space="0" w:color="auto"/>
              <w:right w:val="single" w:sz="4" w:space="0" w:color="auto"/>
            </w:tcBorders>
            <w:shd w:val="clear" w:color="000000" w:fill="FFF2CC"/>
            <w:vAlign w:val="center"/>
          </w:tcPr>
          <w:p w14:paraId="526E1877" w14:textId="77777777" w:rsidR="001D28E5" w:rsidRPr="00BC6E30" w:rsidRDefault="001D28E5" w:rsidP="00A95CD5">
            <w:pPr>
              <w:widowControl/>
              <w:ind w:firstLine="0"/>
              <w:jc w:val="center"/>
              <w:outlineLvl w:val="0"/>
              <w:rPr>
                <w:b/>
                <w:bCs/>
                <w:color w:val="auto"/>
                <w:lang w:eastAsia="ru-RU"/>
              </w:rPr>
            </w:pPr>
            <w:r w:rsidRPr="00BC6E30">
              <w:rPr>
                <w:color w:val="auto"/>
              </w:rPr>
              <w:t>399,</w:t>
            </w:r>
            <w:r>
              <w:rPr>
                <w:color w:val="auto"/>
              </w:rPr>
              <w:t>1</w:t>
            </w:r>
          </w:p>
        </w:tc>
        <w:tc>
          <w:tcPr>
            <w:tcW w:w="1179" w:type="dxa"/>
            <w:tcBorders>
              <w:top w:val="single" w:sz="4" w:space="0" w:color="auto"/>
              <w:left w:val="single" w:sz="4" w:space="0" w:color="auto"/>
              <w:bottom w:val="single" w:sz="4" w:space="0" w:color="auto"/>
              <w:right w:val="single" w:sz="4" w:space="0" w:color="auto"/>
            </w:tcBorders>
            <w:shd w:val="clear" w:color="000000" w:fill="FFF2CC"/>
            <w:vAlign w:val="center"/>
          </w:tcPr>
          <w:p w14:paraId="64AD6798" w14:textId="77777777" w:rsidR="001D28E5" w:rsidRPr="00BC6E30" w:rsidRDefault="001D28E5" w:rsidP="00A95CD5">
            <w:pPr>
              <w:widowControl/>
              <w:ind w:firstLine="0"/>
              <w:jc w:val="center"/>
              <w:outlineLvl w:val="0"/>
              <w:rPr>
                <w:b/>
                <w:bCs/>
                <w:color w:val="auto"/>
                <w:lang w:eastAsia="ru-RU"/>
              </w:rPr>
            </w:pPr>
            <w:r w:rsidRPr="00BC6E30">
              <w:rPr>
                <w:color w:val="auto"/>
              </w:rPr>
              <w:t>112,3%</w:t>
            </w:r>
          </w:p>
        </w:tc>
      </w:tr>
      <w:tr w:rsidR="001D28E5" w:rsidRPr="00C014DC" w14:paraId="3BDC0F54" w14:textId="77777777" w:rsidTr="001D28E5">
        <w:trPr>
          <w:trHeight w:val="375"/>
        </w:trPr>
        <w:tc>
          <w:tcPr>
            <w:tcW w:w="291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2B6DA93E" w14:textId="77777777" w:rsidR="001D28E5" w:rsidRPr="00583033" w:rsidRDefault="001D28E5" w:rsidP="001836C3">
            <w:pPr>
              <w:widowControl/>
              <w:ind w:firstLine="0"/>
              <w:jc w:val="left"/>
              <w:rPr>
                <w:color w:val="auto"/>
                <w:lang w:eastAsia="ru-RU"/>
              </w:rPr>
            </w:pPr>
            <w:r w:rsidRPr="00583033">
              <w:rPr>
                <w:color w:val="auto"/>
                <w:lang w:eastAsia="ru-RU"/>
              </w:rPr>
              <w:t>Налоги на совокупный доход</w:t>
            </w:r>
          </w:p>
        </w:tc>
        <w:tc>
          <w:tcPr>
            <w:tcW w:w="1765" w:type="dxa"/>
            <w:tcBorders>
              <w:top w:val="single" w:sz="4" w:space="0" w:color="auto"/>
              <w:left w:val="nil"/>
              <w:bottom w:val="single" w:sz="8" w:space="0" w:color="000000"/>
              <w:right w:val="single" w:sz="8" w:space="0" w:color="000000"/>
            </w:tcBorders>
            <w:shd w:val="clear" w:color="000000" w:fill="FFFFFF"/>
            <w:noWrap/>
            <w:hideMark/>
          </w:tcPr>
          <w:p w14:paraId="2902805F" w14:textId="77777777" w:rsidR="001D28E5" w:rsidRPr="00583033" w:rsidRDefault="001D28E5" w:rsidP="00A95CD5">
            <w:pPr>
              <w:widowControl/>
              <w:ind w:firstLine="0"/>
              <w:jc w:val="center"/>
              <w:rPr>
                <w:color w:val="auto"/>
                <w:lang w:eastAsia="ru-RU"/>
              </w:rPr>
            </w:pPr>
            <w:r w:rsidRPr="00583033">
              <w:rPr>
                <w:color w:val="auto"/>
              </w:rPr>
              <w:t>2</w:t>
            </w:r>
            <w:r>
              <w:rPr>
                <w:color w:val="auto"/>
              </w:rPr>
              <w:t> </w:t>
            </w:r>
            <w:r w:rsidRPr="00583033">
              <w:rPr>
                <w:color w:val="auto"/>
              </w:rPr>
              <w:t>319</w:t>
            </w:r>
            <w:r>
              <w:rPr>
                <w:color w:val="auto"/>
              </w:rPr>
              <w:t>,1</w:t>
            </w:r>
          </w:p>
        </w:tc>
        <w:tc>
          <w:tcPr>
            <w:tcW w:w="1276" w:type="dxa"/>
            <w:tcBorders>
              <w:top w:val="single" w:sz="4" w:space="0" w:color="auto"/>
              <w:left w:val="nil"/>
              <w:bottom w:val="single" w:sz="8" w:space="0" w:color="auto"/>
              <w:right w:val="single" w:sz="8" w:space="0" w:color="auto"/>
            </w:tcBorders>
            <w:shd w:val="clear" w:color="000000" w:fill="FFFFFF"/>
            <w:noWrap/>
            <w:hideMark/>
          </w:tcPr>
          <w:p w14:paraId="600395F9" w14:textId="77777777" w:rsidR="001D28E5" w:rsidRPr="00BC6E30" w:rsidRDefault="001D28E5" w:rsidP="00A95CD5">
            <w:pPr>
              <w:widowControl/>
              <w:ind w:firstLine="0"/>
              <w:jc w:val="center"/>
              <w:rPr>
                <w:color w:val="auto"/>
                <w:lang w:eastAsia="ru-RU"/>
              </w:rPr>
            </w:pPr>
            <w:r w:rsidRPr="00BC6E30">
              <w:rPr>
                <w:color w:val="auto"/>
              </w:rPr>
              <w:t>2 349,7</w:t>
            </w:r>
          </w:p>
        </w:tc>
        <w:tc>
          <w:tcPr>
            <w:tcW w:w="1387" w:type="dxa"/>
            <w:tcBorders>
              <w:top w:val="single" w:sz="4" w:space="0" w:color="auto"/>
              <w:left w:val="nil"/>
              <w:bottom w:val="single" w:sz="8" w:space="0" w:color="auto"/>
              <w:right w:val="single" w:sz="8" w:space="0" w:color="auto"/>
            </w:tcBorders>
            <w:shd w:val="clear" w:color="000000" w:fill="FFFFFF"/>
          </w:tcPr>
          <w:p w14:paraId="049D6D05" w14:textId="77777777" w:rsidR="001D28E5" w:rsidRPr="00BC6E30" w:rsidRDefault="001D28E5" w:rsidP="00A95CD5">
            <w:pPr>
              <w:widowControl/>
              <w:ind w:firstLine="0"/>
              <w:jc w:val="center"/>
              <w:rPr>
                <w:color w:val="auto"/>
                <w:lang w:eastAsia="ru-RU"/>
              </w:rPr>
            </w:pPr>
            <w:r w:rsidRPr="00BC6E30">
              <w:rPr>
                <w:color w:val="auto"/>
              </w:rPr>
              <w:t>101,3%</w:t>
            </w:r>
          </w:p>
        </w:tc>
        <w:tc>
          <w:tcPr>
            <w:tcW w:w="1856" w:type="dxa"/>
            <w:tcBorders>
              <w:top w:val="single" w:sz="4" w:space="0" w:color="auto"/>
              <w:left w:val="nil"/>
              <w:bottom w:val="single" w:sz="8" w:space="0" w:color="auto"/>
              <w:right w:val="single" w:sz="8" w:space="0" w:color="auto"/>
            </w:tcBorders>
            <w:shd w:val="clear" w:color="000000" w:fill="FFFFFF"/>
          </w:tcPr>
          <w:p w14:paraId="266BFA16" w14:textId="77777777" w:rsidR="001D28E5" w:rsidRPr="00BC6E30" w:rsidRDefault="001D28E5" w:rsidP="00A95CD5">
            <w:pPr>
              <w:widowControl/>
              <w:ind w:firstLine="0"/>
              <w:jc w:val="center"/>
              <w:rPr>
                <w:b/>
                <w:bCs/>
                <w:color w:val="auto"/>
                <w:lang w:eastAsia="ru-RU"/>
              </w:rPr>
            </w:pPr>
            <w:r w:rsidRPr="00BC6E30">
              <w:rPr>
                <w:color w:val="auto"/>
              </w:rPr>
              <w:t>377,4</w:t>
            </w:r>
          </w:p>
        </w:tc>
        <w:tc>
          <w:tcPr>
            <w:tcW w:w="1179" w:type="dxa"/>
            <w:tcBorders>
              <w:top w:val="single" w:sz="4" w:space="0" w:color="auto"/>
              <w:left w:val="nil"/>
              <w:bottom w:val="single" w:sz="8" w:space="0" w:color="auto"/>
              <w:right w:val="single" w:sz="8" w:space="0" w:color="auto"/>
            </w:tcBorders>
            <w:shd w:val="clear" w:color="000000" w:fill="FFFFFF"/>
          </w:tcPr>
          <w:p w14:paraId="1765EA59" w14:textId="77777777" w:rsidR="001D28E5" w:rsidRPr="00BC6E30" w:rsidRDefault="001D28E5" w:rsidP="00A95CD5">
            <w:pPr>
              <w:widowControl/>
              <w:ind w:firstLine="0"/>
              <w:jc w:val="center"/>
              <w:rPr>
                <w:b/>
                <w:bCs/>
                <w:color w:val="auto"/>
                <w:lang w:eastAsia="ru-RU"/>
              </w:rPr>
            </w:pPr>
            <w:r w:rsidRPr="00BC6E30">
              <w:rPr>
                <w:color w:val="auto"/>
              </w:rPr>
              <w:t>119,1%</w:t>
            </w:r>
          </w:p>
        </w:tc>
      </w:tr>
      <w:tr w:rsidR="001D28E5" w:rsidRPr="00C014DC" w14:paraId="5D8F998D" w14:textId="77777777" w:rsidTr="001D28E5">
        <w:trPr>
          <w:trHeight w:val="375"/>
        </w:trPr>
        <w:tc>
          <w:tcPr>
            <w:tcW w:w="2914" w:type="dxa"/>
            <w:tcBorders>
              <w:top w:val="nil"/>
              <w:left w:val="single" w:sz="4" w:space="0" w:color="000000"/>
              <w:bottom w:val="single" w:sz="4" w:space="0" w:color="000000"/>
              <w:right w:val="single" w:sz="4" w:space="0" w:color="000000"/>
            </w:tcBorders>
            <w:shd w:val="clear" w:color="000000" w:fill="FFFFFF"/>
            <w:vAlign w:val="center"/>
            <w:hideMark/>
          </w:tcPr>
          <w:p w14:paraId="0444EFCC" w14:textId="77777777" w:rsidR="001D28E5" w:rsidRPr="00583033" w:rsidRDefault="001D28E5" w:rsidP="001836C3">
            <w:pPr>
              <w:widowControl/>
              <w:ind w:firstLine="0"/>
              <w:jc w:val="left"/>
              <w:rPr>
                <w:color w:val="auto"/>
                <w:lang w:eastAsia="ru-RU"/>
              </w:rPr>
            </w:pPr>
            <w:r w:rsidRPr="00583033">
              <w:rPr>
                <w:color w:val="auto"/>
                <w:lang w:eastAsia="ru-RU"/>
              </w:rPr>
              <w:t>Налоги на имущество</w:t>
            </w:r>
          </w:p>
        </w:tc>
        <w:tc>
          <w:tcPr>
            <w:tcW w:w="1765" w:type="dxa"/>
            <w:tcBorders>
              <w:top w:val="nil"/>
              <w:left w:val="nil"/>
              <w:bottom w:val="single" w:sz="8" w:space="0" w:color="000000"/>
              <w:right w:val="single" w:sz="8" w:space="0" w:color="000000"/>
            </w:tcBorders>
            <w:shd w:val="clear" w:color="000000" w:fill="FFFFFF"/>
            <w:noWrap/>
            <w:hideMark/>
          </w:tcPr>
          <w:p w14:paraId="63B01643" w14:textId="77777777" w:rsidR="001D28E5" w:rsidRPr="00583033" w:rsidRDefault="001D28E5" w:rsidP="00A95CD5">
            <w:pPr>
              <w:widowControl/>
              <w:ind w:firstLine="0"/>
              <w:jc w:val="center"/>
              <w:rPr>
                <w:color w:val="auto"/>
                <w:lang w:eastAsia="ru-RU"/>
              </w:rPr>
            </w:pPr>
            <w:r w:rsidRPr="00583033">
              <w:rPr>
                <w:color w:val="auto"/>
              </w:rPr>
              <w:t>2</w:t>
            </w:r>
            <w:r>
              <w:rPr>
                <w:color w:val="auto"/>
              </w:rPr>
              <w:t> </w:t>
            </w:r>
            <w:r w:rsidRPr="00583033">
              <w:rPr>
                <w:color w:val="auto"/>
              </w:rPr>
              <w:t>256</w:t>
            </w:r>
            <w:r>
              <w:rPr>
                <w:color w:val="auto"/>
              </w:rPr>
              <w:t>,0</w:t>
            </w:r>
          </w:p>
        </w:tc>
        <w:tc>
          <w:tcPr>
            <w:tcW w:w="1276" w:type="dxa"/>
            <w:tcBorders>
              <w:top w:val="nil"/>
              <w:left w:val="nil"/>
              <w:bottom w:val="single" w:sz="8" w:space="0" w:color="auto"/>
              <w:right w:val="single" w:sz="8" w:space="0" w:color="auto"/>
            </w:tcBorders>
            <w:shd w:val="clear" w:color="000000" w:fill="FFFFFF"/>
            <w:noWrap/>
            <w:hideMark/>
          </w:tcPr>
          <w:p w14:paraId="7552E82C" w14:textId="77777777" w:rsidR="001D28E5" w:rsidRPr="00BC6E30" w:rsidRDefault="001D28E5" w:rsidP="00A95CD5">
            <w:pPr>
              <w:widowControl/>
              <w:ind w:firstLine="0"/>
              <w:jc w:val="center"/>
              <w:rPr>
                <w:color w:val="auto"/>
                <w:lang w:eastAsia="ru-RU"/>
              </w:rPr>
            </w:pPr>
            <w:r w:rsidRPr="00BC6E30">
              <w:rPr>
                <w:color w:val="auto"/>
              </w:rPr>
              <w:t>2 261,8</w:t>
            </w:r>
          </w:p>
        </w:tc>
        <w:tc>
          <w:tcPr>
            <w:tcW w:w="1387" w:type="dxa"/>
            <w:tcBorders>
              <w:top w:val="nil"/>
              <w:left w:val="nil"/>
              <w:bottom w:val="single" w:sz="8" w:space="0" w:color="auto"/>
              <w:right w:val="single" w:sz="8" w:space="0" w:color="auto"/>
            </w:tcBorders>
            <w:shd w:val="clear" w:color="000000" w:fill="FFFFFF"/>
          </w:tcPr>
          <w:p w14:paraId="08A1C60A" w14:textId="77777777" w:rsidR="001D28E5" w:rsidRPr="00BC6E30" w:rsidRDefault="001D28E5" w:rsidP="00A95CD5">
            <w:pPr>
              <w:widowControl/>
              <w:ind w:firstLine="0"/>
              <w:jc w:val="center"/>
              <w:rPr>
                <w:color w:val="auto"/>
                <w:lang w:eastAsia="ru-RU"/>
              </w:rPr>
            </w:pPr>
            <w:r w:rsidRPr="00BC6E30">
              <w:rPr>
                <w:color w:val="auto"/>
              </w:rPr>
              <w:t>100,3</w:t>
            </w:r>
            <w:r w:rsidRPr="00BC6E30">
              <w:rPr>
                <w:color w:val="auto"/>
                <w:lang w:eastAsia="ru-RU"/>
              </w:rPr>
              <w:t>%</w:t>
            </w:r>
          </w:p>
        </w:tc>
        <w:tc>
          <w:tcPr>
            <w:tcW w:w="1856" w:type="dxa"/>
            <w:tcBorders>
              <w:top w:val="nil"/>
              <w:left w:val="nil"/>
              <w:bottom w:val="single" w:sz="8" w:space="0" w:color="auto"/>
              <w:right w:val="single" w:sz="8" w:space="0" w:color="auto"/>
            </w:tcBorders>
            <w:shd w:val="clear" w:color="000000" w:fill="FFFFFF"/>
          </w:tcPr>
          <w:p w14:paraId="41373065" w14:textId="77777777" w:rsidR="001D28E5" w:rsidRPr="00BC6E30" w:rsidRDefault="001D28E5" w:rsidP="00A95CD5">
            <w:pPr>
              <w:widowControl/>
              <w:ind w:firstLine="0"/>
              <w:jc w:val="center"/>
              <w:rPr>
                <w:b/>
                <w:bCs/>
                <w:color w:val="auto"/>
                <w:lang w:eastAsia="ru-RU"/>
              </w:rPr>
            </w:pPr>
            <w:r w:rsidRPr="00BC6E30">
              <w:rPr>
                <w:color w:val="auto"/>
              </w:rPr>
              <w:t>37,8</w:t>
            </w:r>
          </w:p>
        </w:tc>
        <w:tc>
          <w:tcPr>
            <w:tcW w:w="1179" w:type="dxa"/>
            <w:tcBorders>
              <w:top w:val="nil"/>
              <w:left w:val="nil"/>
              <w:bottom w:val="single" w:sz="8" w:space="0" w:color="auto"/>
              <w:right w:val="single" w:sz="8" w:space="0" w:color="auto"/>
            </w:tcBorders>
            <w:shd w:val="clear" w:color="000000" w:fill="FFFFFF"/>
          </w:tcPr>
          <w:p w14:paraId="7D486675" w14:textId="77777777" w:rsidR="001D28E5" w:rsidRPr="00BC6E30" w:rsidRDefault="001D28E5" w:rsidP="00A95CD5">
            <w:pPr>
              <w:widowControl/>
              <w:ind w:firstLine="0"/>
              <w:jc w:val="center"/>
              <w:rPr>
                <w:b/>
                <w:bCs/>
                <w:color w:val="auto"/>
                <w:lang w:eastAsia="ru-RU"/>
              </w:rPr>
            </w:pPr>
            <w:r w:rsidRPr="00BC6E30">
              <w:rPr>
                <w:color w:val="auto"/>
              </w:rPr>
              <w:t>101,7%</w:t>
            </w:r>
          </w:p>
        </w:tc>
      </w:tr>
      <w:tr w:rsidR="001D28E5" w:rsidRPr="00C014DC" w14:paraId="29B18424" w14:textId="77777777" w:rsidTr="001D28E5">
        <w:trPr>
          <w:trHeight w:val="750"/>
        </w:trPr>
        <w:tc>
          <w:tcPr>
            <w:tcW w:w="2914" w:type="dxa"/>
            <w:tcBorders>
              <w:top w:val="nil"/>
              <w:left w:val="single" w:sz="4" w:space="0" w:color="000000"/>
              <w:bottom w:val="single" w:sz="4" w:space="0" w:color="000000"/>
              <w:right w:val="single" w:sz="4" w:space="0" w:color="000000"/>
            </w:tcBorders>
            <w:shd w:val="clear" w:color="000000" w:fill="FFFFFF"/>
            <w:vAlign w:val="center"/>
            <w:hideMark/>
          </w:tcPr>
          <w:p w14:paraId="6902AA96" w14:textId="77777777" w:rsidR="001D28E5" w:rsidRPr="00583033" w:rsidRDefault="001D28E5" w:rsidP="001836C3">
            <w:pPr>
              <w:widowControl/>
              <w:ind w:firstLine="0"/>
              <w:jc w:val="left"/>
              <w:rPr>
                <w:color w:val="auto"/>
                <w:lang w:eastAsia="ru-RU"/>
              </w:rPr>
            </w:pPr>
            <w:r w:rsidRPr="00583033">
              <w:rPr>
                <w:color w:val="auto"/>
                <w:lang w:eastAsia="ru-RU"/>
              </w:rPr>
              <w:t>Налоги, сборы и регулярные платежи за пользование природными ресурсами</w:t>
            </w:r>
          </w:p>
        </w:tc>
        <w:tc>
          <w:tcPr>
            <w:tcW w:w="1765" w:type="dxa"/>
            <w:tcBorders>
              <w:top w:val="nil"/>
              <w:left w:val="nil"/>
              <w:bottom w:val="single" w:sz="8" w:space="0" w:color="000000"/>
              <w:right w:val="single" w:sz="8" w:space="0" w:color="000000"/>
            </w:tcBorders>
            <w:shd w:val="clear" w:color="000000" w:fill="FFFFFF"/>
            <w:noWrap/>
            <w:hideMark/>
          </w:tcPr>
          <w:p w14:paraId="265719B4" w14:textId="77777777" w:rsidR="001D28E5" w:rsidRPr="00583033" w:rsidRDefault="001D28E5" w:rsidP="00A95CD5">
            <w:pPr>
              <w:widowControl/>
              <w:ind w:firstLine="0"/>
              <w:jc w:val="center"/>
              <w:rPr>
                <w:color w:val="auto"/>
                <w:lang w:eastAsia="ru-RU"/>
              </w:rPr>
            </w:pPr>
            <w:r w:rsidRPr="00583033">
              <w:rPr>
                <w:color w:val="auto"/>
              </w:rPr>
              <w:t>19</w:t>
            </w:r>
            <w:r>
              <w:rPr>
                <w:color w:val="auto"/>
              </w:rPr>
              <w:t>,4</w:t>
            </w:r>
          </w:p>
        </w:tc>
        <w:tc>
          <w:tcPr>
            <w:tcW w:w="1276" w:type="dxa"/>
            <w:tcBorders>
              <w:top w:val="nil"/>
              <w:left w:val="nil"/>
              <w:bottom w:val="single" w:sz="8" w:space="0" w:color="auto"/>
              <w:right w:val="single" w:sz="8" w:space="0" w:color="auto"/>
            </w:tcBorders>
            <w:shd w:val="clear" w:color="000000" w:fill="FFFFFF"/>
            <w:noWrap/>
            <w:hideMark/>
          </w:tcPr>
          <w:p w14:paraId="7681E6BA" w14:textId="77777777" w:rsidR="001D28E5" w:rsidRPr="00BC6E30" w:rsidRDefault="001D28E5" w:rsidP="00A95CD5">
            <w:pPr>
              <w:widowControl/>
              <w:ind w:firstLine="0"/>
              <w:jc w:val="center"/>
              <w:rPr>
                <w:color w:val="auto"/>
                <w:lang w:eastAsia="ru-RU"/>
              </w:rPr>
            </w:pPr>
            <w:r w:rsidRPr="00BC6E30">
              <w:rPr>
                <w:color w:val="auto"/>
              </w:rPr>
              <w:t>22,6</w:t>
            </w:r>
          </w:p>
        </w:tc>
        <w:tc>
          <w:tcPr>
            <w:tcW w:w="1387" w:type="dxa"/>
            <w:tcBorders>
              <w:top w:val="nil"/>
              <w:left w:val="nil"/>
              <w:bottom w:val="single" w:sz="8" w:space="0" w:color="auto"/>
              <w:right w:val="single" w:sz="8" w:space="0" w:color="auto"/>
            </w:tcBorders>
            <w:shd w:val="clear" w:color="000000" w:fill="FFFFFF"/>
          </w:tcPr>
          <w:p w14:paraId="707D73B0" w14:textId="77777777" w:rsidR="001D28E5" w:rsidRPr="00BC6E30" w:rsidRDefault="001D28E5" w:rsidP="00A95CD5">
            <w:pPr>
              <w:widowControl/>
              <w:ind w:firstLine="0"/>
              <w:jc w:val="center"/>
              <w:rPr>
                <w:color w:val="auto"/>
                <w:lang w:eastAsia="ru-RU"/>
              </w:rPr>
            </w:pPr>
            <w:r w:rsidRPr="00BC6E30">
              <w:rPr>
                <w:color w:val="auto"/>
              </w:rPr>
              <w:t>116,6</w:t>
            </w:r>
            <w:r w:rsidRPr="00BC6E30">
              <w:rPr>
                <w:color w:val="auto"/>
                <w:lang w:eastAsia="ru-RU"/>
              </w:rPr>
              <w:t>%</w:t>
            </w:r>
          </w:p>
        </w:tc>
        <w:tc>
          <w:tcPr>
            <w:tcW w:w="1856" w:type="dxa"/>
            <w:tcBorders>
              <w:top w:val="nil"/>
              <w:left w:val="nil"/>
              <w:bottom w:val="single" w:sz="8" w:space="0" w:color="auto"/>
              <w:right w:val="single" w:sz="8" w:space="0" w:color="auto"/>
            </w:tcBorders>
            <w:shd w:val="clear" w:color="000000" w:fill="FFFFFF"/>
          </w:tcPr>
          <w:p w14:paraId="17CC2C8A" w14:textId="77777777" w:rsidR="001D28E5" w:rsidRPr="00BC6E30" w:rsidRDefault="001D28E5" w:rsidP="00A95CD5">
            <w:pPr>
              <w:widowControl/>
              <w:ind w:firstLine="0"/>
              <w:jc w:val="center"/>
              <w:rPr>
                <w:b/>
                <w:bCs/>
                <w:color w:val="auto"/>
                <w:lang w:eastAsia="ru-RU"/>
              </w:rPr>
            </w:pPr>
            <w:r w:rsidRPr="00BC6E30">
              <w:rPr>
                <w:color w:val="auto"/>
              </w:rPr>
              <w:t>-0,7</w:t>
            </w:r>
          </w:p>
        </w:tc>
        <w:tc>
          <w:tcPr>
            <w:tcW w:w="1179" w:type="dxa"/>
            <w:tcBorders>
              <w:top w:val="nil"/>
              <w:left w:val="nil"/>
              <w:bottom w:val="single" w:sz="8" w:space="0" w:color="auto"/>
              <w:right w:val="single" w:sz="8" w:space="0" w:color="auto"/>
            </w:tcBorders>
            <w:shd w:val="clear" w:color="000000" w:fill="FFFFFF"/>
          </w:tcPr>
          <w:p w14:paraId="0ED55884" w14:textId="77777777" w:rsidR="001D28E5" w:rsidRPr="00BC6E30" w:rsidRDefault="001D28E5" w:rsidP="00A95CD5">
            <w:pPr>
              <w:widowControl/>
              <w:ind w:firstLine="0"/>
              <w:jc w:val="center"/>
              <w:rPr>
                <w:b/>
                <w:bCs/>
                <w:color w:val="auto"/>
                <w:lang w:eastAsia="ru-RU"/>
              </w:rPr>
            </w:pPr>
            <w:r w:rsidRPr="00BC6E30">
              <w:rPr>
                <w:color w:val="auto"/>
              </w:rPr>
              <w:t>96,9</w:t>
            </w:r>
            <w:r w:rsidRPr="00BC6E30">
              <w:rPr>
                <w:b/>
                <w:bCs/>
                <w:color w:val="auto"/>
                <w:lang w:eastAsia="ru-RU"/>
              </w:rPr>
              <w:t>%</w:t>
            </w:r>
          </w:p>
        </w:tc>
      </w:tr>
      <w:tr w:rsidR="001D28E5" w:rsidRPr="00C014DC" w14:paraId="1C520D11" w14:textId="77777777" w:rsidTr="001D28E5">
        <w:trPr>
          <w:trHeight w:val="375"/>
        </w:trPr>
        <w:tc>
          <w:tcPr>
            <w:tcW w:w="2914" w:type="dxa"/>
            <w:tcBorders>
              <w:top w:val="nil"/>
              <w:left w:val="single" w:sz="4" w:space="0" w:color="000000"/>
              <w:bottom w:val="single" w:sz="4" w:space="0" w:color="auto"/>
              <w:right w:val="single" w:sz="4" w:space="0" w:color="000000"/>
            </w:tcBorders>
            <w:shd w:val="clear" w:color="000000" w:fill="FFFFFF"/>
            <w:vAlign w:val="center"/>
            <w:hideMark/>
          </w:tcPr>
          <w:p w14:paraId="1A2717CC" w14:textId="77777777" w:rsidR="001D28E5" w:rsidRPr="00583033" w:rsidRDefault="001D28E5" w:rsidP="001836C3">
            <w:pPr>
              <w:widowControl/>
              <w:ind w:firstLine="0"/>
              <w:jc w:val="left"/>
              <w:rPr>
                <w:color w:val="auto"/>
                <w:lang w:eastAsia="ru-RU"/>
              </w:rPr>
            </w:pPr>
            <w:r w:rsidRPr="00583033">
              <w:rPr>
                <w:color w:val="auto"/>
                <w:lang w:eastAsia="ru-RU"/>
              </w:rPr>
              <w:t>Государственная пошлина</w:t>
            </w:r>
          </w:p>
        </w:tc>
        <w:tc>
          <w:tcPr>
            <w:tcW w:w="1765" w:type="dxa"/>
            <w:tcBorders>
              <w:top w:val="nil"/>
              <w:left w:val="nil"/>
              <w:bottom w:val="single" w:sz="4" w:space="0" w:color="auto"/>
              <w:right w:val="single" w:sz="8" w:space="0" w:color="000000"/>
            </w:tcBorders>
            <w:shd w:val="clear" w:color="000000" w:fill="FFFFFF"/>
            <w:noWrap/>
            <w:hideMark/>
          </w:tcPr>
          <w:p w14:paraId="68C8A1DB" w14:textId="77777777" w:rsidR="001D28E5" w:rsidRPr="00583033" w:rsidRDefault="001D28E5" w:rsidP="00A95CD5">
            <w:pPr>
              <w:widowControl/>
              <w:ind w:firstLine="0"/>
              <w:jc w:val="center"/>
              <w:rPr>
                <w:color w:val="auto"/>
                <w:lang w:eastAsia="ru-RU"/>
              </w:rPr>
            </w:pPr>
            <w:r w:rsidRPr="00583033">
              <w:rPr>
                <w:color w:val="auto"/>
              </w:rPr>
              <w:t>81</w:t>
            </w:r>
            <w:r>
              <w:rPr>
                <w:color w:val="auto"/>
              </w:rPr>
              <w:t>,2</w:t>
            </w:r>
          </w:p>
        </w:tc>
        <w:tc>
          <w:tcPr>
            <w:tcW w:w="1276" w:type="dxa"/>
            <w:tcBorders>
              <w:top w:val="nil"/>
              <w:left w:val="nil"/>
              <w:bottom w:val="single" w:sz="4" w:space="0" w:color="auto"/>
              <w:right w:val="single" w:sz="8" w:space="0" w:color="auto"/>
            </w:tcBorders>
            <w:shd w:val="clear" w:color="000000" w:fill="FFFFFF"/>
            <w:noWrap/>
            <w:hideMark/>
          </w:tcPr>
          <w:p w14:paraId="73F649F6" w14:textId="77777777" w:rsidR="001D28E5" w:rsidRPr="00583033" w:rsidRDefault="001D28E5" w:rsidP="00A95CD5">
            <w:pPr>
              <w:widowControl/>
              <w:ind w:firstLine="0"/>
              <w:jc w:val="center"/>
              <w:rPr>
                <w:color w:val="auto"/>
                <w:lang w:eastAsia="ru-RU"/>
              </w:rPr>
            </w:pPr>
            <w:r w:rsidRPr="00583033">
              <w:rPr>
                <w:color w:val="auto"/>
              </w:rPr>
              <w:t>98</w:t>
            </w:r>
            <w:r>
              <w:rPr>
                <w:color w:val="auto"/>
              </w:rPr>
              <w:t>,4</w:t>
            </w:r>
          </w:p>
        </w:tc>
        <w:tc>
          <w:tcPr>
            <w:tcW w:w="1387" w:type="dxa"/>
            <w:tcBorders>
              <w:top w:val="nil"/>
              <w:left w:val="nil"/>
              <w:bottom w:val="single" w:sz="4" w:space="0" w:color="auto"/>
              <w:right w:val="single" w:sz="8" w:space="0" w:color="auto"/>
            </w:tcBorders>
            <w:shd w:val="clear" w:color="000000" w:fill="FFFFFF"/>
          </w:tcPr>
          <w:p w14:paraId="4A8068CA" w14:textId="77777777" w:rsidR="001D28E5" w:rsidRPr="00C014DC" w:rsidRDefault="001D28E5" w:rsidP="00A95CD5">
            <w:pPr>
              <w:widowControl/>
              <w:ind w:firstLine="0"/>
              <w:jc w:val="center"/>
              <w:rPr>
                <w:color w:val="FF0000"/>
                <w:lang w:eastAsia="ru-RU"/>
              </w:rPr>
            </w:pPr>
            <w:r w:rsidRPr="00641667">
              <w:t>121,2</w:t>
            </w:r>
            <w:r>
              <w:t>%</w:t>
            </w:r>
          </w:p>
        </w:tc>
        <w:tc>
          <w:tcPr>
            <w:tcW w:w="1856" w:type="dxa"/>
            <w:tcBorders>
              <w:top w:val="nil"/>
              <w:left w:val="nil"/>
              <w:bottom w:val="single" w:sz="4" w:space="0" w:color="auto"/>
              <w:right w:val="single" w:sz="8" w:space="0" w:color="auto"/>
            </w:tcBorders>
            <w:shd w:val="clear" w:color="000000" w:fill="FFFFFF"/>
          </w:tcPr>
          <w:p w14:paraId="3B40E221" w14:textId="77777777" w:rsidR="001D28E5" w:rsidRPr="00C014DC" w:rsidRDefault="001D28E5" w:rsidP="00A95CD5">
            <w:pPr>
              <w:widowControl/>
              <w:ind w:firstLine="0"/>
              <w:jc w:val="center"/>
              <w:rPr>
                <w:b/>
                <w:bCs/>
                <w:color w:val="FF0000"/>
                <w:lang w:eastAsia="ru-RU"/>
              </w:rPr>
            </w:pPr>
            <w:r>
              <w:t>9,5</w:t>
            </w:r>
          </w:p>
        </w:tc>
        <w:tc>
          <w:tcPr>
            <w:tcW w:w="1179" w:type="dxa"/>
            <w:tcBorders>
              <w:top w:val="nil"/>
              <w:left w:val="nil"/>
              <w:bottom w:val="single" w:sz="4" w:space="0" w:color="auto"/>
              <w:right w:val="single" w:sz="8" w:space="0" w:color="auto"/>
            </w:tcBorders>
            <w:shd w:val="clear" w:color="000000" w:fill="FFFFFF"/>
          </w:tcPr>
          <w:p w14:paraId="432FD02C" w14:textId="77777777" w:rsidR="001D28E5" w:rsidRPr="00C014DC" w:rsidRDefault="001D28E5" w:rsidP="00A95CD5">
            <w:pPr>
              <w:widowControl/>
              <w:ind w:firstLine="0"/>
              <w:jc w:val="center"/>
              <w:rPr>
                <w:b/>
                <w:bCs/>
                <w:color w:val="FF0000"/>
                <w:lang w:eastAsia="ru-RU"/>
              </w:rPr>
            </w:pPr>
            <w:r w:rsidRPr="00641667">
              <w:t>110,8</w:t>
            </w:r>
            <w:r>
              <w:t>%</w:t>
            </w:r>
          </w:p>
        </w:tc>
      </w:tr>
      <w:tr w:rsidR="001D28E5" w:rsidRPr="00C014DC" w14:paraId="2AE9C32E" w14:textId="77777777" w:rsidTr="00790A72">
        <w:trPr>
          <w:trHeight w:val="699"/>
        </w:trPr>
        <w:tc>
          <w:tcPr>
            <w:tcW w:w="2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BF9EE" w14:textId="77777777" w:rsidR="001D28E5" w:rsidRPr="00583033" w:rsidRDefault="001D28E5" w:rsidP="001836C3">
            <w:pPr>
              <w:widowControl/>
              <w:ind w:firstLine="0"/>
              <w:jc w:val="left"/>
              <w:rPr>
                <w:color w:val="auto"/>
                <w:lang w:eastAsia="ru-RU"/>
              </w:rPr>
            </w:pPr>
            <w:r w:rsidRPr="00583033">
              <w:rPr>
                <w:color w:val="auto"/>
                <w:lang w:eastAsia="ru-RU"/>
              </w:rPr>
              <w:t>Задолженность и перерасчеты по отмененным налогам, сборам и иным обязательным платежам</w:t>
            </w:r>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FCE24" w14:textId="77777777" w:rsidR="001D28E5" w:rsidRPr="004548A5" w:rsidRDefault="001D28E5" w:rsidP="00A95CD5">
            <w:pPr>
              <w:widowControl/>
              <w:ind w:firstLine="0"/>
              <w:jc w:val="center"/>
              <w:rPr>
                <w:color w:val="auto"/>
                <w:lang w:eastAsia="ru-RU"/>
              </w:rPr>
            </w:pPr>
            <w:r w:rsidRPr="004548A5">
              <w:rPr>
                <w:color w:val="auto"/>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41B23" w14:textId="77777777" w:rsidR="001D28E5" w:rsidRPr="004548A5" w:rsidRDefault="001D28E5" w:rsidP="00A95CD5">
            <w:pPr>
              <w:widowControl/>
              <w:ind w:firstLine="0"/>
              <w:jc w:val="center"/>
              <w:rPr>
                <w:color w:val="auto"/>
                <w:lang w:eastAsia="ru-RU"/>
              </w:rPr>
            </w:pPr>
            <w:r w:rsidRPr="004548A5">
              <w:rPr>
                <w:color w:val="auto"/>
              </w:rPr>
              <w:t>0,0</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0C21E250" w14:textId="77777777" w:rsidR="001D28E5" w:rsidRPr="004548A5" w:rsidRDefault="001D28E5" w:rsidP="00A95CD5">
            <w:pPr>
              <w:widowControl/>
              <w:ind w:firstLine="0"/>
              <w:jc w:val="center"/>
              <w:rPr>
                <w:color w:val="auto"/>
                <w:lang w:eastAsia="ru-RU"/>
              </w:rPr>
            </w:pPr>
            <w:r w:rsidRPr="004548A5">
              <w:rPr>
                <w:color w:val="auto"/>
                <w:lang w:eastAsia="ru-RU"/>
              </w:rPr>
              <w:t>-</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tcPr>
          <w:p w14:paraId="0AF3CD50" w14:textId="77777777" w:rsidR="001D28E5" w:rsidRPr="004548A5" w:rsidRDefault="001D28E5" w:rsidP="00A95CD5">
            <w:pPr>
              <w:widowControl/>
              <w:ind w:firstLine="0"/>
              <w:jc w:val="center"/>
              <w:rPr>
                <w:bCs/>
                <w:color w:val="auto"/>
                <w:lang w:eastAsia="ru-RU"/>
              </w:rPr>
            </w:pPr>
            <w:r>
              <w:rPr>
                <w:bCs/>
                <w:color w:val="auto"/>
                <w:lang w:eastAsia="ru-RU"/>
              </w:rPr>
              <w:t>0,0</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46183D05" w14:textId="77777777" w:rsidR="001D28E5" w:rsidRPr="004548A5" w:rsidRDefault="001D28E5" w:rsidP="00A95CD5">
            <w:pPr>
              <w:widowControl/>
              <w:ind w:firstLine="0"/>
              <w:jc w:val="center"/>
              <w:rPr>
                <w:bCs/>
                <w:color w:val="auto"/>
                <w:lang w:eastAsia="ru-RU"/>
              </w:rPr>
            </w:pPr>
            <w:r>
              <w:rPr>
                <w:bCs/>
                <w:color w:val="auto"/>
                <w:lang w:eastAsia="ru-RU"/>
              </w:rPr>
              <w:t>-</w:t>
            </w:r>
          </w:p>
        </w:tc>
      </w:tr>
      <w:tr w:rsidR="001D28E5" w:rsidRPr="00C014DC" w14:paraId="4B9CB7A6" w14:textId="77777777" w:rsidTr="00790A72">
        <w:trPr>
          <w:trHeight w:val="661"/>
        </w:trPr>
        <w:tc>
          <w:tcPr>
            <w:tcW w:w="2914" w:type="dxa"/>
            <w:tcBorders>
              <w:top w:val="single" w:sz="4" w:space="0" w:color="auto"/>
              <w:left w:val="single" w:sz="4" w:space="0" w:color="auto"/>
              <w:bottom w:val="single" w:sz="4" w:space="0" w:color="auto"/>
              <w:right w:val="single" w:sz="4" w:space="0" w:color="auto"/>
            </w:tcBorders>
            <w:shd w:val="clear" w:color="auto" w:fill="CCFF99"/>
            <w:vAlign w:val="center"/>
            <w:hideMark/>
          </w:tcPr>
          <w:p w14:paraId="64F197CC" w14:textId="1FFA5A2E" w:rsidR="001D28E5" w:rsidRPr="00830734" w:rsidRDefault="001D28E5" w:rsidP="00A95CD5">
            <w:pPr>
              <w:widowControl/>
              <w:ind w:firstLine="0"/>
              <w:jc w:val="left"/>
              <w:rPr>
                <w:b/>
                <w:bCs/>
                <w:color w:val="auto"/>
                <w:sz w:val="24"/>
                <w:szCs w:val="24"/>
                <w:lang w:eastAsia="ru-RU"/>
              </w:rPr>
            </w:pPr>
            <w:r w:rsidRPr="00830734">
              <w:rPr>
                <w:b/>
                <w:bCs/>
                <w:color w:val="auto"/>
                <w:sz w:val="24"/>
                <w:szCs w:val="24"/>
                <w:lang w:eastAsia="ru-RU"/>
              </w:rPr>
              <w:t>НЕНАЛОГОВЫЕ ДОХОДЫ</w:t>
            </w:r>
          </w:p>
        </w:tc>
        <w:tc>
          <w:tcPr>
            <w:tcW w:w="1765" w:type="dxa"/>
            <w:tcBorders>
              <w:top w:val="single" w:sz="4" w:space="0" w:color="auto"/>
              <w:left w:val="nil"/>
              <w:bottom w:val="single" w:sz="8" w:space="0" w:color="auto"/>
              <w:right w:val="single" w:sz="8" w:space="0" w:color="auto"/>
            </w:tcBorders>
            <w:shd w:val="clear" w:color="auto" w:fill="CCFF99"/>
            <w:noWrap/>
            <w:hideMark/>
          </w:tcPr>
          <w:p w14:paraId="23595004" w14:textId="77777777" w:rsidR="001D28E5" w:rsidRPr="00A95CD5" w:rsidRDefault="001D28E5" w:rsidP="00A95CD5">
            <w:pPr>
              <w:widowControl/>
              <w:ind w:firstLine="0"/>
              <w:jc w:val="center"/>
              <w:rPr>
                <w:b/>
                <w:bCs/>
                <w:color w:val="FF0000"/>
                <w:lang w:eastAsia="ru-RU"/>
              </w:rPr>
            </w:pPr>
            <w:r w:rsidRPr="00A95CD5">
              <w:rPr>
                <w:b/>
              </w:rPr>
              <w:t>4 472,2</w:t>
            </w:r>
          </w:p>
        </w:tc>
        <w:tc>
          <w:tcPr>
            <w:tcW w:w="1276" w:type="dxa"/>
            <w:tcBorders>
              <w:top w:val="single" w:sz="4" w:space="0" w:color="auto"/>
              <w:left w:val="nil"/>
              <w:bottom w:val="single" w:sz="8" w:space="0" w:color="auto"/>
              <w:right w:val="single" w:sz="8" w:space="0" w:color="auto"/>
            </w:tcBorders>
            <w:shd w:val="clear" w:color="auto" w:fill="CCFF99"/>
            <w:noWrap/>
            <w:hideMark/>
          </w:tcPr>
          <w:p w14:paraId="345F7A4D" w14:textId="77777777" w:rsidR="001D28E5" w:rsidRPr="00A95CD5" w:rsidRDefault="001D28E5" w:rsidP="00A95CD5">
            <w:pPr>
              <w:widowControl/>
              <w:ind w:firstLine="0"/>
              <w:jc w:val="center"/>
              <w:rPr>
                <w:b/>
                <w:bCs/>
                <w:color w:val="FF0000"/>
                <w:lang w:eastAsia="ru-RU"/>
              </w:rPr>
            </w:pPr>
            <w:r w:rsidRPr="00A95CD5">
              <w:rPr>
                <w:b/>
              </w:rPr>
              <w:t>4 701,3</w:t>
            </w:r>
          </w:p>
        </w:tc>
        <w:tc>
          <w:tcPr>
            <w:tcW w:w="1387" w:type="dxa"/>
            <w:tcBorders>
              <w:top w:val="single" w:sz="4" w:space="0" w:color="auto"/>
              <w:left w:val="nil"/>
              <w:bottom w:val="single" w:sz="8" w:space="0" w:color="auto"/>
              <w:right w:val="single" w:sz="8" w:space="0" w:color="auto"/>
            </w:tcBorders>
            <w:shd w:val="clear" w:color="auto" w:fill="CCFF99"/>
          </w:tcPr>
          <w:p w14:paraId="4DE3B570" w14:textId="77777777" w:rsidR="001D28E5" w:rsidRPr="00A95CD5" w:rsidRDefault="001D28E5" w:rsidP="00A95CD5">
            <w:pPr>
              <w:widowControl/>
              <w:ind w:firstLine="0"/>
              <w:jc w:val="center"/>
              <w:rPr>
                <w:b/>
                <w:bCs/>
                <w:color w:val="FF0000"/>
                <w:lang w:eastAsia="ru-RU"/>
              </w:rPr>
            </w:pPr>
            <w:r w:rsidRPr="00A95CD5">
              <w:rPr>
                <w:b/>
                <w:color w:val="auto"/>
              </w:rPr>
              <w:t>105</w:t>
            </w:r>
            <w:r w:rsidRPr="00A95CD5">
              <w:rPr>
                <w:b/>
                <w:bCs/>
                <w:color w:val="auto"/>
                <w:lang w:eastAsia="ru-RU"/>
              </w:rPr>
              <w:t>,1%</w:t>
            </w:r>
          </w:p>
        </w:tc>
        <w:tc>
          <w:tcPr>
            <w:tcW w:w="1856" w:type="dxa"/>
            <w:tcBorders>
              <w:top w:val="single" w:sz="4" w:space="0" w:color="auto"/>
              <w:left w:val="nil"/>
              <w:bottom w:val="single" w:sz="8" w:space="0" w:color="auto"/>
              <w:right w:val="single" w:sz="8" w:space="0" w:color="auto"/>
            </w:tcBorders>
            <w:shd w:val="clear" w:color="auto" w:fill="CCFF99"/>
          </w:tcPr>
          <w:p w14:paraId="33B45EE2" w14:textId="77777777" w:rsidR="001D28E5" w:rsidRPr="00A95CD5" w:rsidRDefault="001D28E5" w:rsidP="00A95CD5">
            <w:pPr>
              <w:widowControl/>
              <w:ind w:firstLine="0"/>
              <w:jc w:val="center"/>
              <w:rPr>
                <w:b/>
                <w:bCs/>
                <w:color w:val="FF0000"/>
                <w:lang w:eastAsia="ru-RU"/>
              </w:rPr>
            </w:pPr>
            <w:r w:rsidRPr="00A95CD5">
              <w:rPr>
                <w:b/>
              </w:rPr>
              <w:t>1 054,3</w:t>
            </w:r>
          </w:p>
        </w:tc>
        <w:tc>
          <w:tcPr>
            <w:tcW w:w="1179" w:type="dxa"/>
            <w:tcBorders>
              <w:top w:val="single" w:sz="4" w:space="0" w:color="auto"/>
              <w:left w:val="nil"/>
              <w:bottom w:val="single" w:sz="8" w:space="0" w:color="auto"/>
              <w:right w:val="single" w:sz="8" w:space="0" w:color="auto"/>
            </w:tcBorders>
            <w:shd w:val="clear" w:color="auto" w:fill="CCFF99"/>
          </w:tcPr>
          <w:p w14:paraId="29A8CBBC" w14:textId="77777777" w:rsidR="001D28E5" w:rsidRPr="00A95CD5" w:rsidRDefault="001D28E5" w:rsidP="00A95CD5">
            <w:pPr>
              <w:widowControl/>
              <w:ind w:firstLine="0"/>
              <w:jc w:val="center"/>
              <w:rPr>
                <w:b/>
                <w:bCs/>
                <w:color w:val="FF0000"/>
                <w:lang w:eastAsia="ru-RU"/>
              </w:rPr>
            </w:pPr>
            <w:r w:rsidRPr="00A95CD5">
              <w:rPr>
                <w:b/>
              </w:rPr>
              <w:t>128,9%</w:t>
            </w:r>
          </w:p>
        </w:tc>
      </w:tr>
      <w:tr w:rsidR="001D28E5" w:rsidRPr="00C014DC" w14:paraId="541C9031" w14:textId="77777777" w:rsidTr="001D28E5">
        <w:trPr>
          <w:trHeight w:val="699"/>
        </w:trPr>
        <w:tc>
          <w:tcPr>
            <w:tcW w:w="291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63E38AA" w14:textId="77777777" w:rsidR="001D28E5" w:rsidRPr="00830734" w:rsidRDefault="001D28E5" w:rsidP="001836C3">
            <w:pPr>
              <w:widowControl/>
              <w:ind w:firstLine="0"/>
              <w:jc w:val="left"/>
              <w:rPr>
                <w:color w:val="auto"/>
                <w:lang w:eastAsia="ru-RU"/>
              </w:rPr>
            </w:pPr>
            <w:r w:rsidRPr="00830734">
              <w:rPr>
                <w:color w:val="auto"/>
                <w:lang w:eastAsia="ru-RU"/>
              </w:rPr>
              <w:t>Доходы от использования имущества, находящегося в государственной и муниципальной собственности</w:t>
            </w:r>
          </w:p>
        </w:tc>
        <w:tc>
          <w:tcPr>
            <w:tcW w:w="1765" w:type="dxa"/>
            <w:tcBorders>
              <w:top w:val="nil"/>
              <w:left w:val="nil"/>
              <w:bottom w:val="single" w:sz="8" w:space="0" w:color="000000"/>
              <w:right w:val="single" w:sz="8" w:space="0" w:color="000000"/>
            </w:tcBorders>
            <w:shd w:val="clear" w:color="000000" w:fill="FFFFFF"/>
            <w:noWrap/>
            <w:hideMark/>
          </w:tcPr>
          <w:p w14:paraId="2C10B809" w14:textId="77777777" w:rsidR="001D28E5" w:rsidRPr="00C014DC" w:rsidRDefault="001D28E5" w:rsidP="00A95CD5">
            <w:pPr>
              <w:widowControl/>
              <w:ind w:firstLine="0"/>
              <w:jc w:val="center"/>
              <w:rPr>
                <w:color w:val="FF0000"/>
                <w:lang w:eastAsia="ru-RU"/>
              </w:rPr>
            </w:pPr>
            <w:r w:rsidRPr="00E173DD">
              <w:t>2</w:t>
            </w:r>
            <w:r>
              <w:t> </w:t>
            </w:r>
            <w:r w:rsidRPr="00E173DD">
              <w:t>507</w:t>
            </w:r>
            <w:r>
              <w:t>,6</w:t>
            </w:r>
          </w:p>
        </w:tc>
        <w:tc>
          <w:tcPr>
            <w:tcW w:w="1276" w:type="dxa"/>
            <w:tcBorders>
              <w:top w:val="nil"/>
              <w:left w:val="nil"/>
              <w:bottom w:val="single" w:sz="8" w:space="0" w:color="auto"/>
              <w:right w:val="single" w:sz="8" w:space="0" w:color="auto"/>
            </w:tcBorders>
            <w:shd w:val="clear" w:color="000000" w:fill="FFFFFF"/>
            <w:noWrap/>
            <w:hideMark/>
          </w:tcPr>
          <w:p w14:paraId="187108CA" w14:textId="77777777" w:rsidR="001D28E5" w:rsidRPr="00C014DC" w:rsidRDefault="001D28E5" w:rsidP="00A95CD5">
            <w:pPr>
              <w:widowControl/>
              <w:ind w:firstLine="0"/>
              <w:jc w:val="center"/>
              <w:rPr>
                <w:color w:val="FF0000"/>
                <w:lang w:eastAsia="ru-RU"/>
              </w:rPr>
            </w:pPr>
            <w:r w:rsidRPr="00E173DD">
              <w:t>2</w:t>
            </w:r>
            <w:r>
              <w:t> </w:t>
            </w:r>
            <w:r w:rsidRPr="00E173DD">
              <w:t>627</w:t>
            </w:r>
            <w:r>
              <w:t>,5</w:t>
            </w:r>
          </w:p>
        </w:tc>
        <w:tc>
          <w:tcPr>
            <w:tcW w:w="1387" w:type="dxa"/>
            <w:tcBorders>
              <w:top w:val="nil"/>
              <w:left w:val="nil"/>
              <w:bottom w:val="single" w:sz="8" w:space="0" w:color="auto"/>
              <w:right w:val="single" w:sz="8" w:space="0" w:color="auto"/>
            </w:tcBorders>
            <w:shd w:val="clear" w:color="000000" w:fill="FFFFFF"/>
          </w:tcPr>
          <w:p w14:paraId="436AE6DA" w14:textId="77777777" w:rsidR="001D28E5" w:rsidRPr="00C014DC" w:rsidRDefault="001D28E5" w:rsidP="00A95CD5">
            <w:pPr>
              <w:widowControl/>
              <w:ind w:firstLine="0"/>
              <w:jc w:val="center"/>
              <w:rPr>
                <w:color w:val="FF0000"/>
                <w:lang w:eastAsia="ru-RU"/>
              </w:rPr>
            </w:pPr>
            <w:r w:rsidRPr="00E173DD">
              <w:t>10</w:t>
            </w:r>
            <w:r>
              <w:t>4,8%</w:t>
            </w:r>
          </w:p>
        </w:tc>
        <w:tc>
          <w:tcPr>
            <w:tcW w:w="1856" w:type="dxa"/>
            <w:tcBorders>
              <w:top w:val="nil"/>
              <w:left w:val="nil"/>
              <w:bottom w:val="single" w:sz="8" w:space="0" w:color="auto"/>
              <w:right w:val="single" w:sz="8" w:space="0" w:color="auto"/>
            </w:tcBorders>
            <w:shd w:val="clear" w:color="000000" w:fill="FFFFFF"/>
          </w:tcPr>
          <w:p w14:paraId="77271F3F" w14:textId="77777777" w:rsidR="001D28E5" w:rsidRPr="00C014DC" w:rsidRDefault="001D28E5" w:rsidP="00A95CD5">
            <w:pPr>
              <w:widowControl/>
              <w:ind w:firstLine="0"/>
              <w:jc w:val="center"/>
              <w:rPr>
                <w:b/>
                <w:bCs/>
                <w:color w:val="FF0000"/>
                <w:lang w:eastAsia="ru-RU"/>
              </w:rPr>
            </w:pPr>
            <w:r>
              <w:t>633,2</w:t>
            </w:r>
          </w:p>
        </w:tc>
        <w:tc>
          <w:tcPr>
            <w:tcW w:w="1179" w:type="dxa"/>
            <w:tcBorders>
              <w:top w:val="nil"/>
              <w:left w:val="nil"/>
              <w:bottom w:val="single" w:sz="8" w:space="0" w:color="auto"/>
              <w:right w:val="single" w:sz="8" w:space="0" w:color="auto"/>
            </w:tcBorders>
            <w:shd w:val="clear" w:color="000000" w:fill="FFFFFF"/>
          </w:tcPr>
          <w:p w14:paraId="32E69CDD" w14:textId="77777777" w:rsidR="001D28E5" w:rsidRPr="00C014DC" w:rsidRDefault="001D28E5" w:rsidP="00A95CD5">
            <w:pPr>
              <w:widowControl/>
              <w:ind w:firstLine="0"/>
              <w:jc w:val="center"/>
              <w:rPr>
                <w:b/>
                <w:bCs/>
                <w:color w:val="FF0000"/>
                <w:lang w:eastAsia="ru-RU"/>
              </w:rPr>
            </w:pPr>
            <w:r w:rsidRPr="00BC6E30">
              <w:rPr>
                <w:color w:val="auto"/>
              </w:rPr>
              <w:t>131,7</w:t>
            </w:r>
            <w:r w:rsidRPr="00BC6E30">
              <w:rPr>
                <w:b/>
                <w:bCs/>
                <w:color w:val="auto"/>
                <w:lang w:eastAsia="ru-RU"/>
              </w:rPr>
              <w:t>%</w:t>
            </w:r>
          </w:p>
        </w:tc>
      </w:tr>
      <w:tr w:rsidR="001D28E5" w:rsidRPr="00C014DC" w14:paraId="48A5ED7D" w14:textId="77777777" w:rsidTr="001D28E5">
        <w:trPr>
          <w:trHeight w:val="750"/>
        </w:trPr>
        <w:tc>
          <w:tcPr>
            <w:tcW w:w="2914" w:type="dxa"/>
            <w:tcBorders>
              <w:top w:val="nil"/>
              <w:left w:val="single" w:sz="4" w:space="0" w:color="000000"/>
              <w:bottom w:val="single" w:sz="4" w:space="0" w:color="000000"/>
              <w:right w:val="single" w:sz="4" w:space="0" w:color="000000"/>
            </w:tcBorders>
            <w:shd w:val="clear" w:color="000000" w:fill="FFFFFF"/>
            <w:vAlign w:val="center"/>
            <w:hideMark/>
          </w:tcPr>
          <w:p w14:paraId="66D493B2" w14:textId="77777777" w:rsidR="001D28E5" w:rsidRPr="00830734" w:rsidRDefault="001D28E5" w:rsidP="001836C3">
            <w:pPr>
              <w:widowControl/>
              <w:ind w:firstLine="0"/>
              <w:jc w:val="left"/>
              <w:rPr>
                <w:color w:val="auto"/>
                <w:lang w:eastAsia="ru-RU"/>
              </w:rPr>
            </w:pPr>
            <w:r w:rsidRPr="00830734">
              <w:rPr>
                <w:color w:val="auto"/>
                <w:lang w:eastAsia="ru-RU"/>
              </w:rPr>
              <w:t>Платежи при пользовании природными ресурсами</w:t>
            </w:r>
          </w:p>
        </w:tc>
        <w:tc>
          <w:tcPr>
            <w:tcW w:w="1765" w:type="dxa"/>
            <w:tcBorders>
              <w:top w:val="nil"/>
              <w:left w:val="nil"/>
              <w:bottom w:val="single" w:sz="8" w:space="0" w:color="000000"/>
              <w:right w:val="single" w:sz="8" w:space="0" w:color="000000"/>
            </w:tcBorders>
            <w:shd w:val="clear" w:color="000000" w:fill="FFFFFF"/>
            <w:noWrap/>
            <w:hideMark/>
          </w:tcPr>
          <w:p w14:paraId="04330316" w14:textId="77777777" w:rsidR="001D28E5" w:rsidRPr="00C014DC" w:rsidRDefault="001D28E5" w:rsidP="00A95CD5">
            <w:pPr>
              <w:widowControl/>
              <w:ind w:firstLine="0"/>
              <w:jc w:val="center"/>
              <w:rPr>
                <w:color w:val="FF0000"/>
                <w:lang w:eastAsia="ru-RU"/>
              </w:rPr>
            </w:pPr>
            <w:r w:rsidRPr="00E173DD">
              <w:t>3</w:t>
            </w:r>
            <w:r>
              <w:t>,1</w:t>
            </w:r>
          </w:p>
        </w:tc>
        <w:tc>
          <w:tcPr>
            <w:tcW w:w="1276" w:type="dxa"/>
            <w:tcBorders>
              <w:top w:val="nil"/>
              <w:left w:val="nil"/>
              <w:bottom w:val="single" w:sz="8" w:space="0" w:color="auto"/>
              <w:right w:val="single" w:sz="8" w:space="0" w:color="auto"/>
            </w:tcBorders>
            <w:shd w:val="clear" w:color="000000" w:fill="FFFFFF"/>
            <w:noWrap/>
            <w:hideMark/>
          </w:tcPr>
          <w:p w14:paraId="340A1A4A" w14:textId="77777777" w:rsidR="001D28E5" w:rsidRPr="00C014DC" w:rsidRDefault="001D28E5" w:rsidP="00A95CD5">
            <w:pPr>
              <w:widowControl/>
              <w:ind w:firstLine="0"/>
              <w:jc w:val="center"/>
              <w:rPr>
                <w:color w:val="FF0000"/>
                <w:lang w:eastAsia="ru-RU"/>
              </w:rPr>
            </w:pPr>
            <w:r w:rsidRPr="00E173DD">
              <w:t>3</w:t>
            </w:r>
            <w:r>
              <w:t>,5</w:t>
            </w:r>
          </w:p>
        </w:tc>
        <w:tc>
          <w:tcPr>
            <w:tcW w:w="1387" w:type="dxa"/>
            <w:tcBorders>
              <w:top w:val="nil"/>
              <w:left w:val="nil"/>
              <w:bottom w:val="single" w:sz="8" w:space="0" w:color="auto"/>
              <w:right w:val="single" w:sz="8" w:space="0" w:color="auto"/>
            </w:tcBorders>
            <w:shd w:val="clear" w:color="000000" w:fill="FFFFFF"/>
          </w:tcPr>
          <w:p w14:paraId="029F64AD" w14:textId="77777777" w:rsidR="001D28E5" w:rsidRPr="00C014DC" w:rsidRDefault="001D28E5" w:rsidP="00A95CD5">
            <w:pPr>
              <w:widowControl/>
              <w:ind w:firstLine="0"/>
              <w:jc w:val="center"/>
              <w:rPr>
                <w:color w:val="FF0000"/>
                <w:lang w:eastAsia="ru-RU"/>
              </w:rPr>
            </w:pPr>
            <w:r w:rsidRPr="00E173DD">
              <w:t>11</w:t>
            </w:r>
            <w:r>
              <w:t>1,9%</w:t>
            </w:r>
          </w:p>
        </w:tc>
        <w:tc>
          <w:tcPr>
            <w:tcW w:w="1856" w:type="dxa"/>
            <w:tcBorders>
              <w:top w:val="nil"/>
              <w:left w:val="nil"/>
              <w:bottom w:val="single" w:sz="8" w:space="0" w:color="auto"/>
              <w:right w:val="single" w:sz="8" w:space="0" w:color="auto"/>
            </w:tcBorders>
            <w:shd w:val="clear" w:color="000000" w:fill="FFFFFF"/>
          </w:tcPr>
          <w:p w14:paraId="37E5E184" w14:textId="77777777" w:rsidR="001D28E5" w:rsidRPr="00C014DC" w:rsidRDefault="001D28E5" w:rsidP="00A95CD5">
            <w:pPr>
              <w:widowControl/>
              <w:ind w:firstLine="0"/>
              <w:jc w:val="center"/>
              <w:rPr>
                <w:b/>
                <w:bCs/>
                <w:color w:val="FF0000"/>
                <w:lang w:eastAsia="ru-RU"/>
              </w:rPr>
            </w:pPr>
            <w:r>
              <w:t>-0,5</w:t>
            </w:r>
          </w:p>
        </w:tc>
        <w:tc>
          <w:tcPr>
            <w:tcW w:w="1179" w:type="dxa"/>
            <w:tcBorders>
              <w:top w:val="nil"/>
              <w:left w:val="nil"/>
              <w:bottom w:val="single" w:sz="8" w:space="0" w:color="auto"/>
              <w:right w:val="single" w:sz="8" w:space="0" w:color="auto"/>
            </w:tcBorders>
            <w:shd w:val="clear" w:color="000000" w:fill="FFFFFF"/>
          </w:tcPr>
          <w:p w14:paraId="0909664A" w14:textId="77777777" w:rsidR="001D28E5" w:rsidRPr="00C014DC" w:rsidRDefault="001D28E5" w:rsidP="00A95CD5">
            <w:pPr>
              <w:widowControl/>
              <w:ind w:firstLine="0"/>
              <w:jc w:val="center"/>
              <w:rPr>
                <w:b/>
                <w:bCs/>
                <w:color w:val="FF0000"/>
                <w:lang w:eastAsia="ru-RU"/>
              </w:rPr>
            </w:pPr>
            <w:r w:rsidRPr="00E173DD">
              <w:t>8</w:t>
            </w:r>
            <w:r>
              <w:t>8,3%</w:t>
            </w:r>
          </w:p>
        </w:tc>
      </w:tr>
      <w:tr w:rsidR="001D28E5" w:rsidRPr="00C014DC" w14:paraId="5504C9B3" w14:textId="77777777" w:rsidTr="00A77BA1">
        <w:trPr>
          <w:trHeight w:val="1125"/>
        </w:trPr>
        <w:tc>
          <w:tcPr>
            <w:tcW w:w="2914" w:type="dxa"/>
            <w:tcBorders>
              <w:top w:val="nil"/>
              <w:left w:val="single" w:sz="4" w:space="0" w:color="000000"/>
              <w:bottom w:val="single" w:sz="4" w:space="0" w:color="auto"/>
              <w:right w:val="single" w:sz="4" w:space="0" w:color="000000"/>
            </w:tcBorders>
            <w:shd w:val="clear" w:color="000000" w:fill="FFFFFF"/>
            <w:vAlign w:val="bottom"/>
            <w:hideMark/>
          </w:tcPr>
          <w:p w14:paraId="2094AEA0" w14:textId="77777777" w:rsidR="001D28E5" w:rsidRPr="00830734" w:rsidRDefault="001D28E5" w:rsidP="001836C3">
            <w:pPr>
              <w:widowControl/>
              <w:ind w:firstLine="0"/>
              <w:jc w:val="left"/>
              <w:rPr>
                <w:color w:val="auto"/>
                <w:lang w:eastAsia="ru-RU"/>
              </w:rPr>
            </w:pPr>
            <w:r w:rsidRPr="00830734">
              <w:rPr>
                <w:color w:val="auto"/>
                <w:lang w:eastAsia="ru-RU"/>
              </w:rPr>
              <w:t>Доходы от оказания платных услуг (работ) и компенсации затрат государства</w:t>
            </w:r>
          </w:p>
        </w:tc>
        <w:tc>
          <w:tcPr>
            <w:tcW w:w="1765" w:type="dxa"/>
            <w:tcBorders>
              <w:top w:val="nil"/>
              <w:left w:val="nil"/>
              <w:bottom w:val="single" w:sz="4" w:space="0" w:color="auto"/>
              <w:right w:val="single" w:sz="8" w:space="0" w:color="000000"/>
            </w:tcBorders>
            <w:shd w:val="clear" w:color="000000" w:fill="FFFFFF"/>
            <w:noWrap/>
            <w:hideMark/>
          </w:tcPr>
          <w:p w14:paraId="02FBFE47" w14:textId="77777777" w:rsidR="001D28E5" w:rsidRPr="00C014DC" w:rsidRDefault="001D28E5" w:rsidP="00A95CD5">
            <w:pPr>
              <w:widowControl/>
              <w:ind w:firstLine="0"/>
              <w:jc w:val="center"/>
              <w:rPr>
                <w:color w:val="FF0000"/>
                <w:lang w:eastAsia="ru-RU"/>
              </w:rPr>
            </w:pPr>
            <w:r w:rsidRPr="00E173DD">
              <w:t>393</w:t>
            </w:r>
            <w:r>
              <w:t>,8</w:t>
            </w:r>
          </w:p>
        </w:tc>
        <w:tc>
          <w:tcPr>
            <w:tcW w:w="1276" w:type="dxa"/>
            <w:tcBorders>
              <w:top w:val="nil"/>
              <w:left w:val="nil"/>
              <w:bottom w:val="single" w:sz="4" w:space="0" w:color="auto"/>
              <w:right w:val="single" w:sz="8" w:space="0" w:color="auto"/>
            </w:tcBorders>
            <w:shd w:val="clear" w:color="000000" w:fill="FFFFFF"/>
            <w:noWrap/>
            <w:hideMark/>
          </w:tcPr>
          <w:p w14:paraId="1856AE94" w14:textId="77777777" w:rsidR="001D28E5" w:rsidRPr="00C014DC" w:rsidRDefault="001D28E5" w:rsidP="00A95CD5">
            <w:pPr>
              <w:widowControl/>
              <w:ind w:firstLine="0"/>
              <w:jc w:val="center"/>
              <w:rPr>
                <w:color w:val="FF0000"/>
                <w:lang w:eastAsia="ru-RU"/>
              </w:rPr>
            </w:pPr>
            <w:r w:rsidRPr="00E173DD">
              <w:t>409</w:t>
            </w:r>
            <w:r>
              <w:t>,8</w:t>
            </w:r>
          </w:p>
        </w:tc>
        <w:tc>
          <w:tcPr>
            <w:tcW w:w="1387" w:type="dxa"/>
            <w:tcBorders>
              <w:top w:val="nil"/>
              <w:left w:val="nil"/>
              <w:bottom w:val="single" w:sz="4" w:space="0" w:color="auto"/>
              <w:right w:val="single" w:sz="8" w:space="0" w:color="auto"/>
            </w:tcBorders>
            <w:shd w:val="clear" w:color="000000" w:fill="FFFFFF"/>
          </w:tcPr>
          <w:p w14:paraId="507433DE" w14:textId="77777777" w:rsidR="001D28E5" w:rsidRPr="00C014DC" w:rsidRDefault="001D28E5" w:rsidP="00A95CD5">
            <w:pPr>
              <w:widowControl/>
              <w:ind w:firstLine="0"/>
              <w:jc w:val="center"/>
              <w:rPr>
                <w:color w:val="FF0000"/>
                <w:lang w:eastAsia="ru-RU"/>
              </w:rPr>
            </w:pPr>
            <w:r w:rsidRPr="00E173DD">
              <w:t>104</w:t>
            </w:r>
            <w:r>
              <w:t>,1%</w:t>
            </w:r>
          </w:p>
        </w:tc>
        <w:tc>
          <w:tcPr>
            <w:tcW w:w="1856" w:type="dxa"/>
            <w:tcBorders>
              <w:top w:val="nil"/>
              <w:left w:val="nil"/>
              <w:bottom w:val="single" w:sz="4" w:space="0" w:color="auto"/>
              <w:right w:val="single" w:sz="8" w:space="0" w:color="auto"/>
            </w:tcBorders>
            <w:shd w:val="clear" w:color="000000" w:fill="FFFFFF"/>
          </w:tcPr>
          <w:p w14:paraId="14F69CCC" w14:textId="77777777" w:rsidR="001D28E5" w:rsidRPr="00C014DC" w:rsidRDefault="001D28E5" w:rsidP="00A95CD5">
            <w:pPr>
              <w:widowControl/>
              <w:ind w:firstLine="0"/>
              <w:jc w:val="center"/>
              <w:rPr>
                <w:b/>
                <w:bCs/>
                <w:color w:val="FF0000"/>
                <w:lang w:eastAsia="ru-RU"/>
              </w:rPr>
            </w:pPr>
            <w:r>
              <w:t>21,7</w:t>
            </w:r>
          </w:p>
        </w:tc>
        <w:tc>
          <w:tcPr>
            <w:tcW w:w="1179" w:type="dxa"/>
            <w:tcBorders>
              <w:top w:val="nil"/>
              <w:left w:val="nil"/>
              <w:bottom w:val="single" w:sz="4" w:space="0" w:color="auto"/>
              <w:right w:val="single" w:sz="8" w:space="0" w:color="auto"/>
            </w:tcBorders>
            <w:shd w:val="clear" w:color="000000" w:fill="FFFFFF"/>
          </w:tcPr>
          <w:p w14:paraId="53EA0D15" w14:textId="77777777" w:rsidR="001D28E5" w:rsidRPr="00C014DC" w:rsidRDefault="001D28E5" w:rsidP="00A95CD5">
            <w:pPr>
              <w:widowControl/>
              <w:ind w:firstLine="0"/>
              <w:jc w:val="center"/>
              <w:rPr>
                <w:b/>
                <w:bCs/>
                <w:color w:val="FF0000"/>
                <w:lang w:eastAsia="ru-RU"/>
              </w:rPr>
            </w:pPr>
            <w:r w:rsidRPr="00E173DD">
              <w:t>10</w:t>
            </w:r>
            <w:r>
              <w:t>5,6%</w:t>
            </w:r>
          </w:p>
        </w:tc>
      </w:tr>
      <w:tr w:rsidR="001D28E5" w:rsidRPr="00C014DC" w14:paraId="2C55B3A4" w14:textId="77777777" w:rsidTr="00A77BA1">
        <w:trPr>
          <w:trHeight w:val="750"/>
        </w:trPr>
        <w:tc>
          <w:tcPr>
            <w:tcW w:w="2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AC786" w14:textId="77777777" w:rsidR="001D28E5" w:rsidRPr="00830734" w:rsidRDefault="001D28E5" w:rsidP="001836C3">
            <w:pPr>
              <w:widowControl/>
              <w:ind w:firstLine="0"/>
              <w:jc w:val="left"/>
              <w:rPr>
                <w:color w:val="auto"/>
                <w:lang w:eastAsia="ru-RU"/>
              </w:rPr>
            </w:pPr>
            <w:r w:rsidRPr="00830734">
              <w:rPr>
                <w:color w:val="auto"/>
                <w:lang w:eastAsia="ru-RU"/>
              </w:rPr>
              <w:t>Доходы от продажи материальных и нематериальных активов</w:t>
            </w:r>
          </w:p>
        </w:tc>
        <w:tc>
          <w:tcPr>
            <w:tcW w:w="1765" w:type="dxa"/>
            <w:tcBorders>
              <w:top w:val="single" w:sz="4" w:space="0" w:color="auto"/>
              <w:left w:val="single" w:sz="4" w:space="0" w:color="auto"/>
              <w:bottom w:val="single" w:sz="4" w:space="0" w:color="auto"/>
              <w:right w:val="single" w:sz="4" w:space="0" w:color="auto"/>
            </w:tcBorders>
            <w:shd w:val="clear" w:color="000000" w:fill="FFFFFF"/>
            <w:noWrap/>
            <w:hideMark/>
          </w:tcPr>
          <w:p w14:paraId="1F851DF3" w14:textId="77777777" w:rsidR="001D28E5" w:rsidRPr="00C014DC" w:rsidRDefault="001D28E5" w:rsidP="00A95CD5">
            <w:pPr>
              <w:widowControl/>
              <w:ind w:firstLine="0"/>
              <w:jc w:val="center"/>
              <w:rPr>
                <w:color w:val="FF0000"/>
                <w:lang w:eastAsia="ru-RU"/>
              </w:rPr>
            </w:pPr>
            <w:r w:rsidRPr="00704064">
              <w:t>73</w:t>
            </w:r>
            <w:r>
              <w:t>,0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14:paraId="50DAA494" w14:textId="77777777" w:rsidR="001D28E5" w:rsidRPr="00C014DC" w:rsidRDefault="001D28E5" w:rsidP="00A95CD5">
            <w:pPr>
              <w:widowControl/>
              <w:ind w:firstLine="0"/>
              <w:jc w:val="center"/>
              <w:rPr>
                <w:color w:val="FF0000"/>
                <w:lang w:eastAsia="ru-RU"/>
              </w:rPr>
            </w:pPr>
            <w:r w:rsidRPr="00704064">
              <w:t>22</w:t>
            </w:r>
            <w:r>
              <w:t>,4</w:t>
            </w:r>
          </w:p>
        </w:tc>
        <w:tc>
          <w:tcPr>
            <w:tcW w:w="1387" w:type="dxa"/>
            <w:tcBorders>
              <w:top w:val="single" w:sz="4" w:space="0" w:color="auto"/>
              <w:left w:val="single" w:sz="4" w:space="0" w:color="auto"/>
              <w:bottom w:val="single" w:sz="4" w:space="0" w:color="auto"/>
              <w:right w:val="single" w:sz="4" w:space="0" w:color="auto"/>
            </w:tcBorders>
            <w:shd w:val="clear" w:color="000000" w:fill="FFFFFF"/>
          </w:tcPr>
          <w:p w14:paraId="6EE8AF88" w14:textId="77777777" w:rsidR="001D28E5" w:rsidRPr="00047D9E" w:rsidRDefault="001D28E5" w:rsidP="00A95CD5">
            <w:pPr>
              <w:widowControl/>
              <w:ind w:firstLine="0"/>
              <w:jc w:val="center"/>
              <w:rPr>
                <w:color w:val="auto"/>
                <w:lang w:eastAsia="ru-RU"/>
              </w:rPr>
            </w:pPr>
            <w:r w:rsidRPr="00047D9E">
              <w:rPr>
                <w:color w:val="auto"/>
              </w:rPr>
              <w:t>30,7</w:t>
            </w:r>
            <w:r>
              <w:rPr>
                <w:color w:val="auto"/>
                <w:lang w:eastAsia="ru-RU"/>
              </w:rPr>
              <w:t>%</w:t>
            </w:r>
          </w:p>
        </w:tc>
        <w:tc>
          <w:tcPr>
            <w:tcW w:w="1856" w:type="dxa"/>
            <w:tcBorders>
              <w:top w:val="single" w:sz="4" w:space="0" w:color="auto"/>
              <w:left w:val="single" w:sz="4" w:space="0" w:color="auto"/>
              <w:bottom w:val="single" w:sz="4" w:space="0" w:color="auto"/>
              <w:right w:val="single" w:sz="4" w:space="0" w:color="auto"/>
            </w:tcBorders>
            <w:shd w:val="clear" w:color="000000" w:fill="FFFFFF"/>
          </w:tcPr>
          <w:p w14:paraId="6FA2F894" w14:textId="77777777" w:rsidR="001D28E5" w:rsidRPr="00047D9E" w:rsidRDefault="001D28E5" w:rsidP="00A95CD5">
            <w:pPr>
              <w:widowControl/>
              <w:ind w:firstLine="0"/>
              <w:jc w:val="center"/>
              <w:rPr>
                <w:b/>
                <w:bCs/>
                <w:color w:val="auto"/>
                <w:lang w:eastAsia="ru-RU"/>
              </w:rPr>
            </w:pPr>
            <w:r w:rsidRPr="00047D9E">
              <w:rPr>
                <w:color w:val="auto"/>
              </w:rPr>
              <w:t>-</w:t>
            </w:r>
            <w:r>
              <w:rPr>
                <w:color w:val="auto"/>
              </w:rPr>
              <w:t>30,2</w:t>
            </w:r>
          </w:p>
        </w:tc>
        <w:tc>
          <w:tcPr>
            <w:tcW w:w="1179" w:type="dxa"/>
            <w:tcBorders>
              <w:top w:val="single" w:sz="4" w:space="0" w:color="auto"/>
              <w:left w:val="single" w:sz="4" w:space="0" w:color="auto"/>
              <w:bottom w:val="single" w:sz="4" w:space="0" w:color="auto"/>
              <w:right w:val="single" w:sz="4" w:space="0" w:color="auto"/>
            </w:tcBorders>
            <w:shd w:val="clear" w:color="000000" w:fill="FFFFFF"/>
          </w:tcPr>
          <w:p w14:paraId="5A272F7D" w14:textId="77777777" w:rsidR="001D28E5" w:rsidRPr="00047D9E" w:rsidRDefault="001D28E5" w:rsidP="00A95CD5">
            <w:pPr>
              <w:widowControl/>
              <w:ind w:firstLine="0"/>
              <w:jc w:val="center"/>
              <w:rPr>
                <w:b/>
                <w:bCs/>
                <w:color w:val="auto"/>
                <w:lang w:eastAsia="ru-RU"/>
              </w:rPr>
            </w:pPr>
            <w:r w:rsidRPr="00047D9E">
              <w:rPr>
                <w:color w:val="auto"/>
              </w:rPr>
              <w:t>42,6</w:t>
            </w:r>
            <w:r>
              <w:rPr>
                <w:b/>
                <w:bCs/>
                <w:color w:val="auto"/>
                <w:lang w:eastAsia="ru-RU"/>
              </w:rPr>
              <w:t>%</w:t>
            </w:r>
          </w:p>
        </w:tc>
      </w:tr>
      <w:tr w:rsidR="001D28E5" w:rsidRPr="00C014DC" w14:paraId="63D23E56" w14:textId="77777777" w:rsidTr="00A77BA1">
        <w:trPr>
          <w:trHeight w:val="375"/>
        </w:trPr>
        <w:tc>
          <w:tcPr>
            <w:tcW w:w="291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6ED95D43" w14:textId="77777777" w:rsidR="001D28E5" w:rsidRPr="00830734" w:rsidRDefault="001D28E5" w:rsidP="001836C3">
            <w:pPr>
              <w:widowControl/>
              <w:ind w:firstLine="0"/>
              <w:jc w:val="left"/>
              <w:rPr>
                <w:color w:val="auto"/>
                <w:lang w:eastAsia="ru-RU"/>
              </w:rPr>
            </w:pPr>
            <w:r w:rsidRPr="00830734">
              <w:rPr>
                <w:color w:val="auto"/>
                <w:lang w:eastAsia="ru-RU"/>
              </w:rPr>
              <w:t>Административные платежи и сборы</w:t>
            </w:r>
          </w:p>
        </w:tc>
        <w:tc>
          <w:tcPr>
            <w:tcW w:w="1765" w:type="dxa"/>
            <w:tcBorders>
              <w:top w:val="single" w:sz="4" w:space="0" w:color="auto"/>
              <w:left w:val="nil"/>
              <w:bottom w:val="single" w:sz="8" w:space="0" w:color="000000"/>
              <w:right w:val="single" w:sz="8" w:space="0" w:color="000000"/>
            </w:tcBorders>
            <w:shd w:val="clear" w:color="000000" w:fill="FFFFFF"/>
            <w:noWrap/>
            <w:hideMark/>
          </w:tcPr>
          <w:p w14:paraId="23DBC682" w14:textId="77777777" w:rsidR="001D28E5" w:rsidRPr="00C014DC" w:rsidRDefault="001D28E5" w:rsidP="00A95CD5">
            <w:pPr>
              <w:widowControl/>
              <w:ind w:firstLine="0"/>
              <w:jc w:val="center"/>
              <w:rPr>
                <w:color w:val="FF0000"/>
                <w:lang w:eastAsia="ru-RU"/>
              </w:rPr>
            </w:pPr>
            <w:r>
              <w:t>0,1</w:t>
            </w:r>
          </w:p>
        </w:tc>
        <w:tc>
          <w:tcPr>
            <w:tcW w:w="1276" w:type="dxa"/>
            <w:tcBorders>
              <w:top w:val="single" w:sz="4" w:space="0" w:color="auto"/>
              <w:left w:val="nil"/>
              <w:bottom w:val="single" w:sz="8" w:space="0" w:color="auto"/>
              <w:right w:val="single" w:sz="8" w:space="0" w:color="auto"/>
            </w:tcBorders>
            <w:shd w:val="clear" w:color="000000" w:fill="FFFFFF"/>
            <w:noWrap/>
            <w:hideMark/>
          </w:tcPr>
          <w:p w14:paraId="415B23BF" w14:textId="77777777" w:rsidR="001D28E5" w:rsidRPr="00C014DC" w:rsidRDefault="001D28E5" w:rsidP="00A95CD5">
            <w:pPr>
              <w:widowControl/>
              <w:ind w:firstLine="0"/>
              <w:jc w:val="center"/>
              <w:rPr>
                <w:color w:val="FF0000"/>
                <w:lang w:eastAsia="ru-RU"/>
              </w:rPr>
            </w:pPr>
            <w:r>
              <w:t>0,0</w:t>
            </w:r>
          </w:p>
        </w:tc>
        <w:tc>
          <w:tcPr>
            <w:tcW w:w="1387" w:type="dxa"/>
            <w:tcBorders>
              <w:top w:val="single" w:sz="4" w:space="0" w:color="auto"/>
              <w:left w:val="nil"/>
              <w:bottom w:val="single" w:sz="8" w:space="0" w:color="auto"/>
              <w:right w:val="single" w:sz="8" w:space="0" w:color="auto"/>
            </w:tcBorders>
            <w:shd w:val="clear" w:color="000000" w:fill="FFFFFF"/>
          </w:tcPr>
          <w:p w14:paraId="60772AE7" w14:textId="77777777" w:rsidR="001D28E5" w:rsidRPr="00047D9E" w:rsidRDefault="001D28E5" w:rsidP="00A95CD5">
            <w:pPr>
              <w:widowControl/>
              <w:ind w:firstLine="0"/>
              <w:jc w:val="center"/>
              <w:rPr>
                <w:color w:val="auto"/>
                <w:lang w:eastAsia="ru-RU"/>
              </w:rPr>
            </w:pPr>
            <w:r>
              <w:rPr>
                <w:color w:val="auto"/>
              </w:rPr>
              <w:t>-</w:t>
            </w:r>
          </w:p>
        </w:tc>
        <w:tc>
          <w:tcPr>
            <w:tcW w:w="1856" w:type="dxa"/>
            <w:tcBorders>
              <w:top w:val="single" w:sz="4" w:space="0" w:color="auto"/>
              <w:left w:val="nil"/>
              <w:bottom w:val="single" w:sz="8" w:space="0" w:color="auto"/>
              <w:right w:val="single" w:sz="8" w:space="0" w:color="auto"/>
            </w:tcBorders>
            <w:shd w:val="clear" w:color="000000" w:fill="FFFFFF"/>
          </w:tcPr>
          <w:p w14:paraId="56B5DBEC" w14:textId="77777777" w:rsidR="001D28E5" w:rsidRPr="00047D9E" w:rsidRDefault="001D28E5" w:rsidP="00A95CD5">
            <w:pPr>
              <w:widowControl/>
              <w:ind w:firstLine="0"/>
              <w:jc w:val="center"/>
              <w:rPr>
                <w:b/>
                <w:bCs/>
                <w:color w:val="auto"/>
                <w:lang w:eastAsia="ru-RU"/>
              </w:rPr>
            </w:pPr>
            <w:r>
              <w:rPr>
                <w:color w:val="auto"/>
              </w:rPr>
              <w:t>0</w:t>
            </w:r>
          </w:p>
        </w:tc>
        <w:tc>
          <w:tcPr>
            <w:tcW w:w="1179" w:type="dxa"/>
            <w:tcBorders>
              <w:top w:val="single" w:sz="4" w:space="0" w:color="auto"/>
              <w:left w:val="nil"/>
              <w:bottom w:val="single" w:sz="8" w:space="0" w:color="auto"/>
              <w:right w:val="single" w:sz="8" w:space="0" w:color="auto"/>
            </w:tcBorders>
            <w:shd w:val="clear" w:color="000000" w:fill="FFFFFF"/>
          </w:tcPr>
          <w:p w14:paraId="19C2DE2E" w14:textId="77777777" w:rsidR="001D28E5" w:rsidRPr="00047D9E" w:rsidRDefault="001D28E5" w:rsidP="00A95CD5">
            <w:pPr>
              <w:widowControl/>
              <w:ind w:firstLine="0"/>
              <w:jc w:val="center"/>
              <w:rPr>
                <w:b/>
                <w:bCs/>
                <w:color w:val="auto"/>
                <w:lang w:eastAsia="ru-RU"/>
              </w:rPr>
            </w:pPr>
            <w:r>
              <w:rPr>
                <w:color w:val="auto"/>
              </w:rPr>
              <w:t>-</w:t>
            </w:r>
          </w:p>
        </w:tc>
      </w:tr>
      <w:tr w:rsidR="001D28E5" w:rsidRPr="00C014DC" w14:paraId="497F7130" w14:textId="77777777" w:rsidTr="001D28E5">
        <w:trPr>
          <w:trHeight w:val="375"/>
        </w:trPr>
        <w:tc>
          <w:tcPr>
            <w:tcW w:w="2914" w:type="dxa"/>
            <w:tcBorders>
              <w:top w:val="nil"/>
              <w:left w:val="single" w:sz="4" w:space="0" w:color="000000"/>
              <w:bottom w:val="single" w:sz="4" w:space="0" w:color="auto"/>
              <w:right w:val="single" w:sz="4" w:space="0" w:color="000000"/>
            </w:tcBorders>
            <w:shd w:val="clear" w:color="000000" w:fill="FFFFFF"/>
            <w:vAlign w:val="center"/>
            <w:hideMark/>
          </w:tcPr>
          <w:p w14:paraId="13AE48DB" w14:textId="77777777" w:rsidR="001D28E5" w:rsidRPr="00830734" w:rsidRDefault="001D28E5" w:rsidP="001836C3">
            <w:pPr>
              <w:widowControl/>
              <w:ind w:firstLine="0"/>
              <w:jc w:val="left"/>
              <w:rPr>
                <w:color w:val="auto"/>
                <w:lang w:eastAsia="ru-RU"/>
              </w:rPr>
            </w:pPr>
            <w:r w:rsidRPr="00830734">
              <w:rPr>
                <w:color w:val="auto"/>
                <w:lang w:eastAsia="ru-RU"/>
              </w:rPr>
              <w:t>Штрафы, санкции, возмещение ущерба</w:t>
            </w:r>
          </w:p>
        </w:tc>
        <w:tc>
          <w:tcPr>
            <w:tcW w:w="1765" w:type="dxa"/>
            <w:tcBorders>
              <w:top w:val="nil"/>
              <w:left w:val="nil"/>
              <w:bottom w:val="single" w:sz="8" w:space="0" w:color="auto"/>
              <w:right w:val="single" w:sz="8" w:space="0" w:color="000000"/>
            </w:tcBorders>
            <w:shd w:val="clear" w:color="000000" w:fill="FFFFFF"/>
            <w:noWrap/>
            <w:hideMark/>
          </w:tcPr>
          <w:p w14:paraId="202DA458" w14:textId="77777777" w:rsidR="001D28E5" w:rsidRPr="00C014DC" w:rsidRDefault="001D28E5" w:rsidP="00A95CD5">
            <w:pPr>
              <w:widowControl/>
              <w:ind w:firstLine="0"/>
              <w:jc w:val="center"/>
              <w:rPr>
                <w:color w:val="FF0000"/>
                <w:lang w:eastAsia="ru-RU"/>
              </w:rPr>
            </w:pPr>
            <w:r w:rsidRPr="00704064">
              <w:t>1</w:t>
            </w:r>
            <w:r>
              <w:t> </w:t>
            </w:r>
            <w:r w:rsidRPr="00704064">
              <w:t>484</w:t>
            </w:r>
            <w:r>
              <w:t>,4</w:t>
            </w:r>
          </w:p>
        </w:tc>
        <w:tc>
          <w:tcPr>
            <w:tcW w:w="1276" w:type="dxa"/>
            <w:tcBorders>
              <w:top w:val="nil"/>
              <w:left w:val="nil"/>
              <w:bottom w:val="single" w:sz="8" w:space="0" w:color="auto"/>
              <w:right w:val="single" w:sz="8" w:space="0" w:color="auto"/>
            </w:tcBorders>
            <w:shd w:val="clear" w:color="000000" w:fill="FFFFFF"/>
            <w:noWrap/>
            <w:hideMark/>
          </w:tcPr>
          <w:p w14:paraId="120692F2" w14:textId="77777777" w:rsidR="001D28E5" w:rsidRPr="00C014DC" w:rsidRDefault="001D28E5" w:rsidP="00A95CD5">
            <w:pPr>
              <w:widowControl/>
              <w:ind w:firstLine="0"/>
              <w:jc w:val="center"/>
              <w:rPr>
                <w:color w:val="FF0000"/>
                <w:lang w:eastAsia="ru-RU"/>
              </w:rPr>
            </w:pPr>
            <w:r w:rsidRPr="00704064">
              <w:t>1</w:t>
            </w:r>
            <w:r>
              <w:t> </w:t>
            </w:r>
            <w:r w:rsidRPr="00704064">
              <w:t>627</w:t>
            </w:r>
            <w:r>
              <w:t>,9</w:t>
            </w:r>
          </w:p>
        </w:tc>
        <w:tc>
          <w:tcPr>
            <w:tcW w:w="1387" w:type="dxa"/>
            <w:tcBorders>
              <w:top w:val="nil"/>
              <w:left w:val="nil"/>
              <w:bottom w:val="single" w:sz="8" w:space="0" w:color="auto"/>
              <w:right w:val="single" w:sz="8" w:space="0" w:color="auto"/>
            </w:tcBorders>
            <w:shd w:val="clear" w:color="000000" w:fill="FFFFFF"/>
          </w:tcPr>
          <w:p w14:paraId="214012A0" w14:textId="77777777" w:rsidR="001D28E5" w:rsidRPr="00047D9E" w:rsidRDefault="001D28E5" w:rsidP="00A95CD5">
            <w:pPr>
              <w:widowControl/>
              <w:ind w:firstLine="0"/>
              <w:jc w:val="center"/>
              <w:rPr>
                <w:color w:val="auto"/>
                <w:lang w:eastAsia="ru-RU"/>
              </w:rPr>
            </w:pPr>
            <w:r w:rsidRPr="00047D9E">
              <w:rPr>
                <w:color w:val="auto"/>
              </w:rPr>
              <w:t>109,7</w:t>
            </w:r>
            <w:r>
              <w:rPr>
                <w:color w:val="auto"/>
                <w:lang w:eastAsia="ru-RU"/>
              </w:rPr>
              <w:t>%</w:t>
            </w:r>
          </w:p>
        </w:tc>
        <w:tc>
          <w:tcPr>
            <w:tcW w:w="1856" w:type="dxa"/>
            <w:tcBorders>
              <w:top w:val="nil"/>
              <w:left w:val="nil"/>
              <w:bottom w:val="single" w:sz="8" w:space="0" w:color="auto"/>
              <w:right w:val="single" w:sz="8" w:space="0" w:color="auto"/>
            </w:tcBorders>
            <w:shd w:val="clear" w:color="000000" w:fill="FFFFFF"/>
          </w:tcPr>
          <w:p w14:paraId="32174D42" w14:textId="77777777" w:rsidR="001D28E5" w:rsidRPr="00047D9E" w:rsidRDefault="001D28E5" w:rsidP="00A95CD5">
            <w:pPr>
              <w:widowControl/>
              <w:ind w:firstLine="0"/>
              <w:jc w:val="center"/>
              <w:rPr>
                <w:b/>
                <w:bCs/>
                <w:color w:val="auto"/>
                <w:lang w:eastAsia="ru-RU"/>
              </w:rPr>
            </w:pPr>
            <w:r>
              <w:rPr>
                <w:color w:val="auto"/>
              </w:rPr>
              <w:t>428,9</w:t>
            </w:r>
          </w:p>
        </w:tc>
        <w:tc>
          <w:tcPr>
            <w:tcW w:w="1179" w:type="dxa"/>
            <w:tcBorders>
              <w:top w:val="nil"/>
              <w:left w:val="nil"/>
              <w:bottom w:val="single" w:sz="8" w:space="0" w:color="auto"/>
              <w:right w:val="single" w:sz="8" w:space="0" w:color="auto"/>
            </w:tcBorders>
            <w:shd w:val="clear" w:color="000000" w:fill="FFFFFF"/>
          </w:tcPr>
          <w:p w14:paraId="42FB9B3E" w14:textId="77777777" w:rsidR="001D28E5" w:rsidRPr="00047D9E" w:rsidRDefault="001D28E5" w:rsidP="00A95CD5">
            <w:pPr>
              <w:widowControl/>
              <w:ind w:firstLine="0"/>
              <w:rPr>
                <w:b/>
                <w:bCs/>
                <w:color w:val="auto"/>
                <w:lang w:eastAsia="ru-RU"/>
              </w:rPr>
            </w:pPr>
            <w:r w:rsidRPr="00047D9E">
              <w:rPr>
                <w:color w:val="auto"/>
              </w:rPr>
              <w:t>135,8</w:t>
            </w:r>
            <w:r>
              <w:rPr>
                <w:b/>
                <w:bCs/>
                <w:color w:val="auto"/>
                <w:lang w:eastAsia="ru-RU"/>
              </w:rPr>
              <w:t>%</w:t>
            </w:r>
          </w:p>
        </w:tc>
      </w:tr>
      <w:tr w:rsidR="001D28E5" w:rsidRPr="00C014DC" w14:paraId="48BAA023" w14:textId="77777777" w:rsidTr="001D28E5">
        <w:trPr>
          <w:trHeight w:val="375"/>
        </w:trPr>
        <w:tc>
          <w:tcPr>
            <w:tcW w:w="2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62C35" w14:textId="77777777" w:rsidR="001D28E5" w:rsidRPr="00830734" w:rsidRDefault="001D28E5" w:rsidP="001836C3">
            <w:pPr>
              <w:widowControl/>
              <w:ind w:firstLine="0"/>
              <w:jc w:val="left"/>
              <w:rPr>
                <w:color w:val="auto"/>
                <w:lang w:eastAsia="ru-RU"/>
              </w:rPr>
            </w:pPr>
            <w:r w:rsidRPr="00830734">
              <w:rPr>
                <w:color w:val="auto"/>
                <w:lang w:eastAsia="ru-RU"/>
              </w:rPr>
              <w:t>Прочие неналоговые доходы</w:t>
            </w:r>
          </w:p>
        </w:tc>
        <w:tc>
          <w:tcPr>
            <w:tcW w:w="1765" w:type="dxa"/>
            <w:tcBorders>
              <w:top w:val="nil"/>
              <w:left w:val="nil"/>
              <w:bottom w:val="single" w:sz="8" w:space="0" w:color="auto"/>
              <w:right w:val="single" w:sz="8" w:space="0" w:color="auto"/>
            </w:tcBorders>
            <w:shd w:val="clear" w:color="000000" w:fill="FFFFFF"/>
            <w:noWrap/>
            <w:hideMark/>
          </w:tcPr>
          <w:p w14:paraId="087ACB11" w14:textId="77777777" w:rsidR="001D28E5" w:rsidRPr="00C014DC" w:rsidRDefault="001D28E5" w:rsidP="00A95CD5">
            <w:pPr>
              <w:widowControl/>
              <w:ind w:firstLine="0"/>
              <w:jc w:val="center"/>
              <w:rPr>
                <w:color w:val="FF0000"/>
                <w:lang w:eastAsia="ru-RU"/>
              </w:rPr>
            </w:pPr>
            <w:r w:rsidRPr="00534C9C">
              <w:t>10</w:t>
            </w:r>
            <w:r>
              <w:t>,1</w:t>
            </w:r>
          </w:p>
        </w:tc>
        <w:tc>
          <w:tcPr>
            <w:tcW w:w="1276" w:type="dxa"/>
            <w:tcBorders>
              <w:top w:val="nil"/>
              <w:left w:val="nil"/>
              <w:bottom w:val="single" w:sz="8" w:space="0" w:color="auto"/>
              <w:right w:val="single" w:sz="8" w:space="0" w:color="auto"/>
            </w:tcBorders>
            <w:shd w:val="clear" w:color="000000" w:fill="FFFFFF"/>
            <w:noWrap/>
            <w:hideMark/>
          </w:tcPr>
          <w:p w14:paraId="69CD0E89" w14:textId="77777777" w:rsidR="001D28E5" w:rsidRPr="00C014DC" w:rsidRDefault="001D28E5" w:rsidP="00A95CD5">
            <w:pPr>
              <w:widowControl/>
              <w:ind w:firstLine="0"/>
              <w:jc w:val="center"/>
              <w:rPr>
                <w:color w:val="FF0000"/>
                <w:lang w:eastAsia="ru-RU"/>
              </w:rPr>
            </w:pPr>
            <w:r w:rsidRPr="00534C9C">
              <w:t>10</w:t>
            </w:r>
            <w:r>
              <w:t>,1</w:t>
            </w:r>
          </w:p>
        </w:tc>
        <w:tc>
          <w:tcPr>
            <w:tcW w:w="1387" w:type="dxa"/>
            <w:tcBorders>
              <w:top w:val="nil"/>
              <w:left w:val="nil"/>
              <w:bottom w:val="single" w:sz="8" w:space="0" w:color="auto"/>
              <w:right w:val="single" w:sz="8" w:space="0" w:color="auto"/>
            </w:tcBorders>
            <w:shd w:val="clear" w:color="000000" w:fill="FFFFFF"/>
          </w:tcPr>
          <w:p w14:paraId="7AB382EB" w14:textId="77777777" w:rsidR="001D28E5" w:rsidRPr="00047D9E" w:rsidRDefault="001D28E5" w:rsidP="00A95CD5">
            <w:pPr>
              <w:widowControl/>
              <w:ind w:firstLine="0"/>
              <w:jc w:val="center"/>
              <w:rPr>
                <w:color w:val="auto"/>
                <w:lang w:eastAsia="ru-RU"/>
              </w:rPr>
            </w:pPr>
            <w:r w:rsidRPr="00047D9E">
              <w:rPr>
                <w:color w:val="auto"/>
              </w:rPr>
              <w:t>99</w:t>
            </w:r>
            <w:r w:rsidRPr="00047D9E">
              <w:rPr>
                <w:color w:val="auto"/>
                <w:lang w:eastAsia="ru-RU"/>
              </w:rPr>
              <w:t>,</w:t>
            </w:r>
            <w:r>
              <w:rPr>
                <w:color w:val="auto"/>
                <w:lang w:eastAsia="ru-RU"/>
              </w:rPr>
              <w:t>9%</w:t>
            </w:r>
          </w:p>
        </w:tc>
        <w:tc>
          <w:tcPr>
            <w:tcW w:w="1856" w:type="dxa"/>
            <w:tcBorders>
              <w:top w:val="nil"/>
              <w:left w:val="nil"/>
              <w:bottom w:val="single" w:sz="8" w:space="0" w:color="auto"/>
              <w:right w:val="single" w:sz="8" w:space="0" w:color="auto"/>
            </w:tcBorders>
            <w:shd w:val="clear" w:color="000000" w:fill="FFFFFF"/>
          </w:tcPr>
          <w:p w14:paraId="53B279D1" w14:textId="77777777" w:rsidR="001D28E5" w:rsidRPr="00047D9E" w:rsidRDefault="001D28E5" w:rsidP="00A95CD5">
            <w:pPr>
              <w:widowControl/>
              <w:ind w:firstLine="0"/>
              <w:jc w:val="center"/>
              <w:rPr>
                <w:b/>
                <w:bCs/>
                <w:color w:val="auto"/>
                <w:lang w:eastAsia="ru-RU"/>
              </w:rPr>
            </w:pPr>
            <w:r>
              <w:rPr>
                <w:color w:val="auto"/>
              </w:rPr>
              <w:t>1,2</w:t>
            </w:r>
          </w:p>
        </w:tc>
        <w:tc>
          <w:tcPr>
            <w:tcW w:w="1179" w:type="dxa"/>
            <w:tcBorders>
              <w:top w:val="nil"/>
              <w:left w:val="nil"/>
              <w:bottom w:val="single" w:sz="8" w:space="0" w:color="auto"/>
              <w:right w:val="single" w:sz="8" w:space="0" w:color="auto"/>
            </w:tcBorders>
            <w:shd w:val="clear" w:color="000000" w:fill="FFFFFF"/>
          </w:tcPr>
          <w:p w14:paraId="00F817ED" w14:textId="77777777" w:rsidR="001D28E5" w:rsidRPr="00047D9E" w:rsidRDefault="001D28E5" w:rsidP="00A95CD5">
            <w:pPr>
              <w:widowControl/>
              <w:ind w:firstLine="0"/>
              <w:jc w:val="center"/>
              <w:rPr>
                <w:b/>
                <w:bCs/>
                <w:color w:val="auto"/>
                <w:lang w:eastAsia="ru-RU"/>
              </w:rPr>
            </w:pPr>
            <w:r w:rsidRPr="00047D9E">
              <w:rPr>
                <w:color w:val="auto"/>
              </w:rPr>
              <w:t>11</w:t>
            </w:r>
            <w:r>
              <w:rPr>
                <w:color w:val="auto"/>
              </w:rPr>
              <w:t>3,0</w:t>
            </w:r>
            <w:r>
              <w:rPr>
                <w:b/>
                <w:bCs/>
                <w:color w:val="auto"/>
                <w:lang w:eastAsia="ru-RU"/>
              </w:rPr>
              <w:t>%</w:t>
            </w:r>
          </w:p>
        </w:tc>
      </w:tr>
      <w:tr w:rsidR="001D28E5" w:rsidRPr="00C014DC" w14:paraId="102CD03C" w14:textId="77777777" w:rsidTr="00790A72">
        <w:trPr>
          <w:trHeight w:val="699"/>
        </w:trPr>
        <w:tc>
          <w:tcPr>
            <w:tcW w:w="2914" w:type="dxa"/>
            <w:tcBorders>
              <w:top w:val="single" w:sz="4" w:space="0" w:color="auto"/>
              <w:left w:val="single" w:sz="4" w:space="0" w:color="auto"/>
              <w:bottom w:val="single" w:sz="4" w:space="0" w:color="auto"/>
              <w:right w:val="single" w:sz="4" w:space="0" w:color="auto"/>
            </w:tcBorders>
            <w:shd w:val="clear" w:color="auto" w:fill="CCFF99"/>
            <w:vAlign w:val="center"/>
            <w:hideMark/>
          </w:tcPr>
          <w:p w14:paraId="3A9E2BAB" w14:textId="77777777" w:rsidR="001D28E5" w:rsidRPr="00830734" w:rsidRDefault="001D28E5" w:rsidP="001836C3">
            <w:pPr>
              <w:widowControl/>
              <w:ind w:firstLine="0"/>
              <w:jc w:val="left"/>
              <w:rPr>
                <w:b/>
                <w:bCs/>
                <w:color w:val="auto"/>
                <w:sz w:val="24"/>
                <w:szCs w:val="24"/>
                <w:lang w:eastAsia="ru-RU"/>
              </w:rPr>
            </w:pPr>
            <w:r w:rsidRPr="00830734">
              <w:rPr>
                <w:b/>
                <w:bCs/>
                <w:color w:val="auto"/>
                <w:sz w:val="24"/>
                <w:szCs w:val="24"/>
                <w:lang w:eastAsia="ru-RU"/>
              </w:rPr>
              <w:t>БЕЗВОЗМЕЗДНЫЕ ПОСТУПЛЕНИЯ</w:t>
            </w:r>
          </w:p>
        </w:tc>
        <w:tc>
          <w:tcPr>
            <w:tcW w:w="1765" w:type="dxa"/>
            <w:tcBorders>
              <w:top w:val="single" w:sz="4" w:space="0" w:color="auto"/>
              <w:left w:val="single" w:sz="4" w:space="0" w:color="auto"/>
              <w:bottom w:val="single" w:sz="4" w:space="0" w:color="auto"/>
              <w:right w:val="single" w:sz="4" w:space="0" w:color="auto"/>
            </w:tcBorders>
            <w:shd w:val="clear" w:color="auto" w:fill="CCFF99"/>
            <w:noWrap/>
            <w:hideMark/>
          </w:tcPr>
          <w:p w14:paraId="60FE12F7" w14:textId="77777777" w:rsidR="001D28E5" w:rsidRPr="00A95CD5" w:rsidRDefault="001D28E5" w:rsidP="00A95CD5">
            <w:pPr>
              <w:widowControl/>
              <w:ind w:firstLine="0"/>
              <w:jc w:val="center"/>
              <w:rPr>
                <w:b/>
                <w:bCs/>
                <w:color w:val="FF0000"/>
                <w:lang w:eastAsia="ru-RU"/>
              </w:rPr>
            </w:pPr>
            <w:r w:rsidRPr="00A95CD5">
              <w:rPr>
                <w:b/>
              </w:rPr>
              <w:t>43 140,7</w:t>
            </w:r>
          </w:p>
        </w:tc>
        <w:tc>
          <w:tcPr>
            <w:tcW w:w="1276" w:type="dxa"/>
            <w:tcBorders>
              <w:top w:val="single" w:sz="4" w:space="0" w:color="auto"/>
              <w:left w:val="single" w:sz="4" w:space="0" w:color="auto"/>
              <w:bottom w:val="single" w:sz="4" w:space="0" w:color="auto"/>
              <w:right w:val="single" w:sz="4" w:space="0" w:color="auto"/>
            </w:tcBorders>
            <w:shd w:val="clear" w:color="auto" w:fill="CCFF99"/>
            <w:noWrap/>
            <w:hideMark/>
          </w:tcPr>
          <w:p w14:paraId="0E2A7163" w14:textId="77777777" w:rsidR="001D28E5" w:rsidRPr="00A95CD5" w:rsidRDefault="001D28E5" w:rsidP="00A95CD5">
            <w:pPr>
              <w:widowControl/>
              <w:ind w:firstLine="0"/>
              <w:jc w:val="center"/>
              <w:rPr>
                <w:b/>
                <w:bCs/>
                <w:color w:val="auto"/>
                <w:lang w:eastAsia="ru-RU"/>
              </w:rPr>
            </w:pPr>
            <w:r w:rsidRPr="00A95CD5">
              <w:rPr>
                <w:b/>
                <w:color w:val="auto"/>
              </w:rPr>
              <w:t>42 880,6</w:t>
            </w:r>
          </w:p>
        </w:tc>
        <w:tc>
          <w:tcPr>
            <w:tcW w:w="1387" w:type="dxa"/>
            <w:tcBorders>
              <w:top w:val="single" w:sz="4" w:space="0" w:color="auto"/>
              <w:left w:val="single" w:sz="4" w:space="0" w:color="auto"/>
              <w:bottom w:val="single" w:sz="4" w:space="0" w:color="auto"/>
              <w:right w:val="single" w:sz="4" w:space="0" w:color="auto"/>
            </w:tcBorders>
            <w:shd w:val="clear" w:color="auto" w:fill="CCFF99"/>
          </w:tcPr>
          <w:p w14:paraId="0D4CACC6" w14:textId="77777777" w:rsidR="001D28E5" w:rsidRPr="00A95CD5" w:rsidRDefault="001D28E5" w:rsidP="00A95CD5">
            <w:pPr>
              <w:widowControl/>
              <w:ind w:firstLine="0"/>
              <w:jc w:val="center"/>
              <w:rPr>
                <w:b/>
                <w:bCs/>
                <w:color w:val="auto"/>
                <w:lang w:eastAsia="ru-RU"/>
              </w:rPr>
            </w:pPr>
            <w:r w:rsidRPr="00A95CD5">
              <w:rPr>
                <w:b/>
                <w:color w:val="auto"/>
              </w:rPr>
              <w:t>99,4</w:t>
            </w:r>
            <w:r w:rsidRPr="00A95CD5">
              <w:rPr>
                <w:b/>
                <w:bCs/>
                <w:color w:val="auto"/>
                <w:lang w:eastAsia="ru-RU"/>
              </w:rPr>
              <w:t>%</w:t>
            </w:r>
          </w:p>
        </w:tc>
        <w:tc>
          <w:tcPr>
            <w:tcW w:w="1856" w:type="dxa"/>
            <w:tcBorders>
              <w:top w:val="single" w:sz="4" w:space="0" w:color="auto"/>
              <w:left w:val="single" w:sz="4" w:space="0" w:color="auto"/>
              <w:bottom w:val="single" w:sz="4" w:space="0" w:color="auto"/>
              <w:right w:val="single" w:sz="4" w:space="0" w:color="auto"/>
            </w:tcBorders>
            <w:shd w:val="clear" w:color="auto" w:fill="CCFF99"/>
          </w:tcPr>
          <w:p w14:paraId="518CD82F" w14:textId="77777777" w:rsidR="001D28E5" w:rsidRPr="00A95CD5" w:rsidRDefault="001D28E5" w:rsidP="00A95CD5">
            <w:pPr>
              <w:widowControl/>
              <w:ind w:firstLine="0"/>
              <w:jc w:val="center"/>
              <w:rPr>
                <w:b/>
                <w:bCs/>
                <w:color w:val="auto"/>
                <w:lang w:eastAsia="ru-RU"/>
              </w:rPr>
            </w:pPr>
            <w:r w:rsidRPr="00A95CD5">
              <w:rPr>
                <w:b/>
                <w:color w:val="auto"/>
              </w:rPr>
              <w:t>1 592,1</w:t>
            </w:r>
          </w:p>
        </w:tc>
        <w:tc>
          <w:tcPr>
            <w:tcW w:w="1179" w:type="dxa"/>
            <w:tcBorders>
              <w:top w:val="single" w:sz="4" w:space="0" w:color="auto"/>
              <w:left w:val="single" w:sz="4" w:space="0" w:color="auto"/>
              <w:bottom w:val="single" w:sz="4" w:space="0" w:color="auto"/>
              <w:right w:val="single" w:sz="4" w:space="0" w:color="auto"/>
            </w:tcBorders>
            <w:shd w:val="clear" w:color="auto" w:fill="CCFF99"/>
          </w:tcPr>
          <w:p w14:paraId="234E5C04" w14:textId="77777777" w:rsidR="001D28E5" w:rsidRPr="00A95CD5" w:rsidRDefault="001D28E5" w:rsidP="00A95CD5">
            <w:pPr>
              <w:widowControl/>
              <w:ind w:firstLine="0"/>
              <w:jc w:val="center"/>
              <w:rPr>
                <w:b/>
                <w:bCs/>
                <w:color w:val="auto"/>
                <w:lang w:eastAsia="ru-RU"/>
              </w:rPr>
            </w:pPr>
            <w:r w:rsidRPr="00A95CD5">
              <w:rPr>
                <w:b/>
                <w:color w:val="auto"/>
              </w:rPr>
              <w:t>103,9</w:t>
            </w:r>
            <w:r w:rsidRPr="00A95CD5">
              <w:rPr>
                <w:b/>
                <w:bCs/>
                <w:color w:val="auto"/>
                <w:lang w:eastAsia="ru-RU"/>
              </w:rPr>
              <w:t>%</w:t>
            </w:r>
          </w:p>
        </w:tc>
      </w:tr>
      <w:tr w:rsidR="001D28E5" w:rsidRPr="00792BFB" w14:paraId="3FB7DE04" w14:textId="77777777" w:rsidTr="001D28E5">
        <w:trPr>
          <w:trHeight w:val="630"/>
        </w:trPr>
        <w:tc>
          <w:tcPr>
            <w:tcW w:w="2914" w:type="dxa"/>
            <w:tcBorders>
              <w:top w:val="nil"/>
              <w:left w:val="single" w:sz="4" w:space="0" w:color="000000"/>
              <w:bottom w:val="single" w:sz="4" w:space="0" w:color="000000"/>
              <w:right w:val="single" w:sz="4" w:space="0" w:color="000000"/>
            </w:tcBorders>
            <w:shd w:val="clear" w:color="000000" w:fill="FFFFFF"/>
            <w:vAlign w:val="bottom"/>
            <w:hideMark/>
          </w:tcPr>
          <w:p w14:paraId="223D4BEA" w14:textId="77777777" w:rsidR="001D28E5" w:rsidRPr="0095692A" w:rsidRDefault="001D28E5" w:rsidP="001836C3">
            <w:pPr>
              <w:widowControl/>
              <w:ind w:firstLine="0"/>
              <w:jc w:val="left"/>
              <w:outlineLvl w:val="0"/>
              <w:rPr>
                <w:color w:val="auto"/>
                <w:sz w:val="24"/>
                <w:szCs w:val="24"/>
                <w:lang w:eastAsia="ru-RU"/>
              </w:rPr>
            </w:pPr>
            <w:bookmarkStart w:id="19" w:name="_Toc161837307"/>
            <w:bookmarkStart w:id="20" w:name="_Toc162008715"/>
            <w:r w:rsidRPr="0095692A">
              <w:rPr>
                <w:color w:val="auto"/>
                <w:sz w:val="24"/>
                <w:szCs w:val="24"/>
                <w:lang w:eastAsia="ru-RU"/>
              </w:rPr>
              <w:t>Дотации бюджетам бюджетной системы Российской Федерации</w:t>
            </w:r>
            <w:bookmarkEnd w:id="19"/>
            <w:bookmarkEnd w:id="20"/>
          </w:p>
        </w:tc>
        <w:tc>
          <w:tcPr>
            <w:tcW w:w="1765" w:type="dxa"/>
            <w:tcBorders>
              <w:top w:val="nil"/>
              <w:left w:val="nil"/>
              <w:bottom w:val="single" w:sz="4" w:space="0" w:color="000000"/>
              <w:right w:val="single" w:sz="4" w:space="0" w:color="000000"/>
            </w:tcBorders>
            <w:shd w:val="clear" w:color="000000" w:fill="FFFFFF"/>
            <w:noWrap/>
            <w:vAlign w:val="center"/>
            <w:hideMark/>
          </w:tcPr>
          <w:p w14:paraId="249619BD" w14:textId="77777777" w:rsidR="001D28E5" w:rsidRPr="00792BFB" w:rsidRDefault="001D28E5" w:rsidP="00A95CD5">
            <w:pPr>
              <w:widowControl/>
              <w:ind w:firstLine="0"/>
              <w:jc w:val="center"/>
              <w:outlineLvl w:val="0"/>
              <w:rPr>
                <w:color w:val="auto"/>
                <w:lang w:eastAsia="ru-RU"/>
              </w:rPr>
            </w:pPr>
            <w:bookmarkStart w:id="21" w:name="RANGE!B25"/>
            <w:r w:rsidRPr="00792BFB">
              <w:rPr>
                <w:color w:val="auto"/>
              </w:rPr>
              <w:t>23 761,2</w:t>
            </w:r>
            <w:bookmarkEnd w:id="21"/>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D66374F" w14:textId="77777777" w:rsidR="001D28E5" w:rsidRPr="00792BFB" w:rsidRDefault="001D28E5" w:rsidP="00A95CD5">
            <w:pPr>
              <w:widowControl/>
              <w:ind w:firstLine="0"/>
              <w:jc w:val="center"/>
              <w:outlineLvl w:val="0"/>
              <w:rPr>
                <w:color w:val="auto"/>
                <w:lang w:eastAsia="ru-RU"/>
              </w:rPr>
            </w:pPr>
            <w:r w:rsidRPr="00792BFB">
              <w:rPr>
                <w:color w:val="auto"/>
                <w:lang w:eastAsia="ru-RU"/>
              </w:rPr>
              <w:t>23 761,2</w:t>
            </w:r>
          </w:p>
        </w:tc>
        <w:tc>
          <w:tcPr>
            <w:tcW w:w="1387" w:type="dxa"/>
            <w:tcBorders>
              <w:top w:val="nil"/>
              <w:left w:val="nil"/>
              <w:bottom w:val="single" w:sz="4" w:space="0" w:color="auto"/>
              <w:right w:val="single" w:sz="4" w:space="0" w:color="auto"/>
            </w:tcBorders>
            <w:shd w:val="clear" w:color="000000" w:fill="FFFFFF"/>
            <w:vAlign w:val="center"/>
          </w:tcPr>
          <w:p w14:paraId="4564AEC3" w14:textId="77777777" w:rsidR="001D28E5" w:rsidRPr="00792BFB" w:rsidRDefault="001D28E5" w:rsidP="00A95CD5">
            <w:pPr>
              <w:widowControl/>
              <w:ind w:firstLine="0"/>
              <w:jc w:val="center"/>
              <w:outlineLvl w:val="0"/>
              <w:rPr>
                <w:color w:val="auto"/>
                <w:lang w:eastAsia="ru-RU"/>
              </w:rPr>
            </w:pPr>
            <w:r w:rsidRPr="00792BFB">
              <w:rPr>
                <w:color w:val="auto"/>
              </w:rPr>
              <w:t>100,0%</w:t>
            </w:r>
          </w:p>
        </w:tc>
        <w:tc>
          <w:tcPr>
            <w:tcW w:w="1856" w:type="dxa"/>
            <w:tcBorders>
              <w:top w:val="nil"/>
              <w:left w:val="nil"/>
              <w:bottom w:val="single" w:sz="4" w:space="0" w:color="auto"/>
              <w:right w:val="single" w:sz="4" w:space="0" w:color="auto"/>
            </w:tcBorders>
            <w:shd w:val="clear" w:color="000000" w:fill="FFFFFF"/>
            <w:vAlign w:val="center"/>
          </w:tcPr>
          <w:p w14:paraId="4291393E" w14:textId="77777777" w:rsidR="001D28E5" w:rsidRPr="00792BFB" w:rsidRDefault="001D28E5" w:rsidP="00A95CD5">
            <w:pPr>
              <w:widowControl/>
              <w:ind w:firstLine="0"/>
              <w:jc w:val="center"/>
              <w:outlineLvl w:val="0"/>
              <w:rPr>
                <w:color w:val="auto"/>
                <w:lang w:eastAsia="ru-RU"/>
              </w:rPr>
            </w:pPr>
            <w:r w:rsidRPr="00792BFB">
              <w:rPr>
                <w:color w:val="auto"/>
                <w:lang w:eastAsia="ru-RU"/>
              </w:rPr>
              <w:t>2 012,3</w:t>
            </w:r>
          </w:p>
        </w:tc>
        <w:tc>
          <w:tcPr>
            <w:tcW w:w="1179" w:type="dxa"/>
            <w:tcBorders>
              <w:top w:val="nil"/>
              <w:left w:val="nil"/>
              <w:bottom w:val="single" w:sz="4" w:space="0" w:color="auto"/>
              <w:right w:val="single" w:sz="4" w:space="0" w:color="auto"/>
            </w:tcBorders>
            <w:shd w:val="clear" w:color="000000" w:fill="FFFFFF"/>
            <w:vAlign w:val="center"/>
          </w:tcPr>
          <w:p w14:paraId="584DE786" w14:textId="77777777" w:rsidR="001D28E5" w:rsidRPr="00792BFB" w:rsidRDefault="001D28E5" w:rsidP="00A95CD5">
            <w:pPr>
              <w:widowControl/>
              <w:ind w:firstLine="0"/>
              <w:jc w:val="center"/>
              <w:outlineLvl w:val="0"/>
              <w:rPr>
                <w:color w:val="auto"/>
                <w:lang w:eastAsia="ru-RU"/>
              </w:rPr>
            </w:pPr>
            <w:r w:rsidRPr="00792BFB">
              <w:rPr>
                <w:color w:val="auto"/>
                <w:lang w:eastAsia="ru-RU"/>
              </w:rPr>
              <w:t>10</w:t>
            </w:r>
            <w:r>
              <w:rPr>
                <w:color w:val="auto"/>
                <w:lang w:eastAsia="ru-RU"/>
              </w:rPr>
              <w:t>9,2</w:t>
            </w:r>
            <w:r w:rsidRPr="00792BFB">
              <w:rPr>
                <w:color w:val="auto"/>
                <w:lang w:eastAsia="ru-RU"/>
              </w:rPr>
              <w:t>%</w:t>
            </w:r>
          </w:p>
        </w:tc>
      </w:tr>
      <w:tr w:rsidR="001D28E5" w:rsidRPr="00C014DC" w14:paraId="790AD3F6" w14:textId="77777777" w:rsidTr="001D28E5">
        <w:trPr>
          <w:trHeight w:val="630"/>
        </w:trPr>
        <w:tc>
          <w:tcPr>
            <w:tcW w:w="2914" w:type="dxa"/>
            <w:tcBorders>
              <w:top w:val="nil"/>
              <w:left w:val="single" w:sz="4" w:space="0" w:color="000000"/>
              <w:bottom w:val="single" w:sz="4" w:space="0" w:color="auto"/>
              <w:right w:val="single" w:sz="4" w:space="0" w:color="000000"/>
            </w:tcBorders>
            <w:shd w:val="clear" w:color="000000" w:fill="FFFFFF"/>
            <w:vAlign w:val="bottom"/>
            <w:hideMark/>
          </w:tcPr>
          <w:p w14:paraId="0BCD0D3B" w14:textId="77777777" w:rsidR="001D28E5" w:rsidRPr="00B01FA0" w:rsidRDefault="001D28E5" w:rsidP="001836C3">
            <w:pPr>
              <w:widowControl/>
              <w:ind w:firstLine="0"/>
              <w:jc w:val="left"/>
              <w:outlineLvl w:val="0"/>
              <w:rPr>
                <w:i/>
                <w:iCs/>
                <w:color w:val="auto"/>
                <w:sz w:val="24"/>
                <w:szCs w:val="24"/>
                <w:lang w:eastAsia="ru-RU"/>
              </w:rPr>
            </w:pPr>
            <w:bookmarkStart w:id="22" w:name="_Toc161837313"/>
            <w:bookmarkStart w:id="23" w:name="_Toc162008721"/>
            <w:r w:rsidRPr="00B01FA0">
              <w:rPr>
                <w:i/>
                <w:iCs/>
                <w:color w:val="auto"/>
                <w:sz w:val="24"/>
                <w:szCs w:val="24"/>
                <w:lang w:eastAsia="ru-RU"/>
              </w:rPr>
              <w:t>Дотации на выравнивание бюджетной обеспеченности</w:t>
            </w:r>
            <w:bookmarkEnd w:id="22"/>
            <w:bookmarkEnd w:id="23"/>
          </w:p>
        </w:tc>
        <w:tc>
          <w:tcPr>
            <w:tcW w:w="1765" w:type="dxa"/>
            <w:tcBorders>
              <w:top w:val="nil"/>
              <w:left w:val="nil"/>
              <w:bottom w:val="single" w:sz="4" w:space="0" w:color="auto"/>
              <w:right w:val="single" w:sz="4" w:space="0" w:color="000000"/>
            </w:tcBorders>
            <w:shd w:val="clear" w:color="000000" w:fill="FFFFFF"/>
            <w:noWrap/>
            <w:vAlign w:val="center"/>
            <w:hideMark/>
          </w:tcPr>
          <w:p w14:paraId="548158BD" w14:textId="77777777" w:rsidR="001D28E5" w:rsidRPr="00B01FA0" w:rsidRDefault="001D28E5" w:rsidP="00A95CD5">
            <w:pPr>
              <w:widowControl/>
              <w:ind w:firstLine="0"/>
              <w:jc w:val="center"/>
              <w:outlineLvl w:val="0"/>
              <w:rPr>
                <w:color w:val="auto"/>
                <w:lang w:eastAsia="ru-RU"/>
              </w:rPr>
            </w:pPr>
            <w:r w:rsidRPr="00B01FA0">
              <w:rPr>
                <w:color w:val="auto"/>
              </w:rPr>
              <w:t>22 437,1</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1362F5E" w14:textId="77777777" w:rsidR="001D28E5" w:rsidRPr="00C014DC" w:rsidRDefault="001D28E5" w:rsidP="00A95CD5">
            <w:pPr>
              <w:widowControl/>
              <w:ind w:firstLine="0"/>
              <w:jc w:val="center"/>
              <w:outlineLvl w:val="0"/>
              <w:rPr>
                <w:color w:val="FF0000"/>
                <w:lang w:eastAsia="ru-RU"/>
              </w:rPr>
            </w:pPr>
            <w:r w:rsidRPr="007A5B02">
              <w:rPr>
                <w:color w:val="auto"/>
                <w:sz w:val="24"/>
                <w:szCs w:val="24"/>
                <w:lang w:eastAsia="ru-RU"/>
              </w:rPr>
              <w:t>22 437,1</w:t>
            </w:r>
          </w:p>
        </w:tc>
        <w:tc>
          <w:tcPr>
            <w:tcW w:w="1387" w:type="dxa"/>
            <w:tcBorders>
              <w:top w:val="nil"/>
              <w:left w:val="nil"/>
              <w:bottom w:val="single" w:sz="4" w:space="0" w:color="auto"/>
              <w:right w:val="single" w:sz="4" w:space="0" w:color="auto"/>
            </w:tcBorders>
            <w:shd w:val="clear" w:color="000000" w:fill="FFFFFF"/>
            <w:vAlign w:val="center"/>
          </w:tcPr>
          <w:p w14:paraId="16C3E16C" w14:textId="77777777" w:rsidR="001D28E5" w:rsidRPr="005D25A3" w:rsidRDefault="001D28E5" w:rsidP="00A95CD5">
            <w:pPr>
              <w:widowControl/>
              <w:ind w:firstLine="0"/>
              <w:jc w:val="center"/>
              <w:outlineLvl w:val="0"/>
              <w:rPr>
                <w:color w:val="auto"/>
                <w:lang w:eastAsia="ru-RU"/>
              </w:rPr>
            </w:pPr>
            <w:r w:rsidRPr="005D25A3">
              <w:rPr>
                <w:color w:val="auto"/>
              </w:rPr>
              <w:t>100,0%</w:t>
            </w:r>
          </w:p>
        </w:tc>
        <w:tc>
          <w:tcPr>
            <w:tcW w:w="1856" w:type="dxa"/>
            <w:tcBorders>
              <w:top w:val="nil"/>
              <w:left w:val="nil"/>
              <w:bottom w:val="single" w:sz="4" w:space="0" w:color="auto"/>
              <w:right w:val="single" w:sz="4" w:space="0" w:color="auto"/>
            </w:tcBorders>
            <w:shd w:val="clear" w:color="000000" w:fill="FFFFFF"/>
            <w:vAlign w:val="center"/>
          </w:tcPr>
          <w:p w14:paraId="73ABAF85" w14:textId="77777777" w:rsidR="001D28E5" w:rsidRPr="005D25A3" w:rsidRDefault="001D28E5" w:rsidP="00A95CD5">
            <w:pPr>
              <w:widowControl/>
              <w:ind w:firstLine="0"/>
              <w:jc w:val="center"/>
              <w:outlineLvl w:val="0"/>
              <w:rPr>
                <w:color w:val="auto"/>
                <w:lang w:eastAsia="ru-RU"/>
              </w:rPr>
            </w:pPr>
            <w:r w:rsidRPr="005D25A3">
              <w:rPr>
                <w:color w:val="auto"/>
                <w:lang w:eastAsia="ru-RU"/>
              </w:rPr>
              <w:t>2 223,5</w:t>
            </w:r>
          </w:p>
        </w:tc>
        <w:tc>
          <w:tcPr>
            <w:tcW w:w="1179" w:type="dxa"/>
            <w:tcBorders>
              <w:top w:val="nil"/>
              <w:left w:val="nil"/>
              <w:bottom w:val="single" w:sz="4" w:space="0" w:color="auto"/>
              <w:right w:val="single" w:sz="4" w:space="0" w:color="auto"/>
            </w:tcBorders>
            <w:shd w:val="clear" w:color="000000" w:fill="FFFFFF"/>
            <w:vAlign w:val="center"/>
          </w:tcPr>
          <w:p w14:paraId="1C796B01" w14:textId="77777777" w:rsidR="001D28E5" w:rsidRPr="00B139A8" w:rsidRDefault="001D28E5" w:rsidP="00A95CD5">
            <w:pPr>
              <w:widowControl/>
              <w:ind w:firstLine="0"/>
              <w:jc w:val="center"/>
              <w:outlineLvl w:val="0"/>
              <w:rPr>
                <w:color w:val="auto"/>
                <w:lang w:eastAsia="ru-RU"/>
              </w:rPr>
            </w:pPr>
            <w:r w:rsidRPr="00B139A8">
              <w:rPr>
                <w:color w:val="auto"/>
                <w:lang w:eastAsia="ru-RU"/>
              </w:rPr>
              <w:t>111</w:t>
            </w:r>
            <w:r>
              <w:rPr>
                <w:color w:val="auto"/>
                <w:lang w:eastAsia="ru-RU"/>
              </w:rPr>
              <w:t>,0</w:t>
            </w:r>
            <w:r w:rsidRPr="00B139A8">
              <w:rPr>
                <w:color w:val="auto"/>
                <w:lang w:eastAsia="ru-RU"/>
              </w:rPr>
              <w:t>%</w:t>
            </w:r>
          </w:p>
        </w:tc>
      </w:tr>
      <w:tr w:rsidR="001D28E5" w:rsidRPr="00C014DC" w14:paraId="15863635" w14:textId="77777777" w:rsidTr="001836C3">
        <w:trPr>
          <w:trHeight w:val="416"/>
        </w:trPr>
        <w:tc>
          <w:tcPr>
            <w:tcW w:w="2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272F6" w14:textId="77777777" w:rsidR="001D28E5" w:rsidRPr="00B01FA0" w:rsidRDefault="001D28E5" w:rsidP="001836C3">
            <w:pPr>
              <w:widowControl/>
              <w:ind w:firstLine="0"/>
              <w:jc w:val="left"/>
              <w:outlineLvl w:val="0"/>
              <w:rPr>
                <w:i/>
                <w:iCs/>
                <w:color w:val="auto"/>
                <w:sz w:val="24"/>
                <w:szCs w:val="24"/>
                <w:lang w:eastAsia="ru-RU"/>
              </w:rPr>
            </w:pPr>
            <w:bookmarkStart w:id="24" w:name="_Toc161837319"/>
            <w:bookmarkStart w:id="25" w:name="_Toc162008727"/>
            <w:r w:rsidRPr="00B01FA0">
              <w:rPr>
                <w:i/>
                <w:iCs/>
                <w:color w:val="auto"/>
                <w:sz w:val="24"/>
                <w:szCs w:val="24"/>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bookmarkEnd w:id="24"/>
            <w:bookmarkEnd w:id="25"/>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1251A" w14:textId="77777777" w:rsidR="001D28E5" w:rsidRPr="00B01FA0" w:rsidRDefault="001D28E5" w:rsidP="00A95CD5">
            <w:pPr>
              <w:widowControl/>
              <w:ind w:firstLine="0"/>
              <w:jc w:val="center"/>
              <w:outlineLvl w:val="0"/>
              <w:rPr>
                <w:color w:val="auto"/>
                <w:lang w:eastAsia="ru-RU"/>
              </w:rPr>
            </w:pPr>
            <w:bookmarkStart w:id="26" w:name="RANGE!B27"/>
            <w:r w:rsidRPr="00B01FA0">
              <w:rPr>
                <w:color w:val="auto"/>
              </w:rPr>
              <w:t>1 187,7</w:t>
            </w:r>
            <w:bookmarkEnd w:id="26"/>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93934" w14:textId="77777777" w:rsidR="001D28E5" w:rsidRPr="00C014DC" w:rsidRDefault="001D28E5" w:rsidP="00A95CD5">
            <w:pPr>
              <w:widowControl/>
              <w:ind w:firstLine="0"/>
              <w:jc w:val="center"/>
              <w:outlineLvl w:val="0"/>
              <w:rPr>
                <w:color w:val="FF0000"/>
                <w:lang w:eastAsia="ru-RU"/>
              </w:rPr>
            </w:pPr>
            <w:bookmarkStart w:id="27" w:name="RANGE!C27"/>
            <w:r w:rsidRPr="007A5B02">
              <w:rPr>
                <w:color w:val="auto"/>
              </w:rPr>
              <w:t>1 187,7</w:t>
            </w:r>
            <w:bookmarkEnd w:id="27"/>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504442CD" w14:textId="77777777" w:rsidR="001D28E5" w:rsidRPr="00C014DC" w:rsidRDefault="001D28E5" w:rsidP="00A95CD5">
            <w:pPr>
              <w:widowControl/>
              <w:ind w:firstLine="0"/>
              <w:jc w:val="center"/>
              <w:outlineLvl w:val="0"/>
              <w:rPr>
                <w:color w:val="FF0000"/>
                <w:lang w:eastAsia="ru-RU"/>
              </w:rPr>
            </w:pPr>
            <w:r w:rsidRPr="005D25A3">
              <w:rPr>
                <w:color w:val="auto"/>
              </w:rPr>
              <w:t>100,0%</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tcPr>
          <w:p w14:paraId="65C3942D" w14:textId="77777777" w:rsidR="001D28E5" w:rsidRPr="005D25A3" w:rsidRDefault="001D28E5" w:rsidP="00A95CD5">
            <w:pPr>
              <w:widowControl/>
              <w:ind w:firstLine="0"/>
              <w:jc w:val="center"/>
              <w:outlineLvl w:val="0"/>
              <w:rPr>
                <w:color w:val="auto"/>
                <w:lang w:eastAsia="ru-RU"/>
              </w:rPr>
            </w:pPr>
            <w:r w:rsidRPr="005D25A3">
              <w:rPr>
                <w:color w:val="auto"/>
                <w:lang w:eastAsia="ru-RU"/>
              </w:rPr>
              <w:t>-160,4</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1B187D28" w14:textId="77777777" w:rsidR="001D28E5" w:rsidRPr="005D25A3" w:rsidRDefault="001D28E5" w:rsidP="00A95CD5">
            <w:pPr>
              <w:widowControl/>
              <w:ind w:firstLine="0"/>
              <w:jc w:val="center"/>
              <w:outlineLvl w:val="0"/>
              <w:rPr>
                <w:color w:val="auto"/>
                <w:lang w:eastAsia="ru-RU"/>
              </w:rPr>
            </w:pPr>
            <w:r w:rsidRPr="005D25A3">
              <w:rPr>
                <w:color w:val="auto"/>
                <w:lang w:eastAsia="ru-RU"/>
              </w:rPr>
              <w:t>88,1%</w:t>
            </w:r>
          </w:p>
        </w:tc>
      </w:tr>
      <w:tr w:rsidR="001D28E5" w:rsidRPr="00C014DC" w14:paraId="428035A8" w14:textId="77777777" w:rsidTr="001D28E5">
        <w:trPr>
          <w:trHeight w:val="416"/>
        </w:trPr>
        <w:tc>
          <w:tcPr>
            <w:tcW w:w="2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A5E74" w14:textId="77777777" w:rsidR="001D28E5" w:rsidRPr="00B01FA0" w:rsidRDefault="001D28E5" w:rsidP="001836C3">
            <w:pPr>
              <w:widowControl/>
              <w:ind w:firstLine="0"/>
              <w:jc w:val="left"/>
              <w:outlineLvl w:val="0"/>
              <w:rPr>
                <w:i/>
                <w:iCs/>
                <w:color w:val="auto"/>
                <w:sz w:val="24"/>
                <w:szCs w:val="24"/>
                <w:lang w:eastAsia="ru-RU"/>
              </w:rPr>
            </w:pPr>
            <w:bookmarkStart w:id="28" w:name="_Toc161837325"/>
            <w:bookmarkStart w:id="29" w:name="_Toc162008733"/>
            <w:r w:rsidRPr="00B01FA0">
              <w:rPr>
                <w:i/>
                <w:iCs/>
                <w:color w:val="auto"/>
                <w:sz w:val="24"/>
                <w:szCs w:val="24"/>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РФ</w:t>
            </w:r>
            <w:bookmarkEnd w:id="28"/>
            <w:bookmarkEnd w:id="29"/>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661C1" w14:textId="77777777" w:rsidR="001D28E5" w:rsidRPr="00B01FA0" w:rsidRDefault="001D28E5" w:rsidP="00A95CD5">
            <w:pPr>
              <w:widowControl/>
              <w:ind w:firstLine="0"/>
              <w:jc w:val="center"/>
              <w:outlineLvl w:val="0"/>
              <w:rPr>
                <w:color w:val="auto"/>
                <w:lang w:eastAsia="ru-RU"/>
              </w:rPr>
            </w:pPr>
            <w:bookmarkStart w:id="30" w:name="RANGE!B28"/>
            <w:r w:rsidRPr="00B01FA0">
              <w:rPr>
                <w:color w:val="auto"/>
              </w:rPr>
              <w:t>136,4</w:t>
            </w:r>
            <w:bookmarkEnd w:id="30"/>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10C3F" w14:textId="77777777" w:rsidR="001D28E5" w:rsidRPr="00C014DC" w:rsidRDefault="001D28E5" w:rsidP="00A95CD5">
            <w:pPr>
              <w:widowControl/>
              <w:ind w:firstLine="0"/>
              <w:jc w:val="center"/>
              <w:outlineLvl w:val="0"/>
              <w:rPr>
                <w:color w:val="FF0000"/>
                <w:lang w:eastAsia="ru-RU"/>
              </w:rPr>
            </w:pPr>
            <w:bookmarkStart w:id="31" w:name="RANGE!C28"/>
            <w:r w:rsidRPr="007A5B02">
              <w:rPr>
                <w:color w:val="auto"/>
              </w:rPr>
              <w:t>136,4</w:t>
            </w:r>
            <w:bookmarkEnd w:id="31"/>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1EFF8C47" w14:textId="77777777" w:rsidR="001D28E5" w:rsidRPr="00C014DC" w:rsidRDefault="001D28E5" w:rsidP="00A95CD5">
            <w:pPr>
              <w:widowControl/>
              <w:ind w:firstLine="0"/>
              <w:jc w:val="center"/>
              <w:outlineLvl w:val="0"/>
              <w:rPr>
                <w:color w:val="FF0000"/>
                <w:lang w:eastAsia="ru-RU"/>
              </w:rPr>
            </w:pPr>
            <w:r w:rsidRPr="005D25A3">
              <w:rPr>
                <w:color w:val="auto"/>
              </w:rPr>
              <w:t>100,0%</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tcPr>
          <w:p w14:paraId="4CB54CE5" w14:textId="77777777" w:rsidR="001D28E5" w:rsidRPr="004D1CA4" w:rsidRDefault="001D28E5" w:rsidP="00A95CD5">
            <w:pPr>
              <w:widowControl/>
              <w:ind w:firstLine="0"/>
              <w:jc w:val="center"/>
              <w:outlineLvl w:val="0"/>
              <w:rPr>
                <w:color w:val="auto"/>
                <w:lang w:eastAsia="ru-RU"/>
              </w:rPr>
            </w:pPr>
            <w:r w:rsidRPr="004D1CA4">
              <w:rPr>
                <w:color w:val="auto"/>
                <w:lang w:eastAsia="ru-RU"/>
              </w:rPr>
              <w:t>-</w:t>
            </w:r>
            <w:r>
              <w:rPr>
                <w:color w:val="auto"/>
                <w:lang w:eastAsia="ru-RU"/>
              </w:rPr>
              <w:t>50,8</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6253C382" w14:textId="77777777" w:rsidR="001D28E5" w:rsidRPr="004D1CA4" w:rsidRDefault="001D28E5" w:rsidP="00A95CD5">
            <w:pPr>
              <w:widowControl/>
              <w:ind w:firstLine="0"/>
              <w:jc w:val="center"/>
              <w:outlineLvl w:val="0"/>
              <w:rPr>
                <w:color w:val="auto"/>
                <w:lang w:eastAsia="ru-RU"/>
              </w:rPr>
            </w:pPr>
            <w:r>
              <w:rPr>
                <w:color w:val="auto"/>
                <w:lang w:eastAsia="ru-RU"/>
              </w:rPr>
              <w:t>72,9%</w:t>
            </w:r>
          </w:p>
        </w:tc>
      </w:tr>
      <w:tr w:rsidR="001D28E5" w:rsidRPr="00C014DC" w14:paraId="25693FB3" w14:textId="77777777" w:rsidTr="001D28E5">
        <w:trPr>
          <w:trHeight w:val="416"/>
        </w:trPr>
        <w:tc>
          <w:tcPr>
            <w:tcW w:w="29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97494B" w14:textId="77777777" w:rsidR="001D28E5" w:rsidRPr="00B01FA0" w:rsidRDefault="001D28E5" w:rsidP="001836C3">
            <w:pPr>
              <w:widowControl/>
              <w:ind w:firstLine="0"/>
              <w:jc w:val="left"/>
              <w:outlineLvl w:val="0"/>
              <w:rPr>
                <w:color w:val="auto"/>
                <w:lang w:eastAsia="ru-RU"/>
              </w:rPr>
            </w:pPr>
            <w:bookmarkStart w:id="32" w:name="_Toc161837331"/>
            <w:bookmarkStart w:id="33" w:name="_Toc162008739"/>
            <w:r w:rsidRPr="00B01FA0">
              <w:rPr>
                <w:color w:val="auto"/>
                <w:lang w:eastAsia="ru-RU"/>
              </w:rPr>
              <w:t>Субсидии бюджетам бюджетной системы  Российской Федерации (межбюджетные субсидии)</w:t>
            </w:r>
            <w:bookmarkEnd w:id="32"/>
            <w:bookmarkEnd w:id="33"/>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3A53B" w14:textId="77777777" w:rsidR="001D28E5" w:rsidRPr="00B01FA0" w:rsidRDefault="001D28E5" w:rsidP="00A95CD5">
            <w:pPr>
              <w:widowControl/>
              <w:ind w:firstLine="0"/>
              <w:jc w:val="center"/>
              <w:outlineLvl w:val="0"/>
              <w:rPr>
                <w:color w:val="auto"/>
                <w:lang w:eastAsia="ru-RU"/>
              </w:rPr>
            </w:pPr>
            <w:bookmarkStart w:id="34" w:name="RANGE!B29"/>
            <w:r w:rsidRPr="00B01FA0">
              <w:rPr>
                <w:color w:val="auto"/>
              </w:rPr>
              <w:t>17 132,0</w:t>
            </w:r>
            <w:bookmarkEnd w:id="34"/>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679E4" w14:textId="77777777" w:rsidR="001D28E5" w:rsidRPr="00B01FA0" w:rsidRDefault="001D28E5" w:rsidP="00A95CD5">
            <w:pPr>
              <w:widowControl/>
              <w:ind w:firstLine="0"/>
              <w:jc w:val="center"/>
              <w:outlineLvl w:val="0"/>
              <w:rPr>
                <w:color w:val="auto"/>
                <w:lang w:eastAsia="ru-RU"/>
              </w:rPr>
            </w:pPr>
            <w:bookmarkStart w:id="35" w:name="RANGE!C29"/>
            <w:r w:rsidRPr="00B01FA0">
              <w:rPr>
                <w:color w:val="auto"/>
              </w:rPr>
              <w:t>16 964,3</w:t>
            </w:r>
            <w:bookmarkEnd w:id="35"/>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6FBECECE" w14:textId="77777777" w:rsidR="001D28E5" w:rsidRPr="00BC2683" w:rsidRDefault="001D28E5" w:rsidP="00A95CD5">
            <w:pPr>
              <w:widowControl/>
              <w:ind w:firstLine="0"/>
              <w:jc w:val="center"/>
              <w:outlineLvl w:val="0"/>
              <w:rPr>
                <w:color w:val="auto"/>
                <w:lang w:eastAsia="ru-RU"/>
              </w:rPr>
            </w:pPr>
            <w:r w:rsidRPr="00BC2683">
              <w:rPr>
                <w:color w:val="auto"/>
              </w:rPr>
              <w:t>99,0</w:t>
            </w:r>
            <w:r w:rsidRPr="00BC2683">
              <w:rPr>
                <w:color w:val="auto"/>
                <w:lang w:eastAsia="ru-RU"/>
              </w:rPr>
              <w:t>%</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tcPr>
          <w:p w14:paraId="0610B0C5" w14:textId="77777777" w:rsidR="001D28E5" w:rsidRPr="00BC2683" w:rsidRDefault="001D28E5" w:rsidP="00A95CD5">
            <w:pPr>
              <w:widowControl/>
              <w:ind w:firstLine="0"/>
              <w:jc w:val="center"/>
              <w:outlineLvl w:val="0"/>
              <w:rPr>
                <w:color w:val="auto"/>
                <w:lang w:eastAsia="ru-RU"/>
              </w:rPr>
            </w:pPr>
            <w:r w:rsidRPr="00BC2683">
              <w:rPr>
                <w:color w:val="auto"/>
                <w:lang w:eastAsia="ru-RU"/>
              </w:rPr>
              <w:t>-361,7</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495A39D3" w14:textId="77777777" w:rsidR="001D28E5" w:rsidRPr="005D25A3" w:rsidRDefault="001D28E5" w:rsidP="00A95CD5">
            <w:pPr>
              <w:widowControl/>
              <w:ind w:firstLine="0"/>
              <w:jc w:val="center"/>
              <w:outlineLvl w:val="0"/>
              <w:rPr>
                <w:color w:val="auto"/>
                <w:lang w:eastAsia="ru-RU"/>
              </w:rPr>
            </w:pPr>
            <w:r w:rsidRPr="005D25A3">
              <w:rPr>
                <w:color w:val="auto"/>
                <w:lang w:eastAsia="ru-RU"/>
              </w:rPr>
              <w:t>97,9%</w:t>
            </w:r>
          </w:p>
        </w:tc>
      </w:tr>
      <w:tr w:rsidR="001D28E5" w:rsidRPr="00C014DC" w14:paraId="10C83F43" w14:textId="77777777" w:rsidTr="001D28E5">
        <w:trPr>
          <w:trHeight w:val="750"/>
        </w:trPr>
        <w:tc>
          <w:tcPr>
            <w:tcW w:w="2914" w:type="dxa"/>
            <w:tcBorders>
              <w:top w:val="single" w:sz="4" w:space="0" w:color="auto"/>
              <w:left w:val="single" w:sz="4" w:space="0" w:color="000000"/>
              <w:bottom w:val="single" w:sz="4" w:space="0" w:color="000000"/>
              <w:right w:val="single" w:sz="4" w:space="0" w:color="000000"/>
            </w:tcBorders>
            <w:shd w:val="clear" w:color="000000" w:fill="FFFFFF"/>
            <w:vAlign w:val="bottom"/>
            <w:hideMark/>
          </w:tcPr>
          <w:p w14:paraId="51BD8D05" w14:textId="77777777" w:rsidR="001D28E5" w:rsidRPr="00B01FA0" w:rsidRDefault="001D28E5" w:rsidP="001836C3">
            <w:pPr>
              <w:widowControl/>
              <w:ind w:firstLine="0"/>
              <w:jc w:val="left"/>
              <w:outlineLvl w:val="0"/>
              <w:rPr>
                <w:color w:val="auto"/>
                <w:lang w:eastAsia="ru-RU"/>
              </w:rPr>
            </w:pPr>
            <w:bookmarkStart w:id="36" w:name="_Toc161837337"/>
            <w:bookmarkStart w:id="37" w:name="_Toc162008745"/>
            <w:r w:rsidRPr="00B01FA0">
              <w:rPr>
                <w:color w:val="auto"/>
                <w:lang w:eastAsia="ru-RU"/>
              </w:rPr>
              <w:t>Субвенции бюджетам бюджетной системы Российской Федерации</w:t>
            </w:r>
            <w:bookmarkEnd w:id="36"/>
            <w:bookmarkEnd w:id="37"/>
          </w:p>
        </w:tc>
        <w:tc>
          <w:tcPr>
            <w:tcW w:w="1765" w:type="dxa"/>
            <w:tcBorders>
              <w:top w:val="single" w:sz="4" w:space="0" w:color="auto"/>
              <w:left w:val="nil"/>
              <w:bottom w:val="single" w:sz="4" w:space="0" w:color="000000"/>
              <w:right w:val="single" w:sz="4" w:space="0" w:color="000000"/>
            </w:tcBorders>
            <w:shd w:val="clear" w:color="000000" w:fill="FFFFFF"/>
            <w:noWrap/>
            <w:vAlign w:val="center"/>
            <w:hideMark/>
          </w:tcPr>
          <w:p w14:paraId="6FD7CE3B" w14:textId="77777777" w:rsidR="001D28E5" w:rsidRPr="00B01FA0" w:rsidRDefault="001D28E5" w:rsidP="00A95CD5">
            <w:pPr>
              <w:widowControl/>
              <w:ind w:firstLine="0"/>
              <w:jc w:val="center"/>
              <w:outlineLvl w:val="0"/>
              <w:rPr>
                <w:color w:val="auto"/>
                <w:lang w:eastAsia="ru-RU"/>
              </w:rPr>
            </w:pPr>
            <w:bookmarkStart w:id="38" w:name="RANGE!B30"/>
            <w:r w:rsidRPr="00B01FA0">
              <w:rPr>
                <w:color w:val="auto"/>
              </w:rPr>
              <w:t>1 320,4</w:t>
            </w:r>
            <w:bookmarkEnd w:id="38"/>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FB055" w14:textId="77777777" w:rsidR="001D28E5" w:rsidRPr="007A5B02" w:rsidRDefault="001D28E5" w:rsidP="00A95CD5">
            <w:pPr>
              <w:widowControl/>
              <w:ind w:firstLine="0"/>
              <w:jc w:val="center"/>
              <w:outlineLvl w:val="0"/>
              <w:rPr>
                <w:color w:val="auto"/>
                <w:lang w:eastAsia="ru-RU"/>
              </w:rPr>
            </w:pPr>
            <w:bookmarkStart w:id="39" w:name="RANGE!C30"/>
            <w:r w:rsidRPr="007A5B02">
              <w:rPr>
                <w:color w:val="auto"/>
              </w:rPr>
              <w:t>1</w:t>
            </w:r>
            <w:r>
              <w:rPr>
                <w:color w:val="auto"/>
              </w:rPr>
              <w:t> </w:t>
            </w:r>
            <w:r w:rsidRPr="007A5B02">
              <w:rPr>
                <w:color w:val="auto"/>
              </w:rPr>
              <w:t>3</w:t>
            </w:r>
            <w:r>
              <w:rPr>
                <w:color w:val="auto"/>
              </w:rPr>
              <w:t>02,0</w:t>
            </w:r>
            <w:bookmarkEnd w:id="39"/>
          </w:p>
        </w:tc>
        <w:tc>
          <w:tcPr>
            <w:tcW w:w="1387" w:type="dxa"/>
            <w:tcBorders>
              <w:top w:val="single" w:sz="4" w:space="0" w:color="auto"/>
              <w:left w:val="nil"/>
              <w:bottom w:val="single" w:sz="4" w:space="0" w:color="auto"/>
              <w:right w:val="single" w:sz="4" w:space="0" w:color="auto"/>
            </w:tcBorders>
            <w:shd w:val="clear" w:color="000000" w:fill="FFFFFF"/>
            <w:vAlign w:val="center"/>
          </w:tcPr>
          <w:p w14:paraId="05EC934F" w14:textId="77777777" w:rsidR="001D28E5" w:rsidRPr="00C014DC" w:rsidRDefault="001D28E5" w:rsidP="00A95CD5">
            <w:pPr>
              <w:widowControl/>
              <w:ind w:firstLine="0"/>
              <w:jc w:val="center"/>
              <w:outlineLvl w:val="0"/>
              <w:rPr>
                <w:color w:val="FF0000"/>
                <w:lang w:eastAsia="ru-RU"/>
              </w:rPr>
            </w:pPr>
            <w:r w:rsidRPr="005D25A3">
              <w:rPr>
                <w:color w:val="auto"/>
              </w:rPr>
              <w:t>98,6%</w:t>
            </w:r>
          </w:p>
        </w:tc>
        <w:tc>
          <w:tcPr>
            <w:tcW w:w="1856" w:type="dxa"/>
            <w:tcBorders>
              <w:top w:val="single" w:sz="4" w:space="0" w:color="auto"/>
              <w:left w:val="nil"/>
              <w:bottom w:val="single" w:sz="4" w:space="0" w:color="auto"/>
              <w:right w:val="single" w:sz="4" w:space="0" w:color="auto"/>
            </w:tcBorders>
            <w:shd w:val="clear" w:color="000000" w:fill="FFFFFF"/>
            <w:vAlign w:val="center"/>
          </w:tcPr>
          <w:p w14:paraId="5FDBFCCA" w14:textId="77777777" w:rsidR="001D28E5" w:rsidRPr="00F736C9" w:rsidRDefault="001D28E5" w:rsidP="00A95CD5">
            <w:pPr>
              <w:widowControl/>
              <w:ind w:firstLine="0"/>
              <w:jc w:val="center"/>
              <w:outlineLvl w:val="0"/>
              <w:rPr>
                <w:color w:val="auto"/>
                <w:lang w:eastAsia="ru-RU"/>
              </w:rPr>
            </w:pPr>
            <w:r w:rsidRPr="00F736C9">
              <w:rPr>
                <w:color w:val="auto"/>
                <w:lang w:eastAsia="ru-RU"/>
              </w:rPr>
              <w:t>54,9</w:t>
            </w:r>
          </w:p>
        </w:tc>
        <w:tc>
          <w:tcPr>
            <w:tcW w:w="1179" w:type="dxa"/>
            <w:tcBorders>
              <w:top w:val="single" w:sz="4" w:space="0" w:color="auto"/>
              <w:left w:val="nil"/>
              <w:bottom w:val="single" w:sz="4" w:space="0" w:color="auto"/>
              <w:right w:val="single" w:sz="4" w:space="0" w:color="auto"/>
            </w:tcBorders>
            <w:shd w:val="clear" w:color="000000" w:fill="FFFFFF"/>
            <w:vAlign w:val="center"/>
          </w:tcPr>
          <w:p w14:paraId="157DA8FA" w14:textId="77777777" w:rsidR="001D28E5" w:rsidRPr="00F736C9" w:rsidRDefault="001D28E5" w:rsidP="00A95CD5">
            <w:pPr>
              <w:widowControl/>
              <w:ind w:firstLine="0"/>
              <w:jc w:val="center"/>
              <w:outlineLvl w:val="0"/>
              <w:rPr>
                <w:color w:val="auto"/>
                <w:lang w:eastAsia="ru-RU"/>
              </w:rPr>
            </w:pPr>
            <w:r w:rsidRPr="00F736C9">
              <w:rPr>
                <w:color w:val="auto"/>
                <w:lang w:eastAsia="ru-RU"/>
              </w:rPr>
              <w:t>104,4%</w:t>
            </w:r>
          </w:p>
        </w:tc>
      </w:tr>
      <w:tr w:rsidR="001D28E5" w:rsidRPr="00C014DC" w14:paraId="1ABB4C14" w14:textId="77777777" w:rsidTr="00A77BA1">
        <w:trPr>
          <w:trHeight w:val="375"/>
        </w:trPr>
        <w:tc>
          <w:tcPr>
            <w:tcW w:w="2914" w:type="dxa"/>
            <w:tcBorders>
              <w:top w:val="nil"/>
              <w:left w:val="single" w:sz="4" w:space="0" w:color="000000"/>
              <w:bottom w:val="single" w:sz="4" w:space="0" w:color="auto"/>
              <w:right w:val="single" w:sz="4" w:space="0" w:color="000000"/>
            </w:tcBorders>
            <w:shd w:val="clear" w:color="000000" w:fill="FFFFFF"/>
            <w:vAlign w:val="center"/>
            <w:hideMark/>
          </w:tcPr>
          <w:p w14:paraId="6D2FA8E8" w14:textId="77777777" w:rsidR="001D28E5" w:rsidRPr="00B01FA0" w:rsidRDefault="001D28E5" w:rsidP="001836C3">
            <w:pPr>
              <w:widowControl/>
              <w:ind w:firstLine="0"/>
              <w:jc w:val="left"/>
              <w:outlineLvl w:val="0"/>
              <w:rPr>
                <w:color w:val="auto"/>
                <w:lang w:eastAsia="ru-RU"/>
              </w:rPr>
            </w:pPr>
            <w:bookmarkStart w:id="40" w:name="_Toc161837343"/>
            <w:bookmarkStart w:id="41" w:name="_Toc162008751"/>
            <w:r w:rsidRPr="00B01FA0">
              <w:rPr>
                <w:color w:val="auto"/>
                <w:lang w:eastAsia="ru-RU"/>
              </w:rPr>
              <w:t>Иные межбюджетные трансферты</w:t>
            </w:r>
            <w:bookmarkEnd w:id="40"/>
            <w:bookmarkEnd w:id="41"/>
          </w:p>
        </w:tc>
        <w:tc>
          <w:tcPr>
            <w:tcW w:w="1765" w:type="dxa"/>
            <w:tcBorders>
              <w:top w:val="nil"/>
              <w:left w:val="nil"/>
              <w:bottom w:val="single" w:sz="4" w:space="0" w:color="auto"/>
              <w:right w:val="single" w:sz="4" w:space="0" w:color="000000"/>
            </w:tcBorders>
            <w:shd w:val="clear" w:color="000000" w:fill="FFFFFF"/>
            <w:noWrap/>
            <w:vAlign w:val="center"/>
            <w:hideMark/>
          </w:tcPr>
          <w:p w14:paraId="586FB5A1" w14:textId="77777777" w:rsidR="001D28E5" w:rsidRPr="00B01FA0" w:rsidRDefault="001D28E5" w:rsidP="00A95CD5">
            <w:pPr>
              <w:widowControl/>
              <w:ind w:firstLine="0"/>
              <w:jc w:val="center"/>
              <w:outlineLvl w:val="0"/>
              <w:rPr>
                <w:color w:val="auto"/>
                <w:lang w:eastAsia="ru-RU"/>
              </w:rPr>
            </w:pPr>
            <w:bookmarkStart w:id="42" w:name="RANGE!B31"/>
            <w:r w:rsidRPr="00B01FA0">
              <w:rPr>
                <w:color w:val="auto"/>
              </w:rPr>
              <w:t>892,3</w:t>
            </w:r>
            <w:bookmarkEnd w:id="42"/>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097CA50" w14:textId="77777777" w:rsidR="001D28E5" w:rsidRPr="007A5B02" w:rsidRDefault="001D28E5" w:rsidP="00A95CD5">
            <w:pPr>
              <w:widowControl/>
              <w:ind w:firstLine="0"/>
              <w:jc w:val="center"/>
              <w:outlineLvl w:val="0"/>
              <w:rPr>
                <w:color w:val="auto"/>
                <w:lang w:eastAsia="ru-RU"/>
              </w:rPr>
            </w:pPr>
            <w:bookmarkStart w:id="43" w:name="RANGE!C31"/>
            <w:r w:rsidRPr="007A5B02">
              <w:rPr>
                <w:color w:val="auto"/>
              </w:rPr>
              <w:t>8</w:t>
            </w:r>
            <w:r>
              <w:rPr>
                <w:color w:val="auto"/>
              </w:rPr>
              <w:t>66,8</w:t>
            </w:r>
            <w:bookmarkEnd w:id="43"/>
          </w:p>
        </w:tc>
        <w:tc>
          <w:tcPr>
            <w:tcW w:w="1387" w:type="dxa"/>
            <w:tcBorders>
              <w:top w:val="nil"/>
              <w:left w:val="nil"/>
              <w:bottom w:val="single" w:sz="4" w:space="0" w:color="auto"/>
              <w:right w:val="single" w:sz="4" w:space="0" w:color="auto"/>
            </w:tcBorders>
            <w:shd w:val="clear" w:color="000000" w:fill="FFFFFF"/>
            <w:vAlign w:val="center"/>
          </w:tcPr>
          <w:p w14:paraId="6A393D52" w14:textId="77777777" w:rsidR="001D28E5" w:rsidRPr="00F736C9" w:rsidRDefault="001D28E5" w:rsidP="00A95CD5">
            <w:pPr>
              <w:widowControl/>
              <w:ind w:firstLine="0"/>
              <w:jc w:val="center"/>
              <w:outlineLvl w:val="0"/>
              <w:rPr>
                <w:color w:val="auto"/>
                <w:lang w:eastAsia="ru-RU"/>
              </w:rPr>
            </w:pPr>
            <w:r w:rsidRPr="00F736C9">
              <w:rPr>
                <w:color w:val="auto"/>
              </w:rPr>
              <w:t>97,1%</w:t>
            </w:r>
          </w:p>
        </w:tc>
        <w:tc>
          <w:tcPr>
            <w:tcW w:w="1856" w:type="dxa"/>
            <w:tcBorders>
              <w:top w:val="nil"/>
              <w:left w:val="nil"/>
              <w:bottom w:val="single" w:sz="4" w:space="0" w:color="auto"/>
              <w:right w:val="single" w:sz="4" w:space="0" w:color="auto"/>
            </w:tcBorders>
            <w:shd w:val="clear" w:color="000000" w:fill="FFFFFF"/>
            <w:vAlign w:val="center"/>
          </w:tcPr>
          <w:p w14:paraId="30F25FF6" w14:textId="77777777" w:rsidR="001D28E5" w:rsidRPr="00F736C9" w:rsidRDefault="001D28E5" w:rsidP="00A95CD5">
            <w:pPr>
              <w:widowControl/>
              <w:ind w:firstLine="0"/>
              <w:jc w:val="center"/>
              <w:outlineLvl w:val="0"/>
              <w:rPr>
                <w:color w:val="auto"/>
                <w:lang w:eastAsia="ru-RU"/>
              </w:rPr>
            </w:pPr>
            <w:r w:rsidRPr="00F736C9">
              <w:rPr>
                <w:color w:val="auto"/>
                <w:lang w:eastAsia="ru-RU"/>
              </w:rPr>
              <w:t>38,6</w:t>
            </w:r>
          </w:p>
        </w:tc>
        <w:tc>
          <w:tcPr>
            <w:tcW w:w="1179" w:type="dxa"/>
            <w:tcBorders>
              <w:top w:val="nil"/>
              <w:left w:val="nil"/>
              <w:bottom w:val="single" w:sz="4" w:space="0" w:color="auto"/>
              <w:right w:val="single" w:sz="4" w:space="0" w:color="auto"/>
            </w:tcBorders>
            <w:shd w:val="clear" w:color="000000" w:fill="FFFFFF"/>
            <w:vAlign w:val="center"/>
          </w:tcPr>
          <w:p w14:paraId="5D582CCB" w14:textId="77777777" w:rsidR="001D28E5" w:rsidRPr="00F736C9" w:rsidRDefault="001D28E5" w:rsidP="00A95CD5">
            <w:pPr>
              <w:widowControl/>
              <w:ind w:firstLine="0"/>
              <w:jc w:val="center"/>
              <w:outlineLvl w:val="0"/>
              <w:rPr>
                <w:color w:val="auto"/>
                <w:lang w:eastAsia="ru-RU"/>
              </w:rPr>
            </w:pPr>
            <w:r w:rsidRPr="00F736C9">
              <w:rPr>
                <w:color w:val="auto"/>
                <w:lang w:eastAsia="ru-RU"/>
              </w:rPr>
              <w:t>104,7%</w:t>
            </w:r>
          </w:p>
        </w:tc>
      </w:tr>
      <w:tr w:rsidR="001D28E5" w:rsidRPr="00C014DC" w14:paraId="322229B0" w14:textId="77777777" w:rsidTr="00A77BA1">
        <w:trPr>
          <w:trHeight w:val="1125"/>
        </w:trPr>
        <w:tc>
          <w:tcPr>
            <w:tcW w:w="29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625710" w14:textId="77777777" w:rsidR="001D28E5" w:rsidRPr="007A5B02" w:rsidRDefault="001D28E5" w:rsidP="001836C3">
            <w:pPr>
              <w:widowControl/>
              <w:ind w:firstLine="0"/>
              <w:jc w:val="left"/>
              <w:outlineLvl w:val="0"/>
              <w:rPr>
                <w:color w:val="auto"/>
                <w:lang w:eastAsia="ru-RU"/>
              </w:rPr>
            </w:pPr>
            <w:bookmarkStart w:id="44" w:name="_Toc161837349"/>
            <w:bookmarkStart w:id="45" w:name="_Toc162008757"/>
            <w:r w:rsidRPr="007A5B02">
              <w:rPr>
                <w:color w:val="auto"/>
                <w:lang w:eastAsia="ru-RU"/>
              </w:rPr>
              <w:t>Безвозмездные поступления от государственных (муниципальных) организаций</w:t>
            </w:r>
            <w:bookmarkEnd w:id="44"/>
            <w:bookmarkEnd w:id="45"/>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2B257" w14:textId="77777777" w:rsidR="001D28E5" w:rsidRPr="00843A31" w:rsidRDefault="001D28E5" w:rsidP="00A95CD5">
            <w:pPr>
              <w:widowControl/>
              <w:ind w:firstLine="0"/>
              <w:jc w:val="center"/>
              <w:outlineLvl w:val="0"/>
              <w:rPr>
                <w:color w:val="auto"/>
                <w:lang w:eastAsia="ru-RU"/>
              </w:rPr>
            </w:pPr>
            <w:bookmarkStart w:id="46" w:name="RANGE!B32"/>
            <w:r w:rsidRPr="00843A31">
              <w:rPr>
                <w:color w:val="auto"/>
              </w:rPr>
              <w:t>18,9</w:t>
            </w:r>
            <w:bookmarkEnd w:id="46"/>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08FEC" w14:textId="77777777" w:rsidR="001D28E5" w:rsidRPr="00843A31" w:rsidRDefault="001D28E5" w:rsidP="00A95CD5">
            <w:pPr>
              <w:widowControl/>
              <w:ind w:firstLine="0"/>
              <w:jc w:val="center"/>
              <w:outlineLvl w:val="0"/>
              <w:rPr>
                <w:color w:val="auto"/>
                <w:lang w:eastAsia="ru-RU"/>
              </w:rPr>
            </w:pPr>
            <w:bookmarkStart w:id="47" w:name="RANGE!C32"/>
            <w:r w:rsidRPr="00843A31">
              <w:rPr>
                <w:color w:val="auto"/>
              </w:rPr>
              <w:t>10,2</w:t>
            </w:r>
            <w:bookmarkEnd w:id="47"/>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784DFBD1" w14:textId="77777777" w:rsidR="001D28E5" w:rsidRPr="00843A31" w:rsidRDefault="001D28E5" w:rsidP="00A95CD5">
            <w:pPr>
              <w:widowControl/>
              <w:ind w:firstLine="0"/>
              <w:jc w:val="center"/>
              <w:outlineLvl w:val="0"/>
              <w:rPr>
                <w:color w:val="auto"/>
                <w:lang w:eastAsia="ru-RU"/>
              </w:rPr>
            </w:pPr>
            <w:r w:rsidRPr="00843A31">
              <w:rPr>
                <w:color w:val="auto"/>
              </w:rPr>
              <w:t>94,6%</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tcPr>
          <w:p w14:paraId="62C26BC6" w14:textId="77777777" w:rsidR="001D28E5" w:rsidRPr="00843A31" w:rsidRDefault="001D28E5" w:rsidP="00A95CD5">
            <w:pPr>
              <w:widowControl/>
              <w:ind w:firstLine="0"/>
              <w:jc w:val="center"/>
              <w:outlineLvl w:val="0"/>
              <w:rPr>
                <w:color w:val="auto"/>
                <w:lang w:eastAsia="ru-RU"/>
              </w:rPr>
            </w:pPr>
            <w:r w:rsidRPr="00843A31">
              <w:rPr>
                <w:color w:val="auto"/>
                <w:lang w:eastAsia="ru-RU"/>
              </w:rPr>
              <w:t>-131,7</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57AD65AB" w14:textId="77777777" w:rsidR="001D28E5" w:rsidRPr="00843A31" w:rsidRDefault="001D28E5" w:rsidP="00A95CD5">
            <w:pPr>
              <w:widowControl/>
              <w:ind w:firstLine="0"/>
              <w:jc w:val="center"/>
              <w:outlineLvl w:val="0"/>
              <w:rPr>
                <w:color w:val="auto"/>
                <w:lang w:eastAsia="ru-RU"/>
              </w:rPr>
            </w:pPr>
            <w:r w:rsidRPr="00843A31">
              <w:rPr>
                <w:color w:val="auto"/>
                <w:lang w:eastAsia="ru-RU"/>
              </w:rPr>
              <w:t>7,2%</w:t>
            </w:r>
          </w:p>
        </w:tc>
      </w:tr>
      <w:tr w:rsidR="001D28E5" w:rsidRPr="00C014DC" w14:paraId="6A417218" w14:textId="77777777" w:rsidTr="001D28E5">
        <w:trPr>
          <w:trHeight w:val="416"/>
        </w:trPr>
        <w:tc>
          <w:tcPr>
            <w:tcW w:w="29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6133C" w14:textId="77777777" w:rsidR="001D28E5" w:rsidRPr="00C014DC" w:rsidRDefault="001D28E5" w:rsidP="001836C3">
            <w:pPr>
              <w:widowControl/>
              <w:ind w:firstLine="0"/>
              <w:jc w:val="left"/>
              <w:outlineLvl w:val="0"/>
              <w:rPr>
                <w:color w:val="FF0000"/>
                <w:lang w:eastAsia="ru-RU"/>
              </w:rPr>
            </w:pPr>
            <w:r w:rsidRPr="00BD377C">
              <w:rPr>
                <w:color w:val="auto"/>
                <w:lang w:eastAsia="ru-RU"/>
              </w:rPr>
              <w:t>Безвозмездные поступления от негосударственных организаций</w:t>
            </w:r>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CDDE1" w14:textId="77777777" w:rsidR="001D28E5" w:rsidRPr="00843A31" w:rsidRDefault="001D28E5" w:rsidP="00A95CD5">
            <w:pPr>
              <w:widowControl/>
              <w:ind w:firstLine="0"/>
              <w:jc w:val="center"/>
              <w:outlineLvl w:val="0"/>
              <w:rPr>
                <w:color w:val="auto"/>
                <w:lang w:eastAsia="ru-RU"/>
              </w:rPr>
            </w:pPr>
            <w:bookmarkStart w:id="48" w:name="RANGE!B33"/>
            <w:r w:rsidRPr="00843A31">
              <w:rPr>
                <w:color w:val="auto"/>
              </w:rPr>
              <w:t>6,2</w:t>
            </w:r>
            <w:bookmarkEnd w:id="48"/>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8EEF5" w14:textId="77777777" w:rsidR="001D28E5" w:rsidRPr="00843A31" w:rsidRDefault="001D28E5" w:rsidP="00A95CD5">
            <w:pPr>
              <w:widowControl/>
              <w:ind w:firstLine="0"/>
              <w:jc w:val="center"/>
              <w:outlineLvl w:val="0"/>
              <w:rPr>
                <w:color w:val="auto"/>
                <w:lang w:eastAsia="ru-RU"/>
              </w:rPr>
            </w:pPr>
            <w:bookmarkStart w:id="49" w:name="RANGE!C33"/>
            <w:r w:rsidRPr="00843A31">
              <w:rPr>
                <w:color w:val="auto"/>
              </w:rPr>
              <w:t>6,1</w:t>
            </w:r>
            <w:bookmarkEnd w:id="49"/>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46940E56" w14:textId="77777777" w:rsidR="001D28E5" w:rsidRPr="00843A31" w:rsidRDefault="001D28E5" w:rsidP="00A95CD5">
            <w:pPr>
              <w:widowControl/>
              <w:ind w:firstLine="0"/>
              <w:jc w:val="center"/>
              <w:outlineLvl w:val="0"/>
              <w:rPr>
                <w:color w:val="auto"/>
                <w:lang w:eastAsia="ru-RU"/>
              </w:rPr>
            </w:pPr>
            <w:r w:rsidRPr="00843A31">
              <w:rPr>
                <w:color w:val="auto"/>
              </w:rPr>
              <w:t>98,4%</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tcPr>
          <w:p w14:paraId="38F6D135" w14:textId="77777777" w:rsidR="001D28E5" w:rsidRPr="00843A31" w:rsidRDefault="001D28E5" w:rsidP="00A95CD5">
            <w:pPr>
              <w:widowControl/>
              <w:ind w:firstLine="0"/>
              <w:jc w:val="center"/>
              <w:outlineLvl w:val="0"/>
              <w:rPr>
                <w:color w:val="auto"/>
                <w:lang w:eastAsia="ru-RU"/>
              </w:rPr>
            </w:pPr>
            <w:r w:rsidRPr="00843A31">
              <w:rPr>
                <w:color w:val="auto"/>
                <w:lang w:eastAsia="ru-RU"/>
              </w:rPr>
              <w:t>-1,0</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6FC4C188" w14:textId="77777777" w:rsidR="001D28E5" w:rsidRPr="00843A31" w:rsidRDefault="001D28E5" w:rsidP="00A95CD5">
            <w:pPr>
              <w:widowControl/>
              <w:ind w:firstLine="0"/>
              <w:jc w:val="center"/>
              <w:outlineLvl w:val="0"/>
              <w:rPr>
                <w:color w:val="auto"/>
                <w:lang w:eastAsia="ru-RU"/>
              </w:rPr>
            </w:pPr>
            <w:r w:rsidRPr="00843A31">
              <w:rPr>
                <w:color w:val="auto"/>
                <w:lang w:eastAsia="ru-RU"/>
              </w:rPr>
              <w:t>86,6%</w:t>
            </w:r>
          </w:p>
        </w:tc>
      </w:tr>
      <w:tr w:rsidR="001D28E5" w:rsidRPr="00C014DC" w14:paraId="276994C9" w14:textId="77777777" w:rsidTr="001D28E5">
        <w:trPr>
          <w:trHeight w:val="375"/>
        </w:trPr>
        <w:tc>
          <w:tcPr>
            <w:tcW w:w="2914"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14:paraId="6BC2EDF0" w14:textId="77777777" w:rsidR="001D28E5" w:rsidRPr="00C014DC" w:rsidRDefault="001D28E5" w:rsidP="001836C3">
            <w:pPr>
              <w:widowControl/>
              <w:ind w:firstLine="0"/>
              <w:jc w:val="left"/>
              <w:outlineLvl w:val="0"/>
              <w:rPr>
                <w:color w:val="FF0000"/>
                <w:lang w:eastAsia="ru-RU"/>
              </w:rPr>
            </w:pPr>
            <w:bookmarkStart w:id="50" w:name="_Toc161837361"/>
            <w:bookmarkStart w:id="51" w:name="_Toc162008769"/>
            <w:r w:rsidRPr="007A5B02">
              <w:rPr>
                <w:color w:val="auto"/>
                <w:lang w:eastAsia="ru-RU"/>
              </w:rPr>
              <w:t>Прочие безвозмездные поступления</w:t>
            </w:r>
            <w:bookmarkEnd w:id="50"/>
            <w:bookmarkEnd w:id="51"/>
          </w:p>
        </w:tc>
        <w:tc>
          <w:tcPr>
            <w:tcW w:w="1765" w:type="dxa"/>
            <w:tcBorders>
              <w:top w:val="single" w:sz="4" w:space="0" w:color="auto"/>
              <w:left w:val="nil"/>
              <w:bottom w:val="single" w:sz="4" w:space="0" w:color="auto"/>
              <w:right w:val="single" w:sz="4" w:space="0" w:color="000000"/>
            </w:tcBorders>
            <w:shd w:val="clear" w:color="000000" w:fill="FFFFFF"/>
            <w:noWrap/>
            <w:vAlign w:val="center"/>
            <w:hideMark/>
          </w:tcPr>
          <w:p w14:paraId="302F0D9E" w14:textId="77777777" w:rsidR="001D28E5" w:rsidRPr="00B01FA0" w:rsidRDefault="001D28E5" w:rsidP="00A95CD5">
            <w:pPr>
              <w:widowControl/>
              <w:ind w:firstLine="0"/>
              <w:jc w:val="center"/>
              <w:outlineLvl w:val="0"/>
              <w:rPr>
                <w:color w:val="auto"/>
                <w:lang w:eastAsia="ru-RU"/>
              </w:rPr>
            </w:pPr>
            <w:bookmarkStart w:id="52" w:name="RANGE!B34"/>
            <w:r>
              <w:rPr>
                <w:color w:val="auto"/>
              </w:rPr>
              <w:t>9,7</w:t>
            </w:r>
            <w:bookmarkEnd w:id="52"/>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A42F0" w14:textId="77777777" w:rsidR="001D28E5" w:rsidRPr="00C014DC" w:rsidRDefault="001D28E5" w:rsidP="00A95CD5">
            <w:pPr>
              <w:widowControl/>
              <w:ind w:firstLine="0"/>
              <w:jc w:val="center"/>
              <w:outlineLvl w:val="0"/>
              <w:rPr>
                <w:color w:val="FF0000"/>
                <w:lang w:eastAsia="ru-RU"/>
              </w:rPr>
            </w:pPr>
            <w:bookmarkStart w:id="53" w:name="RANGE!C34"/>
            <w:r w:rsidRPr="007A5B02">
              <w:rPr>
                <w:color w:val="auto"/>
              </w:rPr>
              <w:t>9,7</w:t>
            </w:r>
            <w:bookmarkEnd w:id="53"/>
          </w:p>
        </w:tc>
        <w:tc>
          <w:tcPr>
            <w:tcW w:w="1387" w:type="dxa"/>
            <w:tcBorders>
              <w:top w:val="single" w:sz="4" w:space="0" w:color="auto"/>
              <w:left w:val="nil"/>
              <w:bottom w:val="single" w:sz="4" w:space="0" w:color="auto"/>
              <w:right w:val="single" w:sz="4" w:space="0" w:color="auto"/>
            </w:tcBorders>
            <w:shd w:val="clear" w:color="000000" w:fill="FFFFFF"/>
            <w:vAlign w:val="center"/>
          </w:tcPr>
          <w:p w14:paraId="2856B12E" w14:textId="77777777" w:rsidR="001D28E5" w:rsidRPr="009354D3" w:rsidRDefault="001D28E5" w:rsidP="00A95CD5">
            <w:pPr>
              <w:widowControl/>
              <w:ind w:firstLine="0"/>
              <w:jc w:val="center"/>
              <w:outlineLvl w:val="0"/>
              <w:rPr>
                <w:color w:val="auto"/>
                <w:lang w:eastAsia="ru-RU"/>
              </w:rPr>
            </w:pPr>
            <w:r w:rsidRPr="009354D3">
              <w:rPr>
                <w:color w:val="auto"/>
              </w:rPr>
              <w:t>100,0%</w:t>
            </w:r>
          </w:p>
        </w:tc>
        <w:tc>
          <w:tcPr>
            <w:tcW w:w="1856" w:type="dxa"/>
            <w:tcBorders>
              <w:top w:val="single" w:sz="4" w:space="0" w:color="auto"/>
              <w:left w:val="nil"/>
              <w:bottom w:val="single" w:sz="4" w:space="0" w:color="auto"/>
              <w:right w:val="single" w:sz="4" w:space="0" w:color="auto"/>
            </w:tcBorders>
            <w:shd w:val="clear" w:color="000000" w:fill="FFFFFF"/>
            <w:vAlign w:val="center"/>
          </w:tcPr>
          <w:p w14:paraId="20D7E9D6" w14:textId="77777777" w:rsidR="001D28E5" w:rsidRPr="009354D3" w:rsidRDefault="001D28E5" w:rsidP="00A95CD5">
            <w:pPr>
              <w:widowControl/>
              <w:ind w:firstLine="0"/>
              <w:jc w:val="center"/>
              <w:outlineLvl w:val="0"/>
              <w:rPr>
                <w:color w:val="auto"/>
                <w:lang w:eastAsia="ru-RU"/>
              </w:rPr>
            </w:pPr>
            <w:r w:rsidRPr="009354D3">
              <w:rPr>
                <w:color w:val="auto"/>
                <w:lang w:eastAsia="ru-RU"/>
              </w:rPr>
              <w:t>1,3</w:t>
            </w:r>
          </w:p>
        </w:tc>
        <w:tc>
          <w:tcPr>
            <w:tcW w:w="1179" w:type="dxa"/>
            <w:tcBorders>
              <w:top w:val="single" w:sz="4" w:space="0" w:color="auto"/>
              <w:left w:val="nil"/>
              <w:bottom w:val="single" w:sz="4" w:space="0" w:color="auto"/>
              <w:right w:val="single" w:sz="4" w:space="0" w:color="auto"/>
            </w:tcBorders>
            <w:shd w:val="clear" w:color="000000" w:fill="FFFFFF"/>
            <w:vAlign w:val="center"/>
          </w:tcPr>
          <w:p w14:paraId="16326C18" w14:textId="77777777" w:rsidR="001D28E5" w:rsidRPr="009354D3" w:rsidRDefault="001D28E5" w:rsidP="00A95CD5">
            <w:pPr>
              <w:widowControl/>
              <w:ind w:firstLine="0"/>
              <w:jc w:val="center"/>
              <w:outlineLvl w:val="0"/>
              <w:rPr>
                <w:color w:val="auto"/>
                <w:lang w:eastAsia="ru-RU"/>
              </w:rPr>
            </w:pPr>
            <w:r w:rsidRPr="009354D3">
              <w:rPr>
                <w:color w:val="auto"/>
                <w:lang w:eastAsia="ru-RU"/>
              </w:rPr>
              <w:t>115,8%</w:t>
            </w:r>
          </w:p>
        </w:tc>
      </w:tr>
      <w:tr w:rsidR="001D28E5" w:rsidRPr="00C014DC" w14:paraId="03EF0256" w14:textId="77777777" w:rsidTr="001836C3">
        <w:trPr>
          <w:trHeight w:val="416"/>
        </w:trPr>
        <w:tc>
          <w:tcPr>
            <w:tcW w:w="29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7DA21D" w14:textId="77777777" w:rsidR="001D28E5" w:rsidRPr="007A5B02" w:rsidRDefault="001D28E5" w:rsidP="001836C3">
            <w:pPr>
              <w:widowControl/>
              <w:ind w:firstLine="0"/>
              <w:jc w:val="left"/>
              <w:outlineLvl w:val="0"/>
              <w:rPr>
                <w:color w:val="auto"/>
                <w:lang w:eastAsia="ru-RU"/>
              </w:rPr>
            </w:pPr>
            <w:bookmarkStart w:id="54" w:name="_Toc161837367"/>
            <w:bookmarkStart w:id="55" w:name="_Toc162008775"/>
            <w:r w:rsidRPr="007A5B02">
              <w:rPr>
                <w:color w:val="auto"/>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bookmarkEnd w:id="54"/>
            <w:bookmarkEnd w:id="55"/>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0E3C4" w14:textId="77777777" w:rsidR="001D28E5" w:rsidRPr="007A5B02" w:rsidRDefault="001D28E5" w:rsidP="00A95CD5">
            <w:pPr>
              <w:widowControl/>
              <w:ind w:firstLine="0"/>
              <w:jc w:val="center"/>
              <w:outlineLvl w:val="0"/>
              <w:rPr>
                <w:color w:val="auto"/>
                <w:lang w:eastAsia="ru-RU"/>
              </w:rPr>
            </w:pPr>
            <w:bookmarkStart w:id="56" w:name="RANGE!B35"/>
            <w:r w:rsidRPr="007A5B02">
              <w:rPr>
                <w:color w:val="auto"/>
              </w:rPr>
              <w:t>0,0</w:t>
            </w:r>
            <w:bookmarkEnd w:id="56"/>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E96A4" w14:textId="77777777" w:rsidR="001D28E5" w:rsidRPr="007A5B02" w:rsidRDefault="001D28E5" w:rsidP="00A95CD5">
            <w:pPr>
              <w:widowControl/>
              <w:ind w:firstLine="0"/>
              <w:jc w:val="center"/>
              <w:outlineLvl w:val="0"/>
              <w:rPr>
                <w:color w:val="auto"/>
                <w:lang w:eastAsia="ru-RU"/>
              </w:rPr>
            </w:pPr>
            <w:bookmarkStart w:id="57" w:name="RANGE!C35"/>
            <w:r w:rsidRPr="007A5B02">
              <w:rPr>
                <w:color w:val="auto"/>
              </w:rPr>
              <w:t>24,9</w:t>
            </w:r>
            <w:bookmarkEnd w:id="57"/>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6C15F382" w14:textId="77777777" w:rsidR="001D28E5" w:rsidRPr="00BC6E30" w:rsidRDefault="001D28E5" w:rsidP="00A95CD5">
            <w:pPr>
              <w:widowControl/>
              <w:ind w:firstLine="0"/>
              <w:jc w:val="center"/>
              <w:outlineLvl w:val="0"/>
              <w:rPr>
                <w:color w:val="auto"/>
                <w:lang w:eastAsia="ru-RU"/>
              </w:rPr>
            </w:pPr>
            <w:r w:rsidRPr="00BC6E30">
              <w:rPr>
                <w:color w:val="auto"/>
              </w:rPr>
              <w:t>-</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BAB94" w14:textId="77777777" w:rsidR="001D28E5" w:rsidRPr="00BC6E30" w:rsidRDefault="001D28E5" w:rsidP="00A95CD5">
            <w:pPr>
              <w:widowControl/>
              <w:ind w:firstLine="0"/>
              <w:jc w:val="center"/>
              <w:outlineLvl w:val="0"/>
              <w:rPr>
                <w:color w:val="auto"/>
                <w:lang w:eastAsia="ru-RU"/>
              </w:rPr>
            </w:pPr>
            <w:r w:rsidRPr="00BC6E30">
              <w:rPr>
                <w:color w:val="auto"/>
                <w:lang w:eastAsia="ru-RU"/>
              </w:rPr>
              <w:t>-49,1</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23620F3B" w14:textId="77777777" w:rsidR="001D28E5" w:rsidRPr="00BC6E30" w:rsidRDefault="001D28E5" w:rsidP="00A95CD5">
            <w:pPr>
              <w:widowControl/>
              <w:ind w:firstLine="0"/>
              <w:jc w:val="center"/>
              <w:outlineLvl w:val="0"/>
              <w:rPr>
                <w:color w:val="auto"/>
                <w:lang w:eastAsia="ru-RU"/>
              </w:rPr>
            </w:pPr>
            <w:r w:rsidRPr="00BC6E30">
              <w:rPr>
                <w:color w:val="auto"/>
                <w:lang w:eastAsia="ru-RU"/>
              </w:rPr>
              <w:t>33,6%</w:t>
            </w:r>
          </w:p>
        </w:tc>
      </w:tr>
      <w:tr w:rsidR="001D28E5" w:rsidRPr="00C014DC" w14:paraId="7386F14E" w14:textId="77777777" w:rsidTr="001D28E5">
        <w:trPr>
          <w:trHeight w:val="1500"/>
        </w:trPr>
        <w:tc>
          <w:tcPr>
            <w:tcW w:w="291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03393DB1" w14:textId="77777777" w:rsidR="001D28E5" w:rsidRPr="007A5B02" w:rsidRDefault="001D28E5" w:rsidP="001836C3">
            <w:pPr>
              <w:widowControl/>
              <w:ind w:firstLine="0"/>
              <w:jc w:val="left"/>
              <w:outlineLvl w:val="0"/>
              <w:rPr>
                <w:color w:val="auto"/>
                <w:lang w:eastAsia="ru-RU"/>
              </w:rPr>
            </w:pPr>
            <w:bookmarkStart w:id="58" w:name="_Toc161837373"/>
            <w:bookmarkStart w:id="59" w:name="_Toc162008781"/>
            <w:r w:rsidRPr="007A5B02">
              <w:rPr>
                <w:color w:val="auto"/>
                <w:lang w:eastAsia="ru-RU"/>
              </w:rPr>
              <w:t>Возврат остатков субсидий, субвенций и иных межбюджетных трансфертов, имеющих целевое назначение, прошлых лет</w:t>
            </w:r>
            <w:bookmarkEnd w:id="58"/>
            <w:bookmarkEnd w:id="59"/>
          </w:p>
        </w:tc>
        <w:tc>
          <w:tcPr>
            <w:tcW w:w="1765" w:type="dxa"/>
            <w:tcBorders>
              <w:top w:val="single" w:sz="4" w:space="0" w:color="auto"/>
              <w:left w:val="nil"/>
              <w:bottom w:val="single" w:sz="4" w:space="0" w:color="000000"/>
              <w:right w:val="single" w:sz="4" w:space="0" w:color="000000"/>
            </w:tcBorders>
            <w:shd w:val="clear" w:color="000000" w:fill="FFFFFF"/>
            <w:noWrap/>
            <w:vAlign w:val="center"/>
            <w:hideMark/>
          </w:tcPr>
          <w:p w14:paraId="4600555D" w14:textId="77777777" w:rsidR="001D28E5" w:rsidRPr="007A5B02" w:rsidRDefault="001D28E5" w:rsidP="00A95CD5">
            <w:pPr>
              <w:widowControl/>
              <w:ind w:firstLine="0"/>
              <w:jc w:val="center"/>
              <w:outlineLvl w:val="0"/>
              <w:rPr>
                <w:color w:val="auto"/>
                <w:lang w:eastAsia="ru-RU"/>
              </w:rPr>
            </w:pPr>
            <w:bookmarkStart w:id="60" w:name="RANGE!B36"/>
            <w:r w:rsidRPr="007A5B02">
              <w:rPr>
                <w:color w:val="auto"/>
              </w:rPr>
              <w:t>0,0</w:t>
            </w:r>
            <w:bookmarkEnd w:id="60"/>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7B51F" w14:textId="77777777" w:rsidR="001D28E5" w:rsidRPr="00BC6E30" w:rsidRDefault="001D28E5" w:rsidP="00A95CD5">
            <w:pPr>
              <w:widowControl/>
              <w:ind w:firstLine="0"/>
              <w:jc w:val="center"/>
              <w:outlineLvl w:val="0"/>
              <w:rPr>
                <w:color w:val="auto"/>
                <w:lang w:eastAsia="ru-RU"/>
              </w:rPr>
            </w:pPr>
            <w:bookmarkStart w:id="61" w:name="RANGE!C36"/>
            <w:r w:rsidRPr="00BC6E30">
              <w:rPr>
                <w:color w:val="auto"/>
              </w:rPr>
              <w:t>-64,6</w:t>
            </w:r>
            <w:bookmarkEnd w:id="61"/>
          </w:p>
        </w:tc>
        <w:tc>
          <w:tcPr>
            <w:tcW w:w="1387" w:type="dxa"/>
            <w:tcBorders>
              <w:top w:val="single" w:sz="4" w:space="0" w:color="auto"/>
              <w:left w:val="nil"/>
              <w:bottom w:val="single" w:sz="4" w:space="0" w:color="auto"/>
              <w:right w:val="single" w:sz="4" w:space="0" w:color="auto"/>
            </w:tcBorders>
            <w:shd w:val="clear" w:color="000000" w:fill="FFFFFF"/>
            <w:vAlign w:val="center"/>
          </w:tcPr>
          <w:p w14:paraId="0F4C12B3" w14:textId="77777777" w:rsidR="001D28E5" w:rsidRPr="00BC6E30" w:rsidRDefault="001D28E5" w:rsidP="00A95CD5">
            <w:pPr>
              <w:widowControl/>
              <w:ind w:firstLine="0"/>
              <w:jc w:val="center"/>
              <w:outlineLvl w:val="0"/>
              <w:rPr>
                <w:color w:val="auto"/>
                <w:lang w:eastAsia="ru-RU"/>
              </w:rPr>
            </w:pPr>
            <w:r w:rsidRPr="00BC6E30">
              <w:rPr>
                <w:color w:val="auto"/>
              </w:rPr>
              <w:t>-</w:t>
            </w:r>
          </w:p>
        </w:tc>
        <w:tc>
          <w:tcPr>
            <w:tcW w:w="1856" w:type="dxa"/>
            <w:tcBorders>
              <w:top w:val="single" w:sz="4" w:space="0" w:color="auto"/>
              <w:left w:val="nil"/>
              <w:bottom w:val="single" w:sz="4" w:space="0" w:color="auto"/>
              <w:right w:val="single" w:sz="4" w:space="0" w:color="auto"/>
            </w:tcBorders>
            <w:shd w:val="clear" w:color="000000" w:fill="FFFFFF"/>
            <w:vAlign w:val="center"/>
          </w:tcPr>
          <w:p w14:paraId="7476057C" w14:textId="77777777" w:rsidR="001D28E5" w:rsidRPr="00BC6E30" w:rsidRDefault="001D28E5" w:rsidP="00A95CD5">
            <w:pPr>
              <w:widowControl/>
              <w:ind w:firstLine="0"/>
              <w:jc w:val="center"/>
              <w:outlineLvl w:val="0"/>
              <w:rPr>
                <w:color w:val="auto"/>
                <w:lang w:eastAsia="ru-RU"/>
              </w:rPr>
            </w:pPr>
            <w:r w:rsidRPr="00BC6E30">
              <w:rPr>
                <w:color w:val="auto"/>
                <w:lang w:eastAsia="ru-RU"/>
              </w:rPr>
              <w:t>28,4</w:t>
            </w:r>
          </w:p>
        </w:tc>
        <w:tc>
          <w:tcPr>
            <w:tcW w:w="1179" w:type="dxa"/>
            <w:tcBorders>
              <w:top w:val="single" w:sz="4" w:space="0" w:color="auto"/>
              <w:left w:val="nil"/>
              <w:bottom w:val="single" w:sz="4" w:space="0" w:color="auto"/>
              <w:right w:val="single" w:sz="4" w:space="0" w:color="auto"/>
            </w:tcBorders>
            <w:shd w:val="clear" w:color="000000" w:fill="FFFFFF"/>
            <w:vAlign w:val="center"/>
          </w:tcPr>
          <w:p w14:paraId="6EBD698B" w14:textId="77777777" w:rsidR="001D28E5" w:rsidRPr="00BC6E30" w:rsidRDefault="001D28E5" w:rsidP="00A95CD5">
            <w:pPr>
              <w:widowControl/>
              <w:ind w:firstLine="0"/>
              <w:jc w:val="center"/>
              <w:outlineLvl w:val="0"/>
              <w:rPr>
                <w:color w:val="auto"/>
                <w:lang w:eastAsia="ru-RU"/>
              </w:rPr>
            </w:pPr>
            <w:r w:rsidRPr="00BC6E30">
              <w:rPr>
                <w:color w:val="auto"/>
                <w:lang w:eastAsia="ru-RU"/>
              </w:rPr>
              <w:t>69,4%</w:t>
            </w:r>
          </w:p>
        </w:tc>
      </w:tr>
      <w:tr w:rsidR="001D28E5" w:rsidRPr="00C014DC" w14:paraId="6C3041D6" w14:textId="77777777" w:rsidTr="001D28E5">
        <w:trPr>
          <w:trHeight w:val="435"/>
        </w:trPr>
        <w:tc>
          <w:tcPr>
            <w:tcW w:w="2914" w:type="dxa"/>
            <w:tcBorders>
              <w:top w:val="nil"/>
              <w:left w:val="single" w:sz="4" w:space="0" w:color="000000"/>
              <w:bottom w:val="single" w:sz="4" w:space="0" w:color="000000"/>
              <w:right w:val="single" w:sz="4" w:space="0" w:color="000000"/>
            </w:tcBorders>
            <w:shd w:val="clear" w:color="auto" w:fill="80D219" w:themeFill="accent3" w:themeFillShade="BF"/>
            <w:vAlign w:val="center"/>
            <w:hideMark/>
          </w:tcPr>
          <w:p w14:paraId="1AE42843" w14:textId="77777777" w:rsidR="001D28E5" w:rsidRPr="00BC6E30" w:rsidRDefault="001D28E5" w:rsidP="001836C3">
            <w:pPr>
              <w:widowControl/>
              <w:ind w:firstLine="0"/>
              <w:jc w:val="left"/>
              <w:rPr>
                <w:b/>
                <w:bCs/>
                <w:color w:val="auto"/>
                <w:sz w:val="24"/>
                <w:szCs w:val="24"/>
                <w:lang w:eastAsia="ru-RU"/>
              </w:rPr>
            </w:pPr>
            <w:bookmarkStart w:id="62" w:name="RANGE!A50:B50"/>
            <w:r w:rsidRPr="00BC6E30">
              <w:rPr>
                <w:b/>
                <w:bCs/>
                <w:color w:val="auto"/>
                <w:sz w:val="24"/>
                <w:szCs w:val="24"/>
                <w:lang w:eastAsia="ru-RU"/>
              </w:rPr>
              <w:t>ВСЕГО ДОХОДОВ</w:t>
            </w:r>
            <w:bookmarkEnd w:id="62"/>
          </w:p>
        </w:tc>
        <w:tc>
          <w:tcPr>
            <w:tcW w:w="1765" w:type="dxa"/>
            <w:tcBorders>
              <w:top w:val="nil"/>
              <w:left w:val="nil"/>
              <w:bottom w:val="single" w:sz="4" w:space="0" w:color="000000"/>
              <w:right w:val="single" w:sz="4" w:space="0" w:color="000000"/>
            </w:tcBorders>
            <w:shd w:val="clear" w:color="auto" w:fill="80D219" w:themeFill="accent3" w:themeFillShade="BF"/>
            <w:vAlign w:val="center"/>
            <w:hideMark/>
          </w:tcPr>
          <w:p w14:paraId="3DE94D9C" w14:textId="77777777" w:rsidR="001D28E5" w:rsidRPr="00BC6E30" w:rsidRDefault="001D28E5" w:rsidP="00A95CD5">
            <w:pPr>
              <w:widowControl/>
              <w:ind w:firstLine="0"/>
              <w:jc w:val="center"/>
              <w:rPr>
                <w:b/>
                <w:bCs/>
                <w:color w:val="auto"/>
                <w:lang w:eastAsia="ru-RU"/>
              </w:rPr>
            </w:pPr>
            <w:r w:rsidRPr="00BC6E30">
              <w:rPr>
                <w:b/>
                <w:bCs/>
                <w:color w:val="auto"/>
              </w:rPr>
              <w:t>66 </w:t>
            </w:r>
            <w:r>
              <w:rPr>
                <w:b/>
                <w:bCs/>
                <w:color w:val="auto"/>
              </w:rPr>
              <w:t>8</w:t>
            </w:r>
            <w:r w:rsidRPr="00BC6E30">
              <w:rPr>
                <w:b/>
                <w:bCs/>
                <w:color w:val="auto"/>
              </w:rPr>
              <w:t>66,7</w:t>
            </w:r>
          </w:p>
        </w:tc>
        <w:tc>
          <w:tcPr>
            <w:tcW w:w="1276" w:type="dxa"/>
            <w:tcBorders>
              <w:top w:val="nil"/>
              <w:left w:val="single" w:sz="4" w:space="0" w:color="auto"/>
              <w:bottom w:val="single" w:sz="4" w:space="0" w:color="auto"/>
              <w:right w:val="single" w:sz="4" w:space="0" w:color="auto"/>
            </w:tcBorders>
            <w:shd w:val="clear" w:color="auto" w:fill="80D219" w:themeFill="accent3" w:themeFillShade="BF"/>
            <w:vAlign w:val="center"/>
            <w:hideMark/>
          </w:tcPr>
          <w:p w14:paraId="3A532726" w14:textId="77777777" w:rsidR="001D28E5" w:rsidRPr="00BC6E30" w:rsidRDefault="001D28E5" w:rsidP="00A95CD5">
            <w:pPr>
              <w:widowControl/>
              <w:ind w:firstLine="0"/>
              <w:jc w:val="center"/>
              <w:rPr>
                <w:b/>
                <w:bCs/>
                <w:color w:val="auto"/>
                <w:lang w:eastAsia="ru-RU"/>
              </w:rPr>
            </w:pPr>
            <w:bookmarkStart w:id="63" w:name="RANGE!C37"/>
            <w:r w:rsidRPr="00BC6E30">
              <w:rPr>
                <w:b/>
                <w:bCs/>
                <w:color w:val="auto"/>
              </w:rPr>
              <w:t>67 138,8</w:t>
            </w:r>
            <w:bookmarkEnd w:id="63"/>
          </w:p>
        </w:tc>
        <w:tc>
          <w:tcPr>
            <w:tcW w:w="1387" w:type="dxa"/>
            <w:tcBorders>
              <w:top w:val="nil"/>
              <w:left w:val="nil"/>
              <w:bottom w:val="single" w:sz="4" w:space="0" w:color="auto"/>
              <w:right w:val="single" w:sz="4" w:space="0" w:color="auto"/>
            </w:tcBorders>
            <w:shd w:val="clear" w:color="auto" w:fill="80D219" w:themeFill="accent3" w:themeFillShade="BF"/>
            <w:vAlign w:val="center"/>
          </w:tcPr>
          <w:p w14:paraId="2311AF9A" w14:textId="77777777" w:rsidR="001D28E5" w:rsidRPr="00BC6E30" w:rsidRDefault="001D28E5" w:rsidP="00A95CD5">
            <w:pPr>
              <w:widowControl/>
              <w:ind w:firstLine="0"/>
              <w:jc w:val="center"/>
              <w:rPr>
                <w:b/>
                <w:bCs/>
                <w:color w:val="auto"/>
                <w:lang w:eastAsia="ru-RU"/>
              </w:rPr>
            </w:pPr>
            <w:r w:rsidRPr="00BC6E30">
              <w:rPr>
                <w:b/>
                <w:bCs/>
                <w:color w:val="auto"/>
              </w:rPr>
              <w:t>10</w:t>
            </w:r>
            <w:r>
              <w:rPr>
                <w:b/>
                <w:bCs/>
                <w:color w:val="auto"/>
              </w:rPr>
              <w:t>0,4</w:t>
            </w:r>
            <w:r w:rsidRPr="00BC6E30">
              <w:rPr>
                <w:b/>
                <w:bCs/>
                <w:color w:val="auto"/>
              </w:rPr>
              <w:t>%</w:t>
            </w:r>
          </w:p>
        </w:tc>
        <w:tc>
          <w:tcPr>
            <w:tcW w:w="1856" w:type="dxa"/>
            <w:tcBorders>
              <w:top w:val="nil"/>
              <w:left w:val="nil"/>
              <w:bottom w:val="single" w:sz="4" w:space="0" w:color="auto"/>
              <w:right w:val="single" w:sz="4" w:space="0" w:color="auto"/>
            </w:tcBorders>
            <w:shd w:val="clear" w:color="auto" w:fill="80D219" w:themeFill="accent3" w:themeFillShade="BF"/>
            <w:vAlign w:val="center"/>
          </w:tcPr>
          <w:p w14:paraId="788A75C4" w14:textId="77777777" w:rsidR="001D28E5" w:rsidRPr="007B47FD" w:rsidRDefault="001D28E5" w:rsidP="00A95CD5">
            <w:pPr>
              <w:widowControl/>
              <w:ind w:firstLine="0"/>
              <w:jc w:val="center"/>
              <w:rPr>
                <w:b/>
                <w:bCs/>
                <w:color w:val="auto"/>
                <w:lang w:eastAsia="ru-RU"/>
              </w:rPr>
            </w:pPr>
            <w:r w:rsidRPr="007B47FD">
              <w:rPr>
                <w:b/>
                <w:bCs/>
                <w:color w:val="auto"/>
                <w:lang w:eastAsia="ru-RU"/>
              </w:rPr>
              <w:t>4 733,3</w:t>
            </w:r>
          </w:p>
        </w:tc>
        <w:tc>
          <w:tcPr>
            <w:tcW w:w="1179" w:type="dxa"/>
            <w:tcBorders>
              <w:top w:val="nil"/>
              <w:left w:val="nil"/>
              <w:bottom w:val="single" w:sz="4" w:space="0" w:color="auto"/>
              <w:right w:val="single" w:sz="4" w:space="0" w:color="auto"/>
            </w:tcBorders>
            <w:shd w:val="clear" w:color="auto" w:fill="80D219" w:themeFill="accent3" w:themeFillShade="BF"/>
            <w:vAlign w:val="center"/>
          </w:tcPr>
          <w:p w14:paraId="72D4E3B3" w14:textId="77777777" w:rsidR="001D28E5" w:rsidRPr="007B47FD" w:rsidRDefault="001D28E5" w:rsidP="00A95CD5">
            <w:pPr>
              <w:widowControl/>
              <w:ind w:firstLine="0"/>
              <w:jc w:val="center"/>
              <w:rPr>
                <w:b/>
                <w:bCs/>
                <w:color w:val="auto"/>
                <w:lang w:eastAsia="ru-RU"/>
              </w:rPr>
            </w:pPr>
            <w:r w:rsidRPr="007B47FD">
              <w:rPr>
                <w:b/>
                <w:bCs/>
                <w:color w:val="auto"/>
                <w:lang w:eastAsia="ru-RU"/>
              </w:rPr>
              <w:t>107,</w:t>
            </w:r>
            <w:r>
              <w:rPr>
                <w:b/>
                <w:bCs/>
                <w:color w:val="auto"/>
                <w:lang w:eastAsia="ru-RU"/>
              </w:rPr>
              <w:t>6</w:t>
            </w:r>
            <w:r w:rsidRPr="007B47FD">
              <w:rPr>
                <w:b/>
                <w:bCs/>
                <w:color w:val="auto"/>
                <w:lang w:eastAsia="ru-RU"/>
              </w:rPr>
              <w:t>%</w:t>
            </w:r>
          </w:p>
        </w:tc>
      </w:tr>
      <w:tr w:rsidR="001D28E5" w:rsidRPr="00C014DC" w14:paraId="1DEDD4EC" w14:textId="77777777" w:rsidTr="001D28E5">
        <w:trPr>
          <w:trHeight w:val="375"/>
        </w:trPr>
        <w:tc>
          <w:tcPr>
            <w:tcW w:w="2914" w:type="dxa"/>
            <w:tcBorders>
              <w:top w:val="nil"/>
              <w:left w:val="nil"/>
              <w:bottom w:val="single" w:sz="4" w:space="0" w:color="auto"/>
              <w:right w:val="nil"/>
            </w:tcBorders>
            <w:shd w:val="clear" w:color="000000" w:fill="FFFFFF"/>
            <w:vAlign w:val="bottom"/>
            <w:hideMark/>
          </w:tcPr>
          <w:p w14:paraId="125A99AB" w14:textId="77777777" w:rsidR="001D28E5" w:rsidRPr="00C014DC" w:rsidRDefault="001D28E5" w:rsidP="006B3DF7">
            <w:pPr>
              <w:widowControl/>
              <w:jc w:val="left"/>
              <w:rPr>
                <w:b/>
                <w:bCs/>
                <w:color w:val="FF0000"/>
                <w:sz w:val="24"/>
                <w:szCs w:val="24"/>
                <w:lang w:eastAsia="ru-RU"/>
              </w:rPr>
            </w:pPr>
            <w:r w:rsidRPr="00C014DC">
              <w:rPr>
                <w:b/>
                <w:bCs/>
                <w:color w:val="FF0000"/>
                <w:sz w:val="24"/>
                <w:szCs w:val="24"/>
                <w:lang w:eastAsia="ru-RU"/>
              </w:rPr>
              <w:t> </w:t>
            </w:r>
          </w:p>
        </w:tc>
        <w:tc>
          <w:tcPr>
            <w:tcW w:w="1765" w:type="dxa"/>
            <w:tcBorders>
              <w:top w:val="nil"/>
              <w:left w:val="nil"/>
              <w:bottom w:val="single" w:sz="4" w:space="0" w:color="auto"/>
              <w:right w:val="nil"/>
            </w:tcBorders>
            <w:shd w:val="clear" w:color="000000" w:fill="FFFFFF"/>
            <w:vAlign w:val="center"/>
            <w:hideMark/>
          </w:tcPr>
          <w:p w14:paraId="38C5F064" w14:textId="77469DC4" w:rsidR="001D28E5" w:rsidRPr="00C014DC" w:rsidRDefault="001D28E5" w:rsidP="00A95CD5">
            <w:pPr>
              <w:widowControl/>
              <w:jc w:val="center"/>
              <w:rPr>
                <w:b/>
                <w:bCs/>
                <w:color w:val="FF0000"/>
                <w:lang w:eastAsia="ru-RU"/>
              </w:rPr>
            </w:pPr>
          </w:p>
        </w:tc>
        <w:tc>
          <w:tcPr>
            <w:tcW w:w="1276" w:type="dxa"/>
            <w:tcBorders>
              <w:top w:val="nil"/>
              <w:left w:val="nil"/>
              <w:bottom w:val="single" w:sz="4" w:space="0" w:color="auto"/>
              <w:right w:val="nil"/>
            </w:tcBorders>
            <w:shd w:val="clear" w:color="000000" w:fill="FFFFFF"/>
            <w:noWrap/>
            <w:vAlign w:val="center"/>
            <w:hideMark/>
          </w:tcPr>
          <w:p w14:paraId="1CA3F9CE" w14:textId="6B1F68DA" w:rsidR="001D28E5" w:rsidRPr="00C014DC" w:rsidRDefault="001D28E5" w:rsidP="00A95CD5">
            <w:pPr>
              <w:widowControl/>
              <w:jc w:val="center"/>
              <w:rPr>
                <w:b/>
                <w:bCs/>
                <w:color w:val="FF0000"/>
                <w:lang w:eastAsia="ru-RU"/>
              </w:rPr>
            </w:pPr>
          </w:p>
        </w:tc>
        <w:tc>
          <w:tcPr>
            <w:tcW w:w="1387" w:type="dxa"/>
            <w:tcBorders>
              <w:top w:val="nil"/>
              <w:left w:val="nil"/>
              <w:bottom w:val="single" w:sz="4" w:space="0" w:color="auto"/>
              <w:right w:val="nil"/>
            </w:tcBorders>
            <w:shd w:val="clear" w:color="000000" w:fill="FFFFFF"/>
            <w:noWrap/>
            <w:vAlign w:val="bottom"/>
            <w:hideMark/>
          </w:tcPr>
          <w:p w14:paraId="59B326A1" w14:textId="2F066EC1" w:rsidR="001D28E5" w:rsidRPr="00C014DC" w:rsidRDefault="001D28E5" w:rsidP="00A95CD5">
            <w:pPr>
              <w:widowControl/>
              <w:jc w:val="center"/>
              <w:rPr>
                <w:color w:val="FF0000"/>
                <w:lang w:eastAsia="ru-RU"/>
              </w:rPr>
            </w:pPr>
          </w:p>
        </w:tc>
        <w:tc>
          <w:tcPr>
            <w:tcW w:w="1856" w:type="dxa"/>
            <w:tcBorders>
              <w:top w:val="nil"/>
              <w:left w:val="nil"/>
              <w:bottom w:val="single" w:sz="4" w:space="0" w:color="auto"/>
              <w:right w:val="nil"/>
            </w:tcBorders>
            <w:shd w:val="clear" w:color="000000" w:fill="FFFFFF"/>
            <w:noWrap/>
            <w:vAlign w:val="bottom"/>
            <w:hideMark/>
          </w:tcPr>
          <w:p w14:paraId="48DDE3AD" w14:textId="24D3A9D2" w:rsidR="001D28E5" w:rsidRPr="00C014DC" w:rsidRDefault="001D28E5" w:rsidP="00A95CD5">
            <w:pPr>
              <w:widowControl/>
              <w:jc w:val="center"/>
              <w:rPr>
                <w:color w:val="FF0000"/>
                <w:lang w:eastAsia="ru-RU"/>
              </w:rPr>
            </w:pPr>
          </w:p>
        </w:tc>
        <w:tc>
          <w:tcPr>
            <w:tcW w:w="1179" w:type="dxa"/>
            <w:tcBorders>
              <w:top w:val="nil"/>
              <w:left w:val="nil"/>
              <w:bottom w:val="single" w:sz="4" w:space="0" w:color="auto"/>
              <w:right w:val="nil"/>
            </w:tcBorders>
            <w:shd w:val="clear" w:color="000000" w:fill="FFFFFF"/>
            <w:noWrap/>
            <w:vAlign w:val="bottom"/>
            <w:hideMark/>
          </w:tcPr>
          <w:p w14:paraId="037440FD" w14:textId="6726B09B" w:rsidR="001D28E5" w:rsidRPr="00C014DC" w:rsidRDefault="001D28E5" w:rsidP="00A95CD5">
            <w:pPr>
              <w:widowControl/>
              <w:jc w:val="center"/>
              <w:rPr>
                <w:color w:val="FF0000"/>
                <w:lang w:eastAsia="ru-RU"/>
              </w:rPr>
            </w:pPr>
          </w:p>
        </w:tc>
      </w:tr>
      <w:tr w:rsidR="001D28E5" w:rsidRPr="00C014DC" w14:paraId="205C6F17" w14:textId="77777777" w:rsidTr="001D28E5">
        <w:trPr>
          <w:trHeight w:val="375"/>
        </w:trPr>
        <w:tc>
          <w:tcPr>
            <w:tcW w:w="2914" w:type="dxa"/>
            <w:tcBorders>
              <w:top w:val="single" w:sz="4" w:space="0" w:color="auto"/>
              <w:left w:val="single" w:sz="4" w:space="0" w:color="auto"/>
              <w:bottom w:val="single" w:sz="4" w:space="0" w:color="auto"/>
              <w:right w:val="single" w:sz="4" w:space="0" w:color="auto"/>
            </w:tcBorders>
            <w:shd w:val="clear" w:color="auto" w:fill="80D219" w:themeFill="accent3" w:themeFillShade="BF"/>
            <w:vAlign w:val="bottom"/>
            <w:hideMark/>
          </w:tcPr>
          <w:p w14:paraId="480E1F40" w14:textId="77777777" w:rsidR="001D28E5" w:rsidRPr="00493D61" w:rsidRDefault="001D28E5" w:rsidP="001836C3">
            <w:pPr>
              <w:widowControl/>
              <w:ind w:firstLine="0"/>
              <w:jc w:val="left"/>
              <w:rPr>
                <w:b/>
                <w:bCs/>
                <w:color w:val="auto"/>
                <w:lang w:eastAsia="ru-RU"/>
              </w:rPr>
            </w:pPr>
            <w:r w:rsidRPr="00493D61">
              <w:rPr>
                <w:b/>
                <w:bCs/>
                <w:color w:val="auto"/>
                <w:lang w:eastAsia="ru-RU"/>
              </w:rPr>
              <w:t>ВСЕГО РАСХОДОВ</w:t>
            </w:r>
          </w:p>
        </w:tc>
        <w:tc>
          <w:tcPr>
            <w:tcW w:w="1765" w:type="dxa"/>
            <w:tcBorders>
              <w:top w:val="single" w:sz="4" w:space="0" w:color="auto"/>
              <w:left w:val="single" w:sz="4" w:space="0" w:color="auto"/>
              <w:bottom w:val="single" w:sz="4" w:space="0" w:color="auto"/>
              <w:right w:val="single" w:sz="4" w:space="0" w:color="auto"/>
            </w:tcBorders>
            <w:shd w:val="clear" w:color="auto" w:fill="80D219" w:themeFill="accent3" w:themeFillShade="BF"/>
            <w:noWrap/>
            <w:vAlign w:val="center"/>
          </w:tcPr>
          <w:p w14:paraId="60D1B8F5" w14:textId="77777777" w:rsidR="001D28E5" w:rsidRPr="00493D61" w:rsidRDefault="001D28E5" w:rsidP="00A95CD5">
            <w:pPr>
              <w:widowControl/>
              <w:ind w:firstLine="0"/>
              <w:jc w:val="center"/>
              <w:rPr>
                <w:b/>
                <w:bCs/>
                <w:color w:val="auto"/>
                <w:lang w:eastAsia="ru-RU"/>
              </w:rPr>
            </w:pPr>
            <w:r w:rsidRPr="00493D61">
              <w:rPr>
                <w:b/>
                <w:bCs/>
                <w:color w:val="auto"/>
                <w:lang w:eastAsia="ru-RU"/>
              </w:rPr>
              <w:t>71 563,5</w:t>
            </w:r>
          </w:p>
        </w:tc>
        <w:tc>
          <w:tcPr>
            <w:tcW w:w="1276" w:type="dxa"/>
            <w:tcBorders>
              <w:top w:val="single" w:sz="4" w:space="0" w:color="auto"/>
              <w:left w:val="single" w:sz="4" w:space="0" w:color="auto"/>
              <w:bottom w:val="single" w:sz="4" w:space="0" w:color="auto"/>
              <w:right w:val="single" w:sz="4" w:space="0" w:color="auto"/>
            </w:tcBorders>
            <w:shd w:val="clear" w:color="auto" w:fill="80D219" w:themeFill="accent3" w:themeFillShade="BF"/>
            <w:noWrap/>
            <w:vAlign w:val="center"/>
          </w:tcPr>
          <w:p w14:paraId="68B17F9E" w14:textId="77777777" w:rsidR="001D28E5" w:rsidRPr="00493D61" w:rsidRDefault="001D28E5" w:rsidP="00A95CD5">
            <w:pPr>
              <w:widowControl/>
              <w:ind w:firstLine="0"/>
              <w:jc w:val="center"/>
              <w:rPr>
                <w:b/>
                <w:bCs/>
                <w:color w:val="auto"/>
                <w:lang w:eastAsia="ru-RU"/>
              </w:rPr>
            </w:pPr>
            <w:r w:rsidRPr="00493D61">
              <w:rPr>
                <w:b/>
                <w:bCs/>
                <w:color w:val="auto"/>
                <w:lang w:eastAsia="ru-RU"/>
              </w:rPr>
              <w:t>69 126,0</w:t>
            </w:r>
          </w:p>
        </w:tc>
        <w:tc>
          <w:tcPr>
            <w:tcW w:w="1387" w:type="dxa"/>
            <w:tcBorders>
              <w:top w:val="single" w:sz="4" w:space="0" w:color="auto"/>
              <w:left w:val="single" w:sz="4" w:space="0" w:color="auto"/>
              <w:bottom w:val="single" w:sz="4" w:space="0" w:color="auto"/>
              <w:right w:val="single" w:sz="4" w:space="0" w:color="auto"/>
            </w:tcBorders>
            <w:shd w:val="clear" w:color="auto" w:fill="80D219" w:themeFill="accent3" w:themeFillShade="BF"/>
            <w:noWrap/>
            <w:vAlign w:val="center"/>
          </w:tcPr>
          <w:p w14:paraId="7C79D0D2" w14:textId="77777777" w:rsidR="001D28E5" w:rsidRPr="00493D61" w:rsidRDefault="001D28E5" w:rsidP="00A95CD5">
            <w:pPr>
              <w:widowControl/>
              <w:ind w:firstLine="0"/>
              <w:jc w:val="center"/>
              <w:rPr>
                <w:b/>
                <w:bCs/>
                <w:color w:val="auto"/>
                <w:lang w:eastAsia="ru-RU"/>
              </w:rPr>
            </w:pPr>
            <w:r w:rsidRPr="00493D61">
              <w:rPr>
                <w:b/>
                <w:bCs/>
                <w:color w:val="auto"/>
                <w:lang w:eastAsia="ru-RU"/>
              </w:rPr>
              <w:t>96,6%</w:t>
            </w:r>
          </w:p>
        </w:tc>
        <w:tc>
          <w:tcPr>
            <w:tcW w:w="1856" w:type="dxa"/>
            <w:tcBorders>
              <w:top w:val="single" w:sz="4" w:space="0" w:color="auto"/>
              <w:left w:val="single" w:sz="4" w:space="0" w:color="auto"/>
              <w:bottom w:val="single" w:sz="4" w:space="0" w:color="auto"/>
              <w:right w:val="single" w:sz="4" w:space="0" w:color="auto"/>
            </w:tcBorders>
            <w:shd w:val="clear" w:color="auto" w:fill="80D219" w:themeFill="accent3" w:themeFillShade="BF"/>
            <w:noWrap/>
            <w:vAlign w:val="center"/>
          </w:tcPr>
          <w:p w14:paraId="684D153A" w14:textId="77777777" w:rsidR="001D28E5" w:rsidRPr="00C014DC" w:rsidRDefault="001D28E5" w:rsidP="00A95CD5">
            <w:pPr>
              <w:widowControl/>
              <w:ind w:firstLine="0"/>
              <w:jc w:val="center"/>
              <w:rPr>
                <w:b/>
                <w:bCs/>
                <w:color w:val="FF0000"/>
                <w:lang w:eastAsia="ru-RU"/>
              </w:rPr>
            </w:pPr>
            <w:r w:rsidRPr="00AD623A">
              <w:rPr>
                <w:b/>
                <w:bCs/>
                <w:color w:val="auto"/>
                <w:lang w:eastAsia="ru-RU"/>
              </w:rPr>
              <w:t>5 939,5</w:t>
            </w:r>
          </w:p>
        </w:tc>
        <w:tc>
          <w:tcPr>
            <w:tcW w:w="1179" w:type="dxa"/>
            <w:tcBorders>
              <w:top w:val="single" w:sz="4" w:space="0" w:color="auto"/>
              <w:left w:val="single" w:sz="4" w:space="0" w:color="auto"/>
              <w:bottom w:val="single" w:sz="4" w:space="0" w:color="auto"/>
              <w:right w:val="single" w:sz="4" w:space="0" w:color="auto"/>
            </w:tcBorders>
            <w:shd w:val="clear" w:color="auto" w:fill="80D219" w:themeFill="accent3" w:themeFillShade="BF"/>
            <w:noWrap/>
            <w:vAlign w:val="center"/>
          </w:tcPr>
          <w:p w14:paraId="70344588" w14:textId="77777777" w:rsidR="001D28E5" w:rsidRPr="00C014DC" w:rsidRDefault="001D28E5" w:rsidP="00A95CD5">
            <w:pPr>
              <w:widowControl/>
              <w:ind w:firstLine="0"/>
              <w:jc w:val="center"/>
              <w:rPr>
                <w:b/>
                <w:bCs/>
                <w:color w:val="FF0000"/>
                <w:lang w:eastAsia="ru-RU"/>
              </w:rPr>
            </w:pPr>
            <w:r w:rsidRPr="00BD377C">
              <w:rPr>
                <w:b/>
                <w:bCs/>
                <w:color w:val="auto"/>
                <w:lang w:eastAsia="ru-RU"/>
              </w:rPr>
              <w:t>109,4%</w:t>
            </w:r>
          </w:p>
        </w:tc>
      </w:tr>
      <w:tr w:rsidR="001D28E5" w:rsidRPr="00C014DC" w14:paraId="0B02F8F8" w14:textId="77777777" w:rsidTr="001D28E5">
        <w:trPr>
          <w:trHeight w:val="1035"/>
        </w:trPr>
        <w:tc>
          <w:tcPr>
            <w:tcW w:w="29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1E826D" w14:textId="1CDE34C1" w:rsidR="001D28E5" w:rsidRPr="00091BEF" w:rsidRDefault="001D28E5" w:rsidP="001836C3">
            <w:pPr>
              <w:widowControl/>
              <w:ind w:firstLine="0"/>
              <w:jc w:val="left"/>
              <w:rPr>
                <w:b/>
                <w:bCs/>
                <w:color w:val="auto"/>
                <w:lang w:eastAsia="ru-RU"/>
              </w:rPr>
            </w:pPr>
            <w:r w:rsidRPr="00091BEF">
              <w:rPr>
                <w:b/>
                <w:bCs/>
                <w:color w:val="auto"/>
                <w:lang w:eastAsia="ru-RU"/>
              </w:rPr>
              <w:t xml:space="preserve">Результат исполнения бюджета (дефицит </w:t>
            </w:r>
            <w:r w:rsidR="006B3DF7">
              <w:rPr>
                <w:b/>
                <w:bCs/>
                <w:color w:val="auto"/>
                <w:lang w:eastAsia="ru-RU"/>
              </w:rPr>
              <w:t>«</w:t>
            </w:r>
            <w:r w:rsidRPr="00091BEF">
              <w:rPr>
                <w:b/>
                <w:bCs/>
                <w:color w:val="auto"/>
                <w:lang w:eastAsia="ru-RU"/>
              </w:rPr>
              <w:t>-</w:t>
            </w:r>
            <w:r w:rsidR="006B3DF7">
              <w:rPr>
                <w:b/>
                <w:bCs/>
                <w:color w:val="auto"/>
                <w:lang w:eastAsia="ru-RU"/>
              </w:rPr>
              <w:t>»</w:t>
            </w:r>
            <w:r w:rsidRPr="00091BEF">
              <w:rPr>
                <w:b/>
                <w:bCs/>
                <w:color w:val="auto"/>
                <w:lang w:eastAsia="ru-RU"/>
              </w:rPr>
              <w:t xml:space="preserve">, профицит </w:t>
            </w:r>
            <w:r w:rsidR="006B3DF7">
              <w:rPr>
                <w:b/>
                <w:bCs/>
                <w:color w:val="auto"/>
                <w:lang w:eastAsia="ru-RU"/>
              </w:rPr>
              <w:t>«</w:t>
            </w:r>
            <w:r w:rsidRPr="00091BEF">
              <w:rPr>
                <w:b/>
                <w:bCs/>
                <w:color w:val="auto"/>
                <w:lang w:eastAsia="ru-RU"/>
              </w:rPr>
              <w:t>+</w:t>
            </w:r>
            <w:r w:rsidR="006B3DF7">
              <w:rPr>
                <w:b/>
                <w:bCs/>
                <w:color w:val="auto"/>
                <w:lang w:eastAsia="ru-RU"/>
              </w:rPr>
              <w:t>»</w:t>
            </w:r>
            <w:r w:rsidRPr="00091BEF">
              <w:rPr>
                <w:b/>
                <w:bCs/>
                <w:color w:val="auto"/>
                <w:lang w:eastAsia="ru-RU"/>
              </w:rPr>
              <w:t>)</w:t>
            </w:r>
          </w:p>
        </w:tc>
        <w:tc>
          <w:tcPr>
            <w:tcW w:w="1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7E447F" w14:textId="77777777" w:rsidR="001D28E5" w:rsidRPr="00091BEF" w:rsidRDefault="001D28E5" w:rsidP="00A95CD5">
            <w:pPr>
              <w:widowControl/>
              <w:ind w:firstLine="0"/>
              <w:jc w:val="center"/>
              <w:rPr>
                <w:b/>
                <w:bCs/>
                <w:color w:val="auto"/>
                <w:lang w:eastAsia="ru-RU"/>
              </w:rPr>
            </w:pPr>
            <w:r w:rsidRPr="00091BEF">
              <w:rPr>
                <w:b/>
                <w:bCs/>
                <w:color w:val="auto"/>
                <w:lang w:eastAsia="ru-RU"/>
              </w:rPr>
              <w:t>-4</w:t>
            </w:r>
            <w:r>
              <w:rPr>
                <w:b/>
                <w:bCs/>
                <w:color w:val="auto"/>
                <w:lang w:eastAsia="ru-RU"/>
              </w:rPr>
              <w:t> 696,8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169F1E" w14:textId="77777777" w:rsidR="001D28E5" w:rsidRPr="00091BEF" w:rsidRDefault="001D28E5" w:rsidP="00A95CD5">
            <w:pPr>
              <w:widowControl/>
              <w:ind w:firstLine="0"/>
              <w:jc w:val="center"/>
              <w:rPr>
                <w:b/>
                <w:bCs/>
                <w:color w:val="auto"/>
                <w:lang w:eastAsia="ru-RU"/>
              </w:rPr>
            </w:pPr>
            <w:r w:rsidRPr="00091BEF">
              <w:rPr>
                <w:b/>
                <w:bCs/>
                <w:color w:val="auto"/>
                <w:lang w:eastAsia="ru-RU"/>
              </w:rPr>
              <w:t>-1 987,2</w:t>
            </w: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319B7" w14:textId="525229E9" w:rsidR="001D28E5" w:rsidRPr="00C014DC" w:rsidRDefault="001D28E5" w:rsidP="00A95CD5">
            <w:pPr>
              <w:widowControl/>
              <w:jc w:val="center"/>
              <w:rPr>
                <w:b/>
                <w:bCs/>
                <w:color w:val="FF0000"/>
                <w:lang w:eastAsia="ru-RU"/>
              </w:rPr>
            </w:pPr>
          </w:p>
        </w:tc>
        <w:tc>
          <w:tcPr>
            <w:tcW w:w="1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E56D2" w14:textId="351EB64C" w:rsidR="001D28E5" w:rsidRPr="00C014DC" w:rsidRDefault="001D28E5" w:rsidP="00A95CD5">
            <w:pPr>
              <w:widowControl/>
              <w:jc w:val="center"/>
              <w:rPr>
                <w:b/>
                <w:bCs/>
                <w:color w:val="FF0000"/>
                <w:lang w:eastAsia="ru-RU"/>
              </w:rPr>
            </w:pPr>
          </w:p>
        </w:tc>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5B239" w14:textId="7644559A" w:rsidR="001D28E5" w:rsidRPr="00C014DC" w:rsidRDefault="001D28E5" w:rsidP="00A95CD5">
            <w:pPr>
              <w:widowControl/>
              <w:jc w:val="center"/>
              <w:rPr>
                <w:b/>
                <w:bCs/>
                <w:color w:val="FF0000"/>
                <w:lang w:eastAsia="ru-RU"/>
              </w:rPr>
            </w:pPr>
          </w:p>
        </w:tc>
      </w:tr>
      <w:tr w:rsidR="001D28E5" w:rsidRPr="00C014DC" w14:paraId="730B0909" w14:textId="77777777" w:rsidTr="001D28E5">
        <w:trPr>
          <w:trHeight w:val="375"/>
        </w:trPr>
        <w:tc>
          <w:tcPr>
            <w:tcW w:w="2914" w:type="dxa"/>
            <w:tcBorders>
              <w:top w:val="single" w:sz="4" w:space="0" w:color="auto"/>
              <w:left w:val="nil"/>
              <w:bottom w:val="nil"/>
              <w:right w:val="nil"/>
            </w:tcBorders>
            <w:shd w:val="clear" w:color="000000" w:fill="FFFFFF"/>
            <w:vAlign w:val="bottom"/>
            <w:hideMark/>
          </w:tcPr>
          <w:p w14:paraId="0C1607C8" w14:textId="77777777" w:rsidR="001D28E5" w:rsidRPr="00C014DC" w:rsidRDefault="001D28E5" w:rsidP="006B3DF7">
            <w:pPr>
              <w:widowControl/>
              <w:jc w:val="left"/>
              <w:rPr>
                <w:i/>
                <w:iCs/>
                <w:color w:val="FF0000"/>
                <w:sz w:val="24"/>
                <w:szCs w:val="24"/>
                <w:lang w:eastAsia="ru-RU"/>
              </w:rPr>
            </w:pPr>
            <w:r w:rsidRPr="00C014DC">
              <w:rPr>
                <w:i/>
                <w:iCs/>
                <w:color w:val="FF0000"/>
                <w:sz w:val="24"/>
                <w:szCs w:val="24"/>
                <w:lang w:eastAsia="ru-RU"/>
              </w:rPr>
              <w:t> </w:t>
            </w:r>
          </w:p>
        </w:tc>
        <w:tc>
          <w:tcPr>
            <w:tcW w:w="1765" w:type="dxa"/>
            <w:tcBorders>
              <w:top w:val="single" w:sz="4" w:space="0" w:color="auto"/>
              <w:left w:val="nil"/>
              <w:bottom w:val="nil"/>
              <w:right w:val="nil"/>
            </w:tcBorders>
            <w:shd w:val="clear" w:color="000000" w:fill="FFFFFF"/>
            <w:vAlign w:val="center"/>
            <w:hideMark/>
          </w:tcPr>
          <w:p w14:paraId="44353449" w14:textId="3694E68A" w:rsidR="001D28E5" w:rsidRPr="00C014DC" w:rsidRDefault="001D28E5" w:rsidP="00A95CD5">
            <w:pPr>
              <w:widowControl/>
              <w:jc w:val="center"/>
              <w:rPr>
                <w:i/>
                <w:iCs/>
                <w:color w:val="FF0000"/>
                <w:lang w:eastAsia="ru-RU"/>
              </w:rPr>
            </w:pPr>
          </w:p>
        </w:tc>
        <w:tc>
          <w:tcPr>
            <w:tcW w:w="1276" w:type="dxa"/>
            <w:tcBorders>
              <w:top w:val="single" w:sz="4" w:space="0" w:color="auto"/>
              <w:left w:val="nil"/>
              <w:bottom w:val="nil"/>
              <w:right w:val="nil"/>
            </w:tcBorders>
            <w:shd w:val="clear" w:color="000000" w:fill="FFFFFF"/>
            <w:vAlign w:val="center"/>
            <w:hideMark/>
          </w:tcPr>
          <w:p w14:paraId="4823A9F0" w14:textId="095CFDB3" w:rsidR="001D28E5" w:rsidRPr="00C014DC" w:rsidRDefault="001D28E5" w:rsidP="00A95CD5">
            <w:pPr>
              <w:widowControl/>
              <w:jc w:val="center"/>
              <w:rPr>
                <w:i/>
                <w:iCs/>
                <w:color w:val="FF0000"/>
                <w:lang w:eastAsia="ru-RU"/>
              </w:rPr>
            </w:pPr>
          </w:p>
        </w:tc>
        <w:tc>
          <w:tcPr>
            <w:tcW w:w="1387" w:type="dxa"/>
            <w:tcBorders>
              <w:top w:val="single" w:sz="4" w:space="0" w:color="auto"/>
              <w:left w:val="nil"/>
              <w:bottom w:val="nil"/>
              <w:right w:val="nil"/>
            </w:tcBorders>
            <w:shd w:val="clear" w:color="000000" w:fill="FFFFFF"/>
            <w:vAlign w:val="bottom"/>
            <w:hideMark/>
          </w:tcPr>
          <w:p w14:paraId="1B3B38BA" w14:textId="4F7D6D08" w:rsidR="001D28E5" w:rsidRPr="00C014DC" w:rsidRDefault="001D28E5" w:rsidP="00A95CD5">
            <w:pPr>
              <w:widowControl/>
              <w:jc w:val="center"/>
              <w:rPr>
                <w:i/>
                <w:iCs/>
                <w:color w:val="FF0000"/>
                <w:lang w:eastAsia="ru-RU"/>
              </w:rPr>
            </w:pPr>
          </w:p>
        </w:tc>
        <w:tc>
          <w:tcPr>
            <w:tcW w:w="1856" w:type="dxa"/>
            <w:tcBorders>
              <w:top w:val="single" w:sz="4" w:space="0" w:color="auto"/>
              <w:left w:val="nil"/>
              <w:bottom w:val="nil"/>
              <w:right w:val="nil"/>
            </w:tcBorders>
            <w:shd w:val="clear" w:color="000000" w:fill="FFFFFF"/>
            <w:vAlign w:val="bottom"/>
            <w:hideMark/>
          </w:tcPr>
          <w:p w14:paraId="49FBF78F" w14:textId="19CC9DCE" w:rsidR="001D28E5" w:rsidRPr="00C014DC" w:rsidRDefault="001D28E5" w:rsidP="00A95CD5">
            <w:pPr>
              <w:widowControl/>
              <w:jc w:val="center"/>
              <w:rPr>
                <w:i/>
                <w:iCs/>
                <w:color w:val="FF0000"/>
                <w:lang w:eastAsia="ru-RU"/>
              </w:rPr>
            </w:pPr>
          </w:p>
        </w:tc>
        <w:tc>
          <w:tcPr>
            <w:tcW w:w="1179" w:type="dxa"/>
            <w:tcBorders>
              <w:top w:val="single" w:sz="4" w:space="0" w:color="auto"/>
              <w:left w:val="nil"/>
              <w:bottom w:val="nil"/>
              <w:right w:val="nil"/>
            </w:tcBorders>
            <w:shd w:val="clear" w:color="000000" w:fill="FFFFFF"/>
            <w:vAlign w:val="bottom"/>
            <w:hideMark/>
          </w:tcPr>
          <w:p w14:paraId="6255076F" w14:textId="59CEAFC4" w:rsidR="001D28E5" w:rsidRPr="00C014DC" w:rsidRDefault="001D28E5" w:rsidP="00A95CD5">
            <w:pPr>
              <w:widowControl/>
              <w:jc w:val="center"/>
              <w:rPr>
                <w:i/>
                <w:iCs/>
                <w:color w:val="FF0000"/>
                <w:lang w:eastAsia="ru-RU"/>
              </w:rPr>
            </w:pPr>
          </w:p>
        </w:tc>
      </w:tr>
      <w:tr w:rsidR="001D28E5" w:rsidRPr="00C014DC" w14:paraId="1CFBDFD6" w14:textId="77777777" w:rsidTr="001D28E5">
        <w:trPr>
          <w:trHeight w:val="589"/>
        </w:trPr>
        <w:tc>
          <w:tcPr>
            <w:tcW w:w="29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684B3" w14:textId="77777777" w:rsidR="001D28E5" w:rsidRPr="00DE7F5E" w:rsidRDefault="001D28E5" w:rsidP="001836C3">
            <w:pPr>
              <w:widowControl/>
              <w:ind w:firstLine="0"/>
              <w:jc w:val="left"/>
              <w:rPr>
                <w:b/>
                <w:bCs/>
                <w:color w:val="auto"/>
                <w:lang w:eastAsia="ru-RU"/>
              </w:rPr>
            </w:pPr>
            <w:r w:rsidRPr="00DE7F5E">
              <w:rPr>
                <w:b/>
                <w:bCs/>
                <w:color w:val="auto"/>
                <w:lang w:eastAsia="ru-RU"/>
              </w:rPr>
              <w:t>Государственный долг субъекта РФ</w:t>
            </w:r>
          </w:p>
        </w:tc>
        <w:tc>
          <w:tcPr>
            <w:tcW w:w="1765" w:type="dxa"/>
            <w:tcBorders>
              <w:top w:val="single" w:sz="4" w:space="0" w:color="auto"/>
              <w:left w:val="nil"/>
              <w:bottom w:val="single" w:sz="4" w:space="0" w:color="auto"/>
              <w:right w:val="single" w:sz="4" w:space="0" w:color="auto"/>
            </w:tcBorders>
            <w:shd w:val="clear" w:color="000000" w:fill="FFFFFF"/>
            <w:noWrap/>
            <w:vAlign w:val="center"/>
            <w:hideMark/>
          </w:tcPr>
          <w:p w14:paraId="3CFD8631" w14:textId="6939DA6D" w:rsidR="001D28E5" w:rsidRPr="00DE7F5E" w:rsidRDefault="001D28E5" w:rsidP="00A95CD5">
            <w:pPr>
              <w:widowControl/>
              <w:jc w:val="center"/>
              <w:rPr>
                <w:b/>
                <w:bCs/>
                <w:color w:val="auto"/>
                <w:lang w:eastAsia="ru-RU"/>
              </w:rPr>
            </w:pP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511E45C" w14:textId="77777777" w:rsidR="001D28E5" w:rsidRPr="00DE7F5E" w:rsidRDefault="001D28E5" w:rsidP="00A95CD5">
            <w:pPr>
              <w:widowControl/>
              <w:ind w:firstLine="0"/>
              <w:jc w:val="center"/>
              <w:rPr>
                <w:b/>
                <w:bCs/>
                <w:color w:val="auto"/>
                <w:lang w:eastAsia="ru-RU"/>
              </w:rPr>
            </w:pPr>
            <w:r w:rsidRPr="00DE7F5E">
              <w:rPr>
                <w:b/>
                <w:bCs/>
                <w:color w:val="auto"/>
                <w:lang w:eastAsia="ru-RU"/>
              </w:rPr>
              <w:t>5 213,8</w:t>
            </w:r>
          </w:p>
        </w:tc>
        <w:tc>
          <w:tcPr>
            <w:tcW w:w="1387" w:type="dxa"/>
            <w:tcBorders>
              <w:top w:val="nil"/>
              <w:left w:val="nil"/>
              <w:bottom w:val="nil"/>
              <w:right w:val="nil"/>
            </w:tcBorders>
            <w:shd w:val="clear" w:color="000000" w:fill="FFFFFF"/>
            <w:noWrap/>
            <w:vAlign w:val="bottom"/>
            <w:hideMark/>
          </w:tcPr>
          <w:p w14:paraId="7A728019" w14:textId="6B7D7AD6" w:rsidR="001D28E5" w:rsidRPr="00C014DC" w:rsidRDefault="001D28E5" w:rsidP="00A95CD5">
            <w:pPr>
              <w:widowControl/>
              <w:jc w:val="center"/>
              <w:rPr>
                <w:color w:val="FF0000"/>
                <w:lang w:eastAsia="ru-RU"/>
              </w:rPr>
            </w:pPr>
          </w:p>
        </w:tc>
        <w:tc>
          <w:tcPr>
            <w:tcW w:w="1856" w:type="dxa"/>
            <w:tcBorders>
              <w:top w:val="nil"/>
              <w:left w:val="nil"/>
              <w:bottom w:val="nil"/>
              <w:right w:val="nil"/>
            </w:tcBorders>
            <w:shd w:val="clear" w:color="000000" w:fill="FFFFFF"/>
            <w:noWrap/>
            <w:vAlign w:val="bottom"/>
            <w:hideMark/>
          </w:tcPr>
          <w:p w14:paraId="15A947C1" w14:textId="47DE4B85" w:rsidR="001D28E5" w:rsidRPr="00C014DC" w:rsidRDefault="001D28E5" w:rsidP="00A95CD5">
            <w:pPr>
              <w:widowControl/>
              <w:jc w:val="center"/>
              <w:rPr>
                <w:color w:val="FF0000"/>
                <w:lang w:eastAsia="ru-RU"/>
              </w:rPr>
            </w:pPr>
          </w:p>
        </w:tc>
        <w:tc>
          <w:tcPr>
            <w:tcW w:w="1179" w:type="dxa"/>
            <w:tcBorders>
              <w:top w:val="nil"/>
              <w:left w:val="nil"/>
              <w:bottom w:val="nil"/>
              <w:right w:val="nil"/>
            </w:tcBorders>
            <w:shd w:val="clear" w:color="000000" w:fill="FFFFFF"/>
            <w:noWrap/>
            <w:vAlign w:val="bottom"/>
            <w:hideMark/>
          </w:tcPr>
          <w:p w14:paraId="1A327695" w14:textId="3603F6D2" w:rsidR="001D28E5" w:rsidRPr="00C014DC" w:rsidRDefault="001D28E5" w:rsidP="00A95CD5">
            <w:pPr>
              <w:widowControl/>
              <w:jc w:val="center"/>
              <w:rPr>
                <w:color w:val="FF0000"/>
                <w:lang w:eastAsia="ru-RU"/>
              </w:rPr>
            </w:pPr>
          </w:p>
        </w:tc>
      </w:tr>
    </w:tbl>
    <w:p w14:paraId="6D849558" w14:textId="77777777" w:rsidR="005043B2" w:rsidRPr="00C014DC" w:rsidRDefault="005043B2" w:rsidP="006B3DF7">
      <w:pPr>
        <w:jc w:val="right"/>
        <w:rPr>
          <w:i/>
          <w:iCs/>
          <w:color w:val="FF0000"/>
          <w:sz w:val="24"/>
          <w:szCs w:val="24"/>
        </w:rPr>
      </w:pPr>
    </w:p>
    <w:p w14:paraId="5C55EA41" w14:textId="77777777" w:rsidR="00D04A66" w:rsidRPr="00790A72" w:rsidRDefault="00F811F4" w:rsidP="006B3DF7">
      <w:pPr>
        <w:jc w:val="center"/>
        <w:rPr>
          <w:b/>
          <w:bCs/>
        </w:rPr>
      </w:pPr>
      <w:bookmarkStart w:id="64" w:name="_Toc482701242"/>
      <w:r w:rsidRPr="00790A72">
        <w:rPr>
          <w:b/>
          <w:bCs/>
        </w:rPr>
        <w:t>ИСПОЛНЕНИЕ ПО ДОХОДАМ</w:t>
      </w:r>
      <w:bookmarkEnd w:id="64"/>
    </w:p>
    <w:p w14:paraId="54D6308E" w14:textId="77777777" w:rsidR="00F811F4" w:rsidRPr="00C014DC" w:rsidRDefault="00F811F4" w:rsidP="006B3DF7">
      <w:pPr>
        <w:rPr>
          <w:color w:val="FF0000"/>
        </w:rPr>
      </w:pPr>
    </w:p>
    <w:p w14:paraId="7F3D8CF4" w14:textId="5BC45493" w:rsidR="00790A72" w:rsidRPr="00790A72" w:rsidRDefault="00790A72" w:rsidP="006B3DF7">
      <w:pPr>
        <w:rPr>
          <w:rFonts w:eastAsia="Calibri"/>
          <w:color w:val="auto"/>
        </w:rPr>
      </w:pPr>
      <w:r w:rsidRPr="00790A72">
        <w:rPr>
          <w:b/>
          <w:color w:val="auto"/>
        </w:rPr>
        <w:t xml:space="preserve">ДОХОДЫ </w:t>
      </w:r>
      <w:r w:rsidRPr="00790A72">
        <w:rPr>
          <w:color w:val="auto"/>
        </w:rPr>
        <w:t>республиканского бюджета исполнены в объеме 66 866,7 млн рублей или 100,4 % от годовых плановых назначений. Налоговые и неналоговые доходы республиканского бюджета к уровню 2024 года возросли на 3 141,3 млн рублей, или на 14,9</w:t>
      </w:r>
      <w:r w:rsidR="00A95CD5">
        <w:rPr>
          <w:color w:val="auto"/>
        </w:rPr>
        <w:t xml:space="preserve"> </w:t>
      </w:r>
      <w:r w:rsidRPr="00790A72">
        <w:rPr>
          <w:color w:val="auto"/>
        </w:rPr>
        <w:t xml:space="preserve">%, а их доля в общей сумме доходов возросла </w:t>
      </w:r>
      <w:r w:rsidRPr="00790A72">
        <w:rPr>
          <w:rFonts w:eastAsia="Calibri"/>
          <w:color w:val="auto"/>
        </w:rPr>
        <w:t xml:space="preserve">с 33,8% в 2024 году до 36,1% </w:t>
      </w:r>
      <w:r w:rsidR="00A95CD5">
        <w:rPr>
          <w:rFonts w:eastAsia="Calibri"/>
          <w:color w:val="auto"/>
        </w:rPr>
        <w:br/>
      </w:r>
      <w:r w:rsidRPr="00790A72">
        <w:rPr>
          <w:rFonts w:eastAsia="Calibri"/>
          <w:color w:val="auto"/>
        </w:rPr>
        <w:t>в 2025 году.</w:t>
      </w:r>
    </w:p>
    <w:p w14:paraId="77556246" w14:textId="77777777" w:rsidR="00790A72" w:rsidRPr="00790A72" w:rsidRDefault="00790A72" w:rsidP="006B3DF7">
      <w:pPr>
        <w:rPr>
          <w:color w:val="auto"/>
        </w:rPr>
      </w:pPr>
      <w:r w:rsidRPr="00790A72">
        <w:rPr>
          <w:rFonts w:eastAsia="Calibri"/>
          <w:color w:val="auto"/>
        </w:rPr>
        <w:t>В общей сумме доходов республиканского бюджета удельный вес налоговых доходов составил 29,1 %, или 19 557,0 млн рублей, неналоговых доходов – 7,0 %, или 4 701,3 млн рублей, безвозмездных поступлений – 63,9 %, или 42 880,6 млн рублей.</w:t>
      </w:r>
    </w:p>
    <w:p w14:paraId="21A81E87" w14:textId="77777777" w:rsidR="00790A72" w:rsidRPr="00790A72" w:rsidRDefault="00790A72" w:rsidP="006B3DF7">
      <w:pPr>
        <w:rPr>
          <w:color w:val="auto"/>
        </w:rPr>
      </w:pPr>
      <w:r w:rsidRPr="00790A72">
        <w:rPr>
          <w:color w:val="auto"/>
        </w:rPr>
        <w:t xml:space="preserve">Поступление налоговых доходов республиканского бюджета за 2025 год больше объемов поступлений за 2024 год на 3 141,3 млн рублей (114,9 %). </w:t>
      </w:r>
      <w:r w:rsidRPr="00790A72">
        <w:rPr>
          <w:rFonts w:eastAsia="Calibri"/>
          <w:color w:val="auto"/>
        </w:rPr>
        <w:t xml:space="preserve">В 2025 году поступление </w:t>
      </w:r>
      <w:r w:rsidRPr="00790A72">
        <w:rPr>
          <w:rFonts w:eastAsia="Calibri"/>
          <w:b/>
          <w:i/>
          <w:color w:val="auto"/>
        </w:rPr>
        <w:t>налоговых доходов</w:t>
      </w:r>
      <w:r w:rsidRPr="00790A72">
        <w:rPr>
          <w:rFonts w:eastAsia="Calibri"/>
          <w:color w:val="auto"/>
        </w:rPr>
        <w:t xml:space="preserve"> республиканского бюджета обеспечено за счет следующих источников: </w:t>
      </w:r>
    </w:p>
    <w:p w14:paraId="49A7E7B3" w14:textId="77777777" w:rsidR="00790A72" w:rsidRPr="00790A72" w:rsidRDefault="00790A72" w:rsidP="006B3DF7">
      <w:pPr>
        <w:widowControl/>
        <w:numPr>
          <w:ilvl w:val="0"/>
          <w:numId w:val="9"/>
        </w:numPr>
        <w:ind w:left="0" w:firstLine="709"/>
        <w:contextualSpacing/>
        <w:rPr>
          <w:rFonts w:eastAsia="Calibri"/>
          <w:color w:val="auto"/>
        </w:rPr>
      </w:pPr>
      <w:r w:rsidRPr="00790A72">
        <w:rPr>
          <w:color w:val="auto"/>
        </w:rPr>
        <w:t>налог на прибыль организаций – 3 641,8 млн рублей;</w:t>
      </w:r>
    </w:p>
    <w:p w14:paraId="4970A2E1" w14:textId="77777777" w:rsidR="00790A72" w:rsidRPr="00790A72" w:rsidRDefault="00790A72" w:rsidP="006B3DF7">
      <w:pPr>
        <w:widowControl/>
        <w:numPr>
          <w:ilvl w:val="0"/>
          <w:numId w:val="9"/>
        </w:numPr>
        <w:ind w:left="0" w:firstLine="709"/>
        <w:contextualSpacing/>
        <w:rPr>
          <w:rFonts w:eastAsia="Calibri"/>
          <w:color w:val="auto"/>
        </w:rPr>
      </w:pPr>
      <w:r w:rsidRPr="00790A72">
        <w:rPr>
          <w:color w:val="auto"/>
        </w:rPr>
        <w:t>акцизы – 4 684,9 млн рублей;</w:t>
      </w:r>
    </w:p>
    <w:p w14:paraId="01257E50" w14:textId="47884AE5" w:rsidR="00790A72" w:rsidRPr="00790A72" w:rsidRDefault="00790A72" w:rsidP="006B3DF7">
      <w:pPr>
        <w:widowControl/>
        <w:numPr>
          <w:ilvl w:val="0"/>
          <w:numId w:val="9"/>
        </w:numPr>
        <w:ind w:left="0" w:firstLine="709"/>
        <w:contextualSpacing/>
        <w:rPr>
          <w:rFonts w:eastAsia="Calibri"/>
          <w:color w:val="auto"/>
        </w:rPr>
      </w:pPr>
      <w:r w:rsidRPr="00790A72">
        <w:rPr>
          <w:color w:val="auto"/>
        </w:rPr>
        <w:t>налог на доходы физических лиц – 6 497,7</w:t>
      </w:r>
      <w:r>
        <w:rPr>
          <w:color w:val="auto"/>
        </w:rPr>
        <w:t xml:space="preserve"> </w:t>
      </w:r>
      <w:r w:rsidRPr="00790A72">
        <w:rPr>
          <w:color w:val="auto"/>
        </w:rPr>
        <w:t>млн рублей;</w:t>
      </w:r>
    </w:p>
    <w:p w14:paraId="166B7E1C" w14:textId="235FAE53" w:rsidR="00790A72" w:rsidRPr="00790A72" w:rsidRDefault="00790A72" w:rsidP="006B3DF7">
      <w:pPr>
        <w:widowControl/>
        <w:numPr>
          <w:ilvl w:val="0"/>
          <w:numId w:val="9"/>
        </w:numPr>
        <w:ind w:left="0" w:firstLine="709"/>
        <w:contextualSpacing/>
        <w:rPr>
          <w:rFonts w:eastAsia="Calibri"/>
          <w:color w:val="auto"/>
        </w:rPr>
      </w:pPr>
      <w:r w:rsidRPr="00790A72">
        <w:rPr>
          <w:color w:val="auto"/>
        </w:rPr>
        <w:t>налоги на совокупный доход – 2 349,7</w:t>
      </w:r>
      <w:r>
        <w:rPr>
          <w:color w:val="auto"/>
        </w:rPr>
        <w:t xml:space="preserve"> </w:t>
      </w:r>
      <w:r w:rsidRPr="00790A72">
        <w:rPr>
          <w:color w:val="auto"/>
        </w:rPr>
        <w:t>млн рублей;</w:t>
      </w:r>
    </w:p>
    <w:p w14:paraId="34D1B0BF" w14:textId="63446BBF" w:rsidR="00790A72" w:rsidRPr="00790A72" w:rsidRDefault="00790A72" w:rsidP="006B3DF7">
      <w:pPr>
        <w:widowControl/>
        <w:numPr>
          <w:ilvl w:val="0"/>
          <w:numId w:val="9"/>
        </w:numPr>
        <w:ind w:left="0" w:firstLine="709"/>
        <w:contextualSpacing/>
        <w:rPr>
          <w:rFonts w:eastAsia="Calibri"/>
          <w:color w:val="auto"/>
        </w:rPr>
      </w:pPr>
      <w:r w:rsidRPr="00790A72">
        <w:rPr>
          <w:color w:val="auto"/>
        </w:rPr>
        <w:t>налоги на имущество – 2 261,8</w:t>
      </w:r>
      <w:r>
        <w:rPr>
          <w:color w:val="auto"/>
        </w:rPr>
        <w:t xml:space="preserve"> </w:t>
      </w:r>
      <w:r w:rsidRPr="00790A72">
        <w:rPr>
          <w:color w:val="auto"/>
        </w:rPr>
        <w:t>млн рублей;</w:t>
      </w:r>
    </w:p>
    <w:p w14:paraId="6B7653AE" w14:textId="77777777" w:rsidR="00790A72" w:rsidRPr="00790A72" w:rsidRDefault="00790A72" w:rsidP="006B3DF7">
      <w:pPr>
        <w:widowControl/>
        <w:numPr>
          <w:ilvl w:val="0"/>
          <w:numId w:val="9"/>
        </w:numPr>
        <w:ind w:left="0" w:firstLine="709"/>
        <w:contextualSpacing/>
        <w:rPr>
          <w:rFonts w:eastAsia="Calibri"/>
          <w:color w:val="auto"/>
        </w:rPr>
      </w:pPr>
      <w:r w:rsidRPr="00790A72">
        <w:rPr>
          <w:color w:val="auto"/>
        </w:rPr>
        <w:t>государственная пошлина – 98,4 млн рублей;</w:t>
      </w:r>
    </w:p>
    <w:p w14:paraId="35753CED" w14:textId="22A7A247" w:rsidR="00790A72" w:rsidRPr="00840C6F" w:rsidRDefault="00790A72" w:rsidP="006B3DF7">
      <w:pPr>
        <w:widowControl/>
        <w:numPr>
          <w:ilvl w:val="0"/>
          <w:numId w:val="9"/>
        </w:numPr>
        <w:ind w:left="0" w:firstLine="709"/>
        <w:contextualSpacing/>
        <w:rPr>
          <w:rFonts w:eastAsia="Calibri"/>
          <w:color w:val="auto"/>
        </w:rPr>
      </w:pPr>
      <w:r w:rsidRPr="00790A72">
        <w:rPr>
          <w:color w:val="auto"/>
        </w:rPr>
        <w:t xml:space="preserve">налоги, сборы и регулярные платежи за пользование природными </w:t>
      </w:r>
      <w:r w:rsidRPr="00790A72">
        <w:rPr>
          <w:color w:val="auto"/>
        </w:rPr>
        <w:br/>
        <w:t>ресурсами – 22,6 млн рублей.</w:t>
      </w:r>
    </w:p>
    <w:p w14:paraId="14093744" w14:textId="77777777" w:rsidR="00840C6F" w:rsidRPr="00790A72" w:rsidRDefault="00840C6F" w:rsidP="00840C6F">
      <w:pPr>
        <w:widowControl/>
        <w:ind w:left="709" w:firstLine="0"/>
        <w:contextualSpacing/>
        <w:rPr>
          <w:rFonts w:eastAsia="Calibri"/>
          <w:color w:val="auto"/>
        </w:rPr>
      </w:pPr>
    </w:p>
    <w:p w14:paraId="19A27E2D" w14:textId="77777777" w:rsidR="00E14031" w:rsidRPr="00C014DC" w:rsidRDefault="00E1243C" w:rsidP="00840C6F">
      <w:pPr>
        <w:pStyle w:val="a"/>
        <w:numPr>
          <w:ilvl w:val="0"/>
          <w:numId w:val="0"/>
        </w:numPr>
        <w:spacing w:before="0" w:after="0"/>
        <w:jc w:val="both"/>
        <w:rPr>
          <w:rFonts w:eastAsia="Calibri"/>
          <w:color w:val="FF0000"/>
        </w:rPr>
      </w:pPr>
      <w:r w:rsidRPr="00C014DC">
        <w:rPr>
          <w:noProof/>
          <w:color w:val="FF0000"/>
          <w:lang w:eastAsia="ru-RU"/>
        </w:rPr>
        <w:drawing>
          <wp:inline distT="0" distB="0" distL="0" distR="0" wp14:anchorId="0F8378BB" wp14:editId="5652E075">
            <wp:extent cx="6648450" cy="3572539"/>
            <wp:effectExtent l="0" t="0" r="0" b="0"/>
            <wp:docPr id="4" name="Диаграмма 4">
              <a:extLst xmlns:a="http://schemas.openxmlformats.org/drawingml/2006/main">
                <a:ext uri="{FF2B5EF4-FFF2-40B4-BE49-F238E27FC236}">
                  <a16:creationId xmlns:a16="http://schemas.microsoft.com/office/drawing/2014/main" id="{653AFCE3-ED96-4A08-ACB1-B93BC2D24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6184B8" w14:textId="77777777" w:rsidR="00A77BA1" w:rsidRDefault="00A77BA1" w:rsidP="006B3DF7">
      <w:pPr>
        <w:rPr>
          <w:rFonts w:eastAsia="Calibri"/>
          <w:b/>
          <w:i/>
          <w:color w:val="auto"/>
        </w:rPr>
      </w:pPr>
    </w:p>
    <w:p w14:paraId="4AC24EDD" w14:textId="77777777" w:rsidR="00A77BA1" w:rsidRDefault="00A77BA1" w:rsidP="006B3DF7">
      <w:pPr>
        <w:rPr>
          <w:rFonts w:eastAsia="Calibri"/>
          <w:b/>
          <w:i/>
          <w:color w:val="auto"/>
        </w:rPr>
      </w:pPr>
    </w:p>
    <w:p w14:paraId="7CE983FB" w14:textId="25F58995" w:rsidR="00790A72" w:rsidRDefault="00790A72" w:rsidP="006B3DF7">
      <w:pPr>
        <w:rPr>
          <w:rFonts w:eastAsia="Calibri"/>
          <w:color w:val="auto"/>
        </w:rPr>
      </w:pPr>
      <w:r w:rsidRPr="00CE6506">
        <w:rPr>
          <w:rFonts w:eastAsia="Calibri"/>
          <w:b/>
          <w:i/>
          <w:color w:val="auto"/>
        </w:rPr>
        <w:t xml:space="preserve">Неналоговые доходы </w:t>
      </w:r>
      <w:r w:rsidRPr="00CE6506">
        <w:rPr>
          <w:rFonts w:eastAsia="Calibri"/>
          <w:color w:val="auto"/>
        </w:rPr>
        <w:t>республиканского бюджета в 202</w:t>
      </w:r>
      <w:r w:rsidR="001646F1">
        <w:rPr>
          <w:rFonts w:eastAsia="Calibri"/>
          <w:color w:val="auto"/>
        </w:rPr>
        <w:t>5</w:t>
      </w:r>
      <w:r w:rsidRPr="00CE6506">
        <w:rPr>
          <w:rFonts w:eastAsia="Calibri"/>
          <w:color w:val="auto"/>
        </w:rPr>
        <w:t xml:space="preserve"> году составили </w:t>
      </w:r>
      <w:r w:rsidRPr="00CE6506">
        <w:rPr>
          <w:rFonts w:eastAsia="Calibri"/>
          <w:color w:val="auto"/>
        </w:rPr>
        <w:br/>
        <w:t>4 701,3 млн рублей (темп 128,9 %).</w:t>
      </w:r>
    </w:p>
    <w:p w14:paraId="57ABEB06" w14:textId="6C9A07E7" w:rsidR="006933E4" w:rsidRDefault="006933E4" w:rsidP="006B3DF7">
      <w:pPr>
        <w:rPr>
          <w:rFonts w:eastAsia="Calibri"/>
          <w:color w:val="auto"/>
        </w:rPr>
      </w:pPr>
    </w:p>
    <w:p w14:paraId="6C2E102B" w14:textId="15AFD74F" w:rsidR="006933E4" w:rsidRDefault="006933E4" w:rsidP="006B3DF7">
      <w:pPr>
        <w:rPr>
          <w:rFonts w:eastAsia="Calibri"/>
          <w:color w:val="auto"/>
        </w:rPr>
      </w:pPr>
    </w:p>
    <w:p w14:paraId="15E3C0AD" w14:textId="69B6EB06" w:rsidR="006933E4" w:rsidRDefault="006933E4" w:rsidP="006B3DF7">
      <w:pPr>
        <w:rPr>
          <w:rFonts w:eastAsia="Calibri"/>
          <w:color w:val="auto"/>
        </w:rPr>
      </w:pPr>
    </w:p>
    <w:p w14:paraId="2963442F" w14:textId="6839FF52" w:rsidR="006933E4" w:rsidRDefault="006933E4" w:rsidP="006B3DF7">
      <w:pPr>
        <w:rPr>
          <w:rFonts w:eastAsia="Calibri"/>
          <w:color w:val="auto"/>
        </w:rPr>
      </w:pPr>
    </w:p>
    <w:p w14:paraId="1404D59E" w14:textId="77777777" w:rsidR="006933E4" w:rsidRDefault="006933E4" w:rsidP="006B3DF7">
      <w:pPr>
        <w:rPr>
          <w:rFonts w:eastAsia="Calibri"/>
          <w:color w:val="auto"/>
        </w:rPr>
      </w:pPr>
    </w:p>
    <w:p w14:paraId="6DBA2A07" w14:textId="40DC179C" w:rsidR="00604F31" w:rsidRPr="00C014DC" w:rsidRDefault="00235924" w:rsidP="006B3DF7">
      <w:pPr>
        <w:rPr>
          <w:rFonts w:eastAsia="Calibri"/>
          <w:color w:val="FF0000"/>
        </w:rPr>
      </w:pPr>
      <w:r>
        <w:rPr>
          <w:noProof/>
          <w:color w:val="FF0000"/>
          <w:lang w:eastAsia="ru-RU"/>
        </w:rPr>
        <mc:AlternateContent>
          <mc:Choice Requires="wps">
            <w:drawing>
              <wp:anchor distT="0" distB="0" distL="114300" distR="114300" simplePos="0" relativeHeight="251662336" behindDoc="0" locked="0" layoutInCell="1" allowOverlap="1" wp14:anchorId="4C2BC3ED" wp14:editId="3AED68D9">
                <wp:simplePos x="0" y="0"/>
                <wp:positionH relativeFrom="page">
                  <wp:posOffset>1658620</wp:posOffset>
                </wp:positionH>
                <wp:positionV relativeFrom="paragraph">
                  <wp:posOffset>8890</wp:posOffset>
                </wp:positionV>
                <wp:extent cx="4393565" cy="542290"/>
                <wp:effectExtent l="0" t="0" r="0" b="0"/>
                <wp:wrapNone/>
                <wp:docPr id="71"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3565" cy="542290"/>
                        </a:xfrm>
                        <a:prstGeom prst="rect">
                          <a:avLst/>
                        </a:prstGeom>
                      </wps:spPr>
                      <wps:txbx>
                        <w:txbxContent>
                          <w:p w14:paraId="33BD8551" w14:textId="77777777" w:rsidR="008B3339" w:rsidRPr="00351B88" w:rsidRDefault="008B3339" w:rsidP="00E1243C">
                            <w:pPr>
                              <w:pStyle w:val="20"/>
                              <w:spacing w:before="0" w:after="0"/>
                            </w:pPr>
                            <w:bookmarkStart w:id="65" w:name="_Toc47539275"/>
                            <w:bookmarkStart w:id="66" w:name="_Toc128735816"/>
                            <w:bookmarkStart w:id="67" w:name="_Toc129858659"/>
                            <w:bookmarkStart w:id="68" w:name="_Toc129882072"/>
                            <w:bookmarkStart w:id="69" w:name="_Toc130394837"/>
                            <w:bookmarkStart w:id="70" w:name="_Toc130809875"/>
                            <w:bookmarkStart w:id="71" w:name="_Toc131001516"/>
                            <w:bookmarkStart w:id="72" w:name="_Toc131085635"/>
                            <w:bookmarkStart w:id="73" w:name="_Toc161837379"/>
                            <w:bookmarkStart w:id="74" w:name="_Toc162008787"/>
                            <w:r w:rsidRPr="00351B88">
                              <w:t>Структура неналоговых доходов</w:t>
                            </w:r>
                            <w:bookmarkEnd w:id="65"/>
                            <w:bookmarkEnd w:id="66"/>
                            <w:bookmarkEnd w:id="67"/>
                            <w:bookmarkEnd w:id="68"/>
                            <w:bookmarkEnd w:id="69"/>
                            <w:bookmarkEnd w:id="70"/>
                            <w:bookmarkEnd w:id="71"/>
                            <w:bookmarkEnd w:id="72"/>
                            <w:bookmarkEnd w:id="73"/>
                            <w:bookmarkEnd w:id="74"/>
                          </w:p>
                          <w:p w14:paraId="08B03505" w14:textId="0E2604BB" w:rsidR="008B3339" w:rsidRDefault="008B3339" w:rsidP="00E1243C">
                            <w:pPr>
                              <w:pStyle w:val="af1"/>
                              <w:spacing w:before="0" w:beforeAutospacing="0" w:after="0" w:afterAutospacing="0"/>
                              <w:jc w:val="center"/>
                              <w:rPr>
                                <w:b/>
                                <w:color w:val="auto"/>
                                <w:sz w:val="32"/>
                                <w:szCs w:val="32"/>
                              </w:rPr>
                            </w:pPr>
                            <w:r>
                              <w:rPr>
                                <w:b/>
                                <w:color w:val="auto"/>
                                <w:sz w:val="32"/>
                                <w:szCs w:val="32"/>
                              </w:rPr>
                              <w:t>4 701,3</w:t>
                            </w:r>
                            <w:r w:rsidRPr="00351B88">
                              <w:rPr>
                                <w:b/>
                                <w:color w:val="auto"/>
                                <w:sz w:val="32"/>
                                <w:szCs w:val="32"/>
                              </w:rPr>
                              <w:t xml:space="preserve"> млн рублей</w:t>
                            </w:r>
                          </w:p>
                          <w:p w14:paraId="639040D0" w14:textId="77777777" w:rsidR="008B3339" w:rsidRPr="00351B88" w:rsidRDefault="008B3339" w:rsidP="00E1243C">
                            <w:pPr>
                              <w:pStyle w:val="af1"/>
                              <w:spacing w:before="0" w:beforeAutospacing="0" w:after="0" w:afterAutospacing="0"/>
                              <w:jc w:val="center"/>
                              <w:rPr>
                                <w:b/>
                                <w:color w:val="auto"/>
                                <w:sz w:val="32"/>
                                <w:szCs w:val="32"/>
                              </w:rPr>
                            </w:pPr>
                          </w:p>
                          <w:p w14:paraId="6AEEA3F5" w14:textId="77777777" w:rsidR="008B3339" w:rsidRPr="00034CD9" w:rsidRDefault="008B3339" w:rsidP="001E062E">
                            <w:pPr>
                              <w:pStyle w:val="af1"/>
                              <w:spacing w:before="0" w:beforeAutospacing="0" w:after="0" w:afterAutospacing="0"/>
                              <w:jc w:val="center"/>
                              <w:rPr>
                                <w:b/>
                                <w:color w:val="FF0000"/>
                                <w:sz w:val="32"/>
                                <w:szCs w:val="3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C2BC3ED" id="Прямоугольник 18" o:spid="_x0000_s1027" style="position:absolute;left:0;text-align:left;margin-left:130.6pt;margin-top:.7pt;width:345.95pt;height:4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" filled="f" stroked="f">
                <v:path arrowok="t"/>
                <v:textbox>
                  <w:txbxContent>
                    <w:p w14:paraId="33BD8551" w14:textId="77777777" w:rsidR="008B3339" w:rsidRPr="00351B88" w:rsidRDefault="008B3339" w:rsidP="00E1243C">
                      <w:pPr>
                        <w:pStyle w:val="20"/>
                        <w:spacing w:before="0" w:after="0"/>
                      </w:pPr>
                      <w:bookmarkStart w:id="75" w:name="_Toc47539275"/>
                      <w:bookmarkStart w:id="76" w:name="_Toc128735816"/>
                      <w:bookmarkStart w:id="77" w:name="_Toc129858659"/>
                      <w:bookmarkStart w:id="78" w:name="_Toc129882072"/>
                      <w:bookmarkStart w:id="79" w:name="_Toc130394837"/>
                      <w:bookmarkStart w:id="80" w:name="_Toc130809875"/>
                      <w:bookmarkStart w:id="81" w:name="_Toc131001516"/>
                      <w:bookmarkStart w:id="82" w:name="_Toc131085635"/>
                      <w:bookmarkStart w:id="83" w:name="_Toc161837379"/>
                      <w:bookmarkStart w:id="84" w:name="_Toc162008787"/>
                      <w:r w:rsidRPr="00351B88">
                        <w:t>Структура неналоговых доходов</w:t>
                      </w:r>
                      <w:bookmarkEnd w:id="75"/>
                      <w:bookmarkEnd w:id="76"/>
                      <w:bookmarkEnd w:id="77"/>
                      <w:bookmarkEnd w:id="78"/>
                      <w:bookmarkEnd w:id="79"/>
                      <w:bookmarkEnd w:id="80"/>
                      <w:bookmarkEnd w:id="81"/>
                      <w:bookmarkEnd w:id="82"/>
                      <w:bookmarkEnd w:id="83"/>
                      <w:bookmarkEnd w:id="84"/>
                    </w:p>
                    <w:p w14:paraId="08B03505" w14:textId="0E2604BB" w:rsidR="008B3339" w:rsidRDefault="008B3339" w:rsidP="00E1243C">
                      <w:pPr>
                        <w:pStyle w:val="af1"/>
                        <w:spacing w:before="0" w:beforeAutospacing="0" w:after="0" w:afterAutospacing="0"/>
                        <w:jc w:val="center"/>
                        <w:rPr>
                          <w:b/>
                          <w:color w:val="auto"/>
                          <w:sz w:val="32"/>
                          <w:szCs w:val="32"/>
                        </w:rPr>
                      </w:pPr>
                      <w:r>
                        <w:rPr>
                          <w:b/>
                          <w:color w:val="auto"/>
                          <w:sz w:val="32"/>
                          <w:szCs w:val="32"/>
                        </w:rPr>
                        <w:t>4 701,3</w:t>
                      </w:r>
                      <w:r w:rsidRPr="00351B88">
                        <w:rPr>
                          <w:b/>
                          <w:color w:val="auto"/>
                          <w:sz w:val="32"/>
                          <w:szCs w:val="32"/>
                        </w:rPr>
                        <w:t xml:space="preserve"> млн рублей</w:t>
                      </w:r>
                    </w:p>
                    <w:p w14:paraId="639040D0" w14:textId="77777777" w:rsidR="008B3339" w:rsidRPr="00351B88" w:rsidRDefault="008B3339" w:rsidP="00E1243C">
                      <w:pPr>
                        <w:pStyle w:val="af1"/>
                        <w:spacing w:before="0" w:beforeAutospacing="0" w:after="0" w:afterAutospacing="0"/>
                        <w:jc w:val="center"/>
                        <w:rPr>
                          <w:b/>
                          <w:color w:val="auto"/>
                          <w:sz w:val="32"/>
                          <w:szCs w:val="32"/>
                        </w:rPr>
                      </w:pPr>
                    </w:p>
                    <w:p w14:paraId="6AEEA3F5" w14:textId="77777777" w:rsidR="008B3339" w:rsidRPr="00034CD9" w:rsidRDefault="008B3339" w:rsidP="001E062E">
                      <w:pPr>
                        <w:pStyle w:val="af1"/>
                        <w:spacing w:before="0" w:beforeAutospacing="0" w:after="0" w:afterAutospacing="0"/>
                        <w:jc w:val="center"/>
                        <w:rPr>
                          <w:b/>
                          <w:color w:val="FF0000"/>
                          <w:sz w:val="32"/>
                          <w:szCs w:val="32"/>
                        </w:rPr>
                      </w:pPr>
                    </w:p>
                  </w:txbxContent>
                </v:textbox>
                <w10:wrap anchorx="page"/>
              </v:rect>
            </w:pict>
          </mc:Fallback>
        </mc:AlternateContent>
      </w:r>
    </w:p>
    <w:p w14:paraId="19EB4B73" w14:textId="77777777" w:rsidR="002D3C28" w:rsidRPr="00C014DC" w:rsidRDefault="002D3C28" w:rsidP="006B3DF7">
      <w:pPr>
        <w:rPr>
          <w:rFonts w:eastAsia="Calibri"/>
          <w:color w:val="FF0000"/>
        </w:rPr>
      </w:pPr>
    </w:p>
    <w:p w14:paraId="72BA4CD2" w14:textId="3071DA95" w:rsidR="002D3C28" w:rsidRDefault="002D3C28" w:rsidP="006B3DF7">
      <w:pPr>
        <w:rPr>
          <w:noProof/>
          <w:color w:val="FF0000"/>
          <w:lang w:eastAsia="ru-RU"/>
        </w:rPr>
      </w:pPr>
    </w:p>
    <w:tbl>
      <w:tblPr>
        <w:tblStyle w:val="-261"/>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5"/>
        <w:gridCol w:w="1765"/>
      </w:tblGrid>
      <w:tr w:rsidR="00617305" w:rsidRPr="00617305" w14:paraId="752B7D69" w14:textId="77777777" w:rsidTr="006933E4">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8465" w:type="dxa"/>
            <w:tcBorders>
              <w:top w:val="none" w:sz="0" w:space="0" w:color="auto"/>
              <w:bottom w:val="none" w:sz="0" w:space="0" w:color="auto"/>
              <w:right w:val="none" w:sz="0" w:space="0" w:color="auto"/>
            </w:tcBorders>
            <w:shd w:val="clear" w:color="auto" w:fill="DBF6B9" w:themeFill="accent3" w:themeFillTint="66"/>
            <w:vAlign w:val="center"/>
          </w:tcPr>
          <w:p w14:paraId="70221084" w14:textId="77777777" w:rsidR="00E1243C" w:rsidRPr="00617305" w:rsidRDefault="00E1243C" w:rsidP="006B3DF7">
            <w:pPr>
              <w:rPr>
                <w:noProof/>
                <w:lang w:eastAsia="ru-RU"/>
              </w:rPr>
            </w:pPr>
            <w:r w:rsidRPr="00617305">
              <w:rPr>
                <w:noProof/>
                <w:lang w:eastAsia="ru-RU"/>
              </w:rPr>
              <w:t xml:space="preserve">Доходы от использования имущества, находящегося в государственной и муниципальной собственности </w:t>
            </w:r>
          </w:p>
        </w:tc>
        <w:tc>
          <w:tcPr>
            <w:tcW w:w="1765" w:type="dxa"/>
            <w:tcBorders>
              <w:top w:val="none" w:sz="0" w:space="0" w:color="auto"/>
              <w:left w:val="none" w:sz="0" w:space="0" w:color="auto"/>
              <w:bottom w:val="none" w:sz="0" w:space="0" w:color="auto"/>
            </w:tcBorders>
            <w:shd w:val="clear" w:color="auto" w:fill="DBF6B9" w:themeFill="accent3" w:themeFillTint="66"/>
            <w:vAlign w:val="center"/>
          </w:tcPr>
          <w:p w14:paraId="65E09E73" w14:textId="0BB8DFB4" w:rsidR="00E1243C" w:rsidRPr="00617305" w:rsidRDefault="00617305" w:rsidP="006B3DF7">
            <w:pPr>
              <w:jc w:val="center"/>
              <w:cnfStyle w:val="100000000000" w:firstRow="1" w:lastRow="0" w:firstColumn="0" w:lastColumn="0" w:oddVBand="0" w:evenVBand="0" w:oddHBand="0" w:evenHBand="0" w:firstRowFirstColumn="0" w:firstRowLastColumn="0" w:lastRowFirstColumn="0" w:lastRowLastColumn="0"/>
              <w:rPr>
                <w:noProof/>
                <w:lang w:eastAsia="ru-RU"/>
              </w:rPr>
            </w:pPr>
            <w:r w:rsidRPr="00617305">
              <w:rPr>
                <w:noProof/>
                <w:lang w:eastAsia="ru-RU"/>
              </w:rPr>
              <w:t>2 627,6</w:t>
            </w:r>
          </w:p>
        </w:tc>
      </w:tr>
      <w:tr w:rsidR="00617305" w:rsidRPr="00617305" w14:paraId="33015A4C" w14:textId="77777777" w:rsidTr="006933E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465" w:type="dxa"/>
            <w:shd w:val="clear" w:color="auto" w:fill="auto"/>
            <w:vAlign w:val="center"/>
          </w:tcPr>
          <w:p w14:paraId="20772AF8" w14:textId="77777777" w:rsidR="00E1243C" w:rsidRPr="00617305" w:rsidRDefault="00E1243C" w:rsidP="006B3DF7">
            <w:pPr>
              <w:rPr>
                <w:noProof/>
                <w:lang w:eastAsia="ru-RU"/>
              </w:rPr>
            </w:pPr>
            <w:r w:rsidRPr="00617305">
              <w:rPr>
                <w:noProof/>
                <w:lang w:eastAsia="ru-RU"/>
              </w:rPr>
              <w:t xml:space="preserve">Штрафы, санкции, возмещение ущерба </w:t>
            </w:r>
          </w:p>
        </w:tc>
        <w:tc>
          <w:tcPr>
            <w:tcW w:w="1765" w:type="dxa"/>
            <w:shd w:val="clear" w:color="auto" w:fill="auto"/>
            <w:vAlign w:val="center"/>
          </w:tcPr>
          <w:p w14:paraId="16B82F75" w14:textId="785F5AD7" w:rsidR="00E1243C" w:rsidRPr="00617305" w:rsidRDefault="00617305" w:rsidP="006B3DF7">
            <w:pPr>
              <w:jc w:val="center"/>
              <w:cnfStyle w:val="000000100000" w:firstRow="0" w:lastRow="0" w:firstColumn="0" w:lastColumn="0" w:oddVBand="0" w:evenVBand="0" w:oddHBand="1" w:evenHBand="0" w:firstRowFirstColumn="0" w:firstRowLastColumn="0" w:lastRowFirstColumn="0" w:lastRowLastColumn="0"/>
              <w:rPr>
                <w:b/>
                <w:noProof/>
                <w:lang w:eastAsia="ru-RU"/>
              </w:rPr>
            </w:pPr>
            <w:r w:rsidRPr="00617305">
              <w:rPr>
                <w:b/>
                <w:noProof/>
                <w:lang w:eastAsia="ru-RU"/>
              </w:rPr>
              <w:t>1 627,9</w:t>
            </w:r>
          </w:p>
        </w:tc>
      </w:tr>
      <w:tr w:rsidR="00617305" w:rsidRPr="00617305" w14:paraId="29CC2D1F" w14:textId="77777777" w:rsidTr="006933E4">
        <w:trPr>
          <w:trHeight w:val="447"/>
        </w:trPr>
        <w:tc>
          <w:tcPr>
            <w:cnfStyle w:val="001000000000" w:firstRow="0" w:lastRow="0" w:firstColumn="1" w:lastColumn="0" w:oddVBand="0" w:evenVBand="0" w:oddHBand="0" w:evenHBand="0" w:firstRowFirstColumn="0" w:firstRowLastColumn="0" w:lastRowFirstColumn="0" w:lastRowLastColumn="0"/>
            <w:tcW w:w="8465" w:type="dxa"/>
            <w:shd w:val="clear" w:color="auto" w:fill="DBF6B9" w:themeFill="accent3" w:themeFillTint="66"/>
            <w:vAlign w:val="center"/>
          </w:tcPr>
          <w:p w14:paraId="55F1D154" w14:textId="77777777" w:rsidR="00E1243C" w:rsidRPr="00617305" w:rsidRDefault="00E1243C" w:rsidP="006B3DF7">
            <w:pPr>
              <w:rPr>
                <w:noProof/>
                <w:lang w:eastAsia="ru-RU"/>
              </w:rPr>
            </w:pPr>
            <w:r w:rsidRPr="00617305">
              <w:rPr>
                <w:noProof/>
                <w:lang w:eastAsia="ru-RU"/>
              </w:rPr>
              <w:t xml:space="preserve">Доходы от оказания платных услуг (работ) и компенсации затрат государства </w:t>
            </w:r>
          </w:p>
        </w:tc>
        <w:tc>
          <w:tcPr>
            <w:tcW w:w="1765" w:type="dxa"/>
            <w:shd w:val="clear" w:color="auto" w:fill="DBF6B9" w:themeFill="accent3" w:themeFillTint="66"/>
            <w:vAlign w:val="center"/>
          </w:tcPr>
          <w:p w14:paraId="38F85470" w14:textId="1296AEDD" w:rsidR="00E1243C" w:rsidRPr="00617305" w:rsidRDefault="00617305" w:rsidP="006B3DF7">
            <w:pPr>
              <w:jc w:val="center"/>
              <w:cnfStyle w:val="000000000000" w:firstRow="0" w:lastRow="0" w:firstColumn="0" w:lastColumn="0" w:oddVBand="0" w:evenVBand="0" w:oddHBand="0" w:evenHBand="0" w:firstRowFirstColumn="0" w:firstRowLastColumn="0" w:lastRowFirstColumn="0" w:lastRowLastColumn="0"/>
              <w:rPr>
                <w:b/>
                <w:noProof/>
                <w:lang w:eastAsia="ru-RU"/>
              </w:rPr>
            </w:pPr>
            <w:r w:rsidRPr="00617305">
              <w:rPr>
                <w:b/>
                <w:noProof/>
                <w:lang w:eastAsia="ru-RU"/>
              </w:rPr>
              <w:t>409,8</w:t>
            </w:r>
          </w:p>
        </w:tc>
      </w:tr>
      <w:tr w:rsidR="00617305" w:rsidRPr="00617305" w14:paraId="5CC40614" w14:textId="77777777" w:rsidTr="006933E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465" w:type="dxa"/>
            <w:shd w:val="clear" w:color="auto" w:fill="auto"/>
            <w:vAlign w:val="center"/>
          </w:tcPr>
          <w:p w14:paraId="18EBCF56" w14:textId="77777777" w:rsidR="00E1243C" w:rsidRPr="00617305" w:rsidRDefault="00E1243C" w:rsidP="006B3DF7">
            <w:pPr>
              <w:rPr>
                <w:noProof/>
                <w:lang w:eastAsia="ru-RU"/>
              </w:rPr>
            </w:pPr>
            <w:r w:rsidRPr="00617305">
              <w:rPr>
                <w:noProof/>
                <w:lang w:eastAsia="ru-RU"/>
              </w:rPr>
              <w:t xml:space="preserve">Доходы от продажи материальных и нематериальных активов </w:t>
            </w:r>
          </w:p>
        </w:tc>
        <w:tc>
          <w:tcPr>
            <w:tcW w:w="1765" w:type="dxa"/>
            <w:shd w:val="clear" w:color="auto" w:fill="auto"/>
            <w:vAlign w:val="center"/>
          </w:tcPr>
          <w:p w14:paraId="297DDE40" w14:textId="02F10629" w:rsidR="00E1243C" w:rsidRPr="00617305" w:rsidRDefault="00617305" w:rsidP="006B3DF7">
            <w:pPr>
              <w:jc w:val="center"/>
              <w:cnfStyle w:val="000000100000" w:firstRow="0" w:lastRow="0" w:firstColumn="0" w:lastColumn="0" w:oddVBand="0" w:evenVBand="0" w:oddHBand="1" w:evenHBand="0" w:firstRowFirstColumn="0" w:firstRowLastColumn="0" w:lastRowFirstColumn="0" w:lastRowLastColumn="0"/>
              <w:rPr>
                <w:b/>
                <w:noProof/>
                <w:lang w:eastAsia="ru-RU"/>
              </w:rPr>
            </w:pPr>
            <w:r w:rsidRPr="00617305">
              <w:rPr>
                <w:b/>
                <w:noProof/>
                <w:lang w:eastAsia="ru-RU"/>
              </w:rPr>
              <w:t>22,4</w:t>
            </w:r>
          </w:p>
        </w:tc>
      </w:tr>
      <w:tr w:rsidR="00617305" w:rsidRPr="00617305" w14:paraId="07558906" w14:textId="77777777" w:rsidTr="006933E4">
        <w:trPr>
          <w:trHeight w:val="447"/>
        </w:trPr>
        <w:tc>
          <w:tcPr>
            <w:cnfStyle w:val="001000000000" w:firstRow="0" w:lastRow="0" w:firstColumn="1" w:lastColumn="0" w:oddVBand="0" w:evenVBand="0" w:oddHBand="0" w:evenHBand="0" w:firstRowFirstColumn="0" w:firstRowLastColumn="0" w:lastRowFirstColumn="0" w:lastRowLastColumn="0"/>
            <w:tcW w:w="8465" w:type="dxa"/>
            <w:shd w:val="clear" w:color="auto" w:fill="DBF6B9" w:themeFill="accent3" w:themeFillTint="66"/>
            <w:vAlign w:val="center"/>
          </w:tcPr>
          <w:p w14:paraId="672A1C62" w14:textId="77777777" w:rsidR="00E1243C" w:rsidRPr="00617305" w:rsidRDefault="00E1243C" w:rsidP="006B3DF7">
            <w:pPr>
              <w:rPr>
                <w:noProof/>
                <w:lang w:eastAsia="ru-RU"/>
              </w:rPr>
            </w:pPr>
            <w:r w:rsidRPr="00617305">
              <w:rPr>
                <w:noProof/>
                <w:lang w:eastAsia="ru-RU"/>
              </w:rPr>
              <w:t xml:space="preserve">Прочие неналоговые доходы </w:t>
            </w:r>
          </w:p>
        </w:tc>
        <w:tc>
          <w:tcPr>
            <w:tcW w:w="1765" w:type="dxa"/>
            <w:shd w:val="clear" w:color="auto" w:fill="DBF6B9" w:themeFill="accent3" w:themeFillTint="66"/>
            <w:vAlign w:val="center"/>
          </w:tcPr>
          <w:p w14:paraId="558FC3C0" w14:textId="74826881" w:rsidR="00E1243C" w:rsidRPr="00617305" w:rsidRDefault="00617305" w:rsidP="006B3DF7">
            <w:pPr>
              <w:jc w:val="center"/>
              <w:cnfStyle w:val="000000000000" w:firstRow="0" w:lastRow="0" w:firstColumn="0" w:lastColumn="0" w:oddVBand="0" w:evenVBand="0" w:oddHBand="0" w:evenHBand="0" w:firstRowFirstColumn="0" w:firstRowLastColumn="0" w:lastRowFirstColumn="0" w:lastRowLastColumn="0"/>
              <w:rPr>
                <w:b/>
                <w:noProof/>
                <w:lang w:eastAsia="ru-RU"/>
              </w:rPr>
            </w:pPr>
            <w:r w:rsidRPr="00617305">
              <w:rPr>
                <w:b/>
                <w:noProof/>
                <w:lang w:eastAsia="ru-RU"/>
              </w:rPr>
              <w:t>10,1</w:t>
            </w:r>
          </w:p>
        </w:tc>
      </w:tr>
      <w:tr w:rsidR="00617305" w:rsidRPr="00617305" w14:paraId="3D489681" w14:textId="77777777" w:rsidTr="006933E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465" w:type="dxa"/>
            <w:shd w:val="clear" w:color="auto" w:fill="auto"/>
            <w:vAlign w:val="center"/>
          </w:tcPr>
          <w:p w14:paraId="777670B6" w14:textId="77777777" w:rsidR="00E1243C" w:rsidRPr="00617305" w:rsidRDefault="00E1243C" w:rsidP="006B3DF7">
            <w:pPr>
              <w:rPr>
                <w:noProof/>
                <w:lang w:eastAsia="ru-RU"/>
              </w:rPr>
            </w:pPr>
            <w:r w:rsidRPr="00617305">
              <w:rPr>
                <w:noProof/>
                <w:lang w:eastAsia="ru-RU"/>
              </w:rPr>
              <w:t xml:space="preserve">Платежи при пользовании природными ресурсами </w:t>
            </w:r>
          </w:p>
        </w:tc>
        <w:tc>
          <w:tcPr>
            <w:tcW w:w="1765" w:type="dxa"/>
            <w:shd w:val="clear" w:color="auto" w:fill="auto"/>
            <w:vAlign w:val="center"/>
          </w:tcPr>
          <w:p w14:paraId="15CEE58A" w14:textId="677920AC" w:rsidR="00E1243C" w:rsidRPr="00617305" w:rsidRDefault="00617305" w:rsidP="006B3DF7">
            <w:pPr>
              <w:jc w:val="center"/>
              <w:cnfStyle w:val="000000100000" w:firstRow="0" w:lastRow="0" w:firstColumn="0" w:lastColumn="0" w:oddVBand="0" w:evenVBand="0" w:oddHBand="1" w:evenHBand="0" w:firstRowFirstColumn="0" w:firstRowLastColumn="0" w:lastRowFirstColumn="0" w:lastRowLastColumn="0"/>
              <w:rPr>
                <w:b/>
                <w:noProof/>
                <w:lang w:eastAsia="ru-RU"/>
              </w:rPr>
            </w:pPr>
            <w:r w:rsidRPr="00617305">
              <w:rPr>
                <w:b/>
                <w:noProof/>
                <w:lang w:eastAsia="ru-RU"/>
              </w:rPr>
              <w:t>3,5</w:t>
            </w:r>
          </w:p>
        </w:tc>
      </w:tr>
      <w:tr w:rsidR="00617305" w:rsidRPr="00617305" w14:paraId="0D364332" w14:textId="77777777" w:rsidTr="006933E4">
        <w:trPr>
          <w:trHeight w:val="447"/>
        </w:trPr>
        <w:tc>
          <w:tcPr>
            <w:cnfStyle w:val="001000000000" w:firstRow="0" w:lastRow="0" w:firstColumn="1" w:lastColumn="0" w:oddVBand="0" w:evenVBand="0" w:oddHBand="0" w:evenHBand="0" w:firstRowFirstColumn="0" w:firstRowLastColumn="0" w:lastRowFirstColumn="0" w:lastRowLastColumn="0"/>
            <w:tcW w:w="8465" w:type="dxa"/>
            <w:shd w:val="clear" w:color="auto" w:fill="DBF6B9" w:themeFill="accent3" w:themeFillTint="66"/>
            <w:vAlign w:val="center"/>
          </w:tcPr>
          <w:p w14:paraId="24C2B59F" w14:textId="77777777" w:rsidR="00E1243C" w:rsidRPr="00617305" w:rsidRDefault="00E1243C" w:rsidP="006B3DF7">
            <w:pPr>
              <w:rPr>
                <w:noProof/>
                <w:lang w:eastAsia="ru-RU"/>
              </w:rPr>
            </w:pPr>
            <w:r w:rsidRPr="00617305">
              <w:rPr>
                <w:noProof/>
                <w:lang w:eastAsia="ru-RU"/>
              </w:rPr>
              <w:t xml:space="preserve">Административные платежи и сборы </w:t>
            </w:r>
          </w:p>
        </w:tc>
        <w:tc>
          <w:tcPr>
            <w:tcW w:w="1765" w:type="dxa"/>
            <w:shd w:val="clear" w:color="auto" w:fill="DBF6B9" w:themeFill="accent3" w:themeFillTint="66"/>
            <w:vAlign w:val="center"/>
          </w:tcPr>
          <w:p w14:paraId="5CBE57AC" w14:textId="4C8DD66B" w:rsidR="00E1243C" w:rsidRPr="00617305" w:rsidRDefault="00E1243C" w:rsidP="006B3DF7">
            <w:pPr>
              <w:jc w:val="center"/>
              <w:cnfStyle w:val="000000000000" w:firstRow="0" w:lastRow="0" w:firstColumn="0" w:lastColumn="0" w:oddVBand="0" w:evenVBand="0" w:oddHBand="0" w:evenHBand="0" w:firstRowFirstColumn="0" w:firstRowLastColumn="0" w:lastRowFirstColumn="0" w:lastRowLastColumn="0"/>
              <w:rPr>
                <w:b/>
                <w:noProof/>
                <w:lang w:eastAsia="ru-RU"/>
              </w:rPr>
            </w:pPr>
            <w:r w:rsidRPr="00617305">
              <w:rPr>
                <w:b/>
                <w:noProof/>
                <w:lang w:eastAsia="ru-RU"/>
              </w:rPr>
              <w:t>0</w:t>
            </w:r>
            <w:r w:rsidR="00617305" w:rsidRPr="00617305">
              <w:rPr>
                <w:b/>
                <w:noProof/>
                <w:lang w:eastAsia="ru-RU"/>
              </w:rPr>
              <w:t>,04</w:t>
            </w:r>
          </w:p>
        </w:tc>
      </w:tr>
    </w:tbl>
    <w:p w14:paraId="75BC833E" w14:textId="77777777" w:rsidR="008B5AE0" w:rsidRPr="00C014DC" w:rsidRDefault="008B5AE0" w:rsidP="006B3DF7">
      <w:pPr>
        <w:rPr>
          <w:noProof/>
          <w:color w:val="FF0000"/>
          <w:sz w:val="16"/>
          <w:szCs w:val="16"/>
          <w:lang w:eastAsia="ru-RU"/>
        </w:rPr>
      </w:pPr>
    </w:p>
    <w:p w14:paraId="3C1D05D8" w14:textId="322C5644" w:rsidR="00617305" w:rsidRPr="00EE7762" w:rsidRDefault="00617305" w:rsidP="006B3DF7">
      <w:pPr>
        <w:rPr>
          <w:rFonts w:eastAsia="Calibri"/>
          <w:color w:val="auto"/>
        </w:rPr>
      </w:pPr>
      <w:r w:rsidRPr="00EE7762">
        <w:rPr>
          <w:rFonts w:eastAsia="Calibri"/>
          <w:b/>
          <w:i/>
          <w:color w:val="auto"/>
        </w:rPr>
        <w:t>Безвозмездные поступления</w:t>
      </w:r>
      <w:r w:rsidRPr="00EE7762">
        <w:rPr>
          <w:rFonts w:eastAsia="Calibri"/>
          <w:color w:val="auto"/>
        </w:rPr>
        <w:t xml:space="preserve"> в республиканский бюджет составили </w:t>
      </w:r>
      <w:r w:rsidR="00840C6F">
        <w:rPr>
          <w:rFonts w:eastAsia="Calibri"/>
          <w:color w:val="auto"/>
        </w:rPr>
        <w:br/>
      </w:r>
      <w:r w:rsidRPr="00EE7762">
        <w:rPr>
          <w:rFonts w:eastAsia="Calibri"/>
          <w:color w:val="auto"/>
        </w:rPr>
        <w:t>42 880,6 млн рублей при плане 43 140,7 млн рублей (исполнение составило 99,4%), которые сложились за счет:</w:t>
      </w:r>
    </w:p>
    <w:p w14:paraId="40760736" w14:textId="77777777" w:rsidR="00617305" w:rsidRPr="00C014DC" w:rsidRDefault="00617305" w:rsidP="006B3DF7">
      <w:pPr>
        <w:pStyle w:val="1"/>
        <w:spacing w:before="0" w:after="0"/>
        <w:ind w:firstLine="709"/>
        <w:rPr>
          <w:rFonts w:eastAsia="Calibri"/>
          <w:color w:val="FF0000"/>
        </w:rPr>
      </w:pPr>
      <w:r w:rsidRPr="001E34E1">
        <w:rPr>
          <w:rFonts w:eastAsia="Calibri"/>
          <w:b/>
          <w:i/>
          <w:color w:val="auto"/>
        </w:rPr>
        <w:t xml:space="preserve">дотаций </w:t>
      </w:r>
      <w:r w:rsidRPr="001E34E1">
        <w:rPr>
          <w:rFonts w:eastAsia="Calibri"/>
          <w:color w:val="auto"/>
        </w:rPr>
        <w:t>в размере 23 761,2 млн рублей, темп роста 109,2 %;</w:t>
      </w:r>
    </w:p>
    <w:p w14:paraId="0AFF70FF" w14:textId="77777777" w:rsidR="00617305" w:rsidRPr="001A1D62" w:rsidRDefault="00617305" w:rsidP="006B3DF7">
      <w:pPr>
        <w:pStyle w:val="1"/>
        <w:spacing w:before="0" w:after="0"/>
        <w:ind w:firstLine="709"/>
        <w:rPr>
          <w:rFonts w:eastAsia="Calibri"/>
          <w:color w:val="auto"/>
        </w:rPr>
      </w:pPr>
      <w:r w:rsidRPr="001A1D62">
        <w:rPr>
          <w:rFonts w:eastAsia="Calibri"/>
          <w:b/>
          <w:i/>
          <w:color w:val="auto"/>
        </w:rPr>
        <w:t xml:space="preserve">субсидий </w:t>
      </w:r>
      <w:r w:rsidRPr="001A1D62">
        <w:rPr>
          <w:rFonts w:eastAsia="Calibri"/>
          <w:color w:val="auto"/>
        </w:rPr>
        <w:t xml:space="preserve">– 16 964,3 млн рублей темп роста </w:t>
      </w:r>
      <w:r>
        <w:rPr>
          <w:rFonts w:eastAsia="Calibri"/>
          <w:color w:val="auto"/>
        </w:rPr>
        <w:t>97,9</w:t>
      </w:r>
      <w:r w:rsidRPr="001A1D62">
        <w:rPr>
          <w:rFonts w:eastAsia="Calibri"/>
          <w:color w:val="auto"/>
        </w:rPr>
        <w:t xml:space="preserve"> %;</w:t>
      </w:r>
    </w:p>
    <w:p w14:paraId="049E99F7" w14:textId="77777777" w:rsidR="00617305" w:rsidRPr="001A1D62" w:rsidRDefault="00617305" w:rsidP="006B3DF7">
      <w:pPr>
        <w:pStyle w:val="1"/>
        <w:spacing w:before="0" w:after="0"/>
        <w:ind w:firstLine="709"/>
        <w:rPr>
          <w:rFonts w:eastAsia="Calibri"/>
          <w:color w:val="auto"/>
        </w:rPr>
      </w:pPr>
      <w:r w:rsidRPr="001A1D62">
        <w:rPr>
          <w:rFonts w:eastAsia="Calibri"/>
          <w:b/>
          <w:i/>
          <w:color w:val="auto"/>
        </w:rPr>
        <w:t xml:space="preserve">субвенций </w:t>
      </w:r>
      <w:r w:rsidRPr="001A1D62">
        <w:rPr>
          <w:rFonts w:eastAsia="Calibri"/>
          <w:color w:val="auto"/>
        </w:rPr>
        <w:t xml:space="preserve">– 1 302,0 млн рублей, темп </w:t>
      </w:r>
      <w:r>
        <w:rPr>
          <w:rFonts w:eastAsia="Calibri"/>
          <w:color w:val="auto"/>
        </w:rPr>
        <w:t>104,4</w:t>
      </w:r>
      <w:r w:rsidRPr="001A1D62">
        <w:rPr>
          <w:rFonts w:eastAsia="Calibri"/>
          <w:color w:val="auto"/>
        </w:rPr>
        <w:t xml:space="preserve"> %;</w:t>
      </w:r>
    </w:p>
    <w:p w14:paraId="53855C77" w14:textId="77777777" w:rsidR="00617305" w:rsidRPr="001A1D62" w:rsidRDefault="00617305" w:rsidP="006B3DF7">
      <w:pPr>
        <w:pStyle w:val="1"/>
        <w:spacing w:before="0" w:after="0"/>
        <w:ind w:firstLine="709"/>
        <w:rPr>
          <w:rFonts w:eastAsia="Calibri"/>
          <w:color w:val="auto"/>
        </w:rPr>
      </w:pPr>
      <w:r w:rsidRPr="001A1D62">
        <w:rPr>
          <w:rFonts w:eastAsia="Calibri"/>
          <w:b/>
          <w:i/>
          <w:color w:val="auto"/>
        </w:rPr>
        <w:t xml:space="preserve">иных межбюджетных трансфертов </w:t>
      </w:r>
      <w:r w:rsidRPr="001A1D62">
        <w:rPr>
          <w:rFonts w:eastAsia="Calibri"/>
          <w:color w:val="auto"/>
        </w:rPr>
        <w:t xml:space="preserve">в объеме 866,7 млн рублей, </w:t>
      </w:r>
      <w:r w:rsidRPr="001A1D62">
        <w:rPr>
          <w:rFonts w:eastAsia="Calibri"/>
          <w:color w:val="auto"/>
        </w:rPr>
        <w:br/>
        <w:t xml:space="preserve">темп </w:t>
      </w:r>
      <w:r>
        <w:rPr>
          <w:rFonts w:eastAsia="Calibri"/>
          <w:color w:val="auto"/>
        </w:rPr>
        <w:t>104,7</w:t>
      </w:r>
      <w:r w:rsidRPr="001A1D62">
        <w:rPr>
          <w:rFonts w:eastAsia="Calibri"/>
          <w:color w:val="auto"/>
        </w:rPr>
        <w:t>%.</w:t>
      </w:r>
    </w:p>
    <w:p w14:paraId="62A23E0F" w14:textId="77777777" w:rsidR="00617305" w:rsidRDefault="00617305" w:rsidP="006B3DF7">
      <w:pPr>
        <w:jc w:val="center"/>
        <w:rPr>
          <w:b/>
          <w:bCs/>
          <w:color w:val="FF0000"/>
        </w:rPr>
      </w:pPr>
    </w:p>
    <w:p w14:paraId="76E143E0" w14:textId="325E319E" w:rsidR="00E1243C" w:rsidRPr="00617305" w:rsidRDefault="00E1243C" w:rsidP="006B3DF7">
      <w:pPr>
        <w:jc w:val="center"/>
        <w:rPr>
          <w:b/>
          <w:bCs/>
        </w:rPr>
      </w:pPr>
      <w:r w:rsidRPr="00617305">
        <w:rPr>
          <w:b/>
          <w:bCs/>
        </w:rPr>
        <w:t xml:space="preserve">Состав и структура безвозмездных поступлений </w:t>
      </w:r>
    </w:p>
    <w:p w14:paraId="3AF5E249" w14:textId="2495AEFC" w:rsidR="002D3C28" w:rsidRPr="00617305" w:rsidRDefault="00E1243C" w:rsidP="006B3DF7">
      <w:pPr>
        <w:jc w:val="center"/>
        <w:rPr>
          <w:b/>
          <w:bCs/>
        </w:rPr>
      </w:pPr>
      <w:r w:rsidRPr="00617305">
        <w:rPr>
          <w:b/>
          <w:bCs/>
        </w:rPr>
        <w:t>на 1 января 202</w:t>
      </w:r>
      <w:r w:rsidR="00617305" w:rsidRPr="00617305">
        <w:rPr>
          <w:b/>
          <w:bCs/>
        </w:rPr>
        <w:t>6</w:t>
      </w:r>
      <w:r w:rsidRPr="00617305">
        <w:rPr>
          <w:b/>
          <w:bCs/>
        </w:rPr>
        <w:t xml:space="preserve"> года, млн рублей</w:t>
      </w:r>
    </w:p>
    <w:p w14:paraId="05F6D261" w14:textId="77777777" w:rsidR="00EA6296" w:rsidRPr="00C014DC" w:rsidRDefault="00EA6296" w:rsidP="006B3DF7">
      <w:pPr>
        <w:jc w:val="center"/>
        <w:rPr>
          <w:b/>
          <w:bCs/>
          <w:color w:val="FF0000"/>
        </w:rPr>
      </w:pPr>
    </w:p>
    <w:p w14:paraId="68F18E21" w14:textId="63AAB822" w:rsidR="00621FB5" w:rsidRPr="00C014DC" w:rsidRDefault="00617305" w:rsidP="006B3DF7">
      <w:pPr>
        <w:jc w:val="center"/>
        <w:rPr>
          <w:b/>
          <w:bCs/>
          <w:color w:val="FF0000"/>
        </w:rPr>
      </w:pPr>
      <w:r w:rsidRPr="00C014DC">
        <w:rPr>
          <w:b/>
          <w:bCs/>
          <w:noProof/>
          <w:color w:val="FF0000"/>
          <w:lang w:eastAsia="ru-RU"/>
        </w:rPr>
        <w:drawing>
          <wp:inline distT="0" distB="0" distL="0" distR="0" wp14:anchorId="2766E804" wp14:editId="1A430F4F">
            <wp:extent cx="5688281" cy="3586348"/>
            <wp:effectExtent l="0" t="0" r="10350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5E67F5A" w14:textId="77777777" w:rsidR="00EA6296" w:rsidRPr="00C014DC" w:rsidRDefault="00EA6296" w:rsidP="006B3DF7">
      <w:pPr>
        <w:jc w:val="center"/>
        <w:rPr>
          <w:b/>
          <w:bCs/>
          <w:color w:val="FF0000"/>
        </w:rPr>
      </w:pPr>
    </w:p>
    <w:p w14:paraId="654A34A1" w14:textId="13742189" w:rsidR="00F811F4" w:rsidRPr="003B7752" w:rsidRDefault="00F811F4" w:rsidP="006B3DF7">
      <w:pPr>
        <w:jc w:val="center"/>
        <w:rPr>
          <w:b/>
          <w:bCs/>
        </w:rPr>
      </w:pPr>
      <w:r w:rsidRPr="003B7752">
        <w:rPr>
          <w:b/>
          <w:bCs/>
        </w:rPr>
        <w:t xml:space="preserve">ИСПОЛНЕНИЕ ПО </w:t>
      </w:r>
      <w:r w:rsidR="00980BE8" w:rsidRPr="003B7752">
        <w:rPr>
          <w:b/>
          <w:bCs/>
        </w:rPr>
        <w:t xml:space="preserve">РАСХОДАМ </w:t>
      </w:r>
    </w:p>
    <w:p w14:paraId="6AD1F04F" w14:textId="77777777" w:rsidR="00F811F4" w:rsidRPr="003B7752" w:rsidRDefault="00F811F4" w:rsidP="006B3DF7"/>
    <w:p w14:paraId="12FCEF27" w14:textId="00DC737F" w:rsidR="00CC4824" w:rsidRPr="003B7752" w:rsidRDefault="00F2577E" w:rsidP="006B3DF7">
      <w:pPr>
        <w:contextualSpacing/>
      </w:pPr>
      <w:r w:rsidRPr="003B7752">
        <w:t xml:space="preserve">Расходы республиканского бюджета КБР за </w:t>
      </w:r>
      <w:r w:rsidR="00EC1E7D" w:rsidRPr="003B7752">
        <w:t>202</w:t>
      </w:r>
      <w:r w:rsidR="003B7752" w:rsidRPr="003B7752">
        <w:t>5</w:t>
      </w:r>
      <w:r w:rsidRPr="003B7752">
        <w:t xml:space="preserve"> год составили </w:t>
      </w:r>
      <w:r w:rsidR="00840C6F">
        <w:br/>
      </w:r>
      <w:r w:rsidR="003B7752" w:rsidRPr="003B7752">
        <w:t>69 126,0</w:t>
      </w:r>
      <w:r w:rsidR="003450AF" w:rsidRPr="003B7752">
        <w:t xml:space="preserve"> млн рублей или 9</w:t>
      </w:r>
      <w:r w:rsidR="003B7752" w:rsidRPr="003B7752">
        <w:t>6,9</w:t>
      </w:r>
      <w:r w:rsidRPr="003B7752">
        <w:t xml:space="preserve"> % от запланированного объема.</w:t>
      </w:r>
    </w:p>
    <w:p w14:paraId="28C523A6" w14:textId="7CA8D6AD" w:rsidR="00B03C62" w:rsidRPr="00C014DC" w:rsidRDefault="003B7752" w:rsidP="006B3DF7">
      <w:pPr>
        <w:widowControl/>
        <w:contextualSpacing/>
        <w:rPr>
          <w:rFonts w:eastAsia="Calibri"/>
          <w:color w:val="FF0000"/>
          <w:sz w:val="22"/>
          <w:szCs w:val="22"/>
        </w:rPr>
      </w:pPr>
      <w:bookmarkStart w:id="85" w:name="_Toc482701244"/>
      <w:r w:rsidRPr="003B7752">
        <w:t>Социально-значимые и первоочередные расходы составили 49 420,9 млн рублей или 71,5 % от общ</w:t>
      </w:r>
      <w:r>
        <w:t xml:space="preserve">ей суммы </w:t>
      </w:r>
      <w:r w:rsidRPr="003B7752">
        <w:t>произведенных расходов</w:t>
      </w:r>
      <w:r w:rsidR="00B03C62" w:rsidRPr="003B7752">
        <w:rPr>
          <w:rFonts w:eastAsia="Calibri"/>
        </w:rPr>
        <w:t xml:space="preserve">, с темпом к исполнению </w:t>
      </w:r>
      <w:r w:rsidR="00840C6F">
        <w:rPr>
          <w:rFonts w:eastAsia="Calibri"/>
        </w:rPr>
        <w:br/>
      </w:r>
      <w:r w:rsidR="00B03C62" w:rsidRPr="003B7752">
        <w:rPr>
          <w:rFonts w:eastAsia="Calibri"/>
        </w:rPr>
        <w:t>за 202</w:t>
      </w:r>
      <w:r w:rsidRPr="003B7752">
        <w:rPr>
          <w:rFonts w:eastAsia="Calibri"/>
        </w:rPr>
        <w:t>4</w:t>
      </w:r>
      <w:r w:rsidR="00B03C62" w:rsidRPr="003B7752">
        <w:rPr>
          <w:rFonts w:eastAsia="Calibri"/>
        </w:rPr>
        <w:t xml:space="preserve"> год </w:t>
      </w:r>
      <w:r w:rsidRPr="003B7752">
        <w:rPr>
          <w:rFonts w:eastAsia="Calibri"/>
        </w:rPr>
        <w:t>113</w:t>
      </w:r>
      <w:r w:rsidR="00B03C62" w:rsidRPr="003B7752">
        <w:rPr>
          <w:rFonts w:eastAsia="Calibri"/>
        </w:rPr>
        <w:t xml:space="preserve"> %</w:t>
      </w:r>
      <w:r w:rsidRPr="003B7752">
        <w:rPr>
          <w:rFonts w:eastAsia="Calibri"/>
        </w:rPr>
        <w:t xml:space="preserve"> </w:t>
      </w:r>
      <w:r w:rsidR="00B03C62" w:rsidRPr="003B7752">
        <w:rPr>
          <w:rFonts w:eastAsia="Calibri"/>
          <w:bCs/>
        </w:rPr>
        <w:t>и сложились следующим образом:</w:t>
      </w:r>
    </w:p>
    <w:p w14:paraId="0324D129" w14:textId="77777777" w:rsidR="003B7752" w:rsidRPr="00B92CDA" w:rsidRDefault="003B7752" w:rsidP="006B3DF7">
      <w:pPr>
        <w:pStyle w:val="af"/>
        <w:spacing w:after="0"/>
        <w:ind w:left="0"/>
        <w:contextualSpacing/>
        <w:rPr>
          <w:rFonts w:eastAsia="Calibri"/>
        </w:rPr>
      </w:pPr>
      <w:r w:rsidRPr="00B92CDA">
        <w:rPr>
          <w:rFonts w:eastAsia="Calibri"/>
          <w:bCs/>
          <w:sz w:val="28"/>
          <w:szCs w:val="28"/>
        </w:rPr>
        <w:t xml:space="preserve">- оплата труда – </w:t>
      </w:r>
      <w:r>
        <w:rPr>
          <w:rFonts w:eastAsia="Calibri"/>
          <w:bCs/>
          <w:sz w:val="28"/>
          <w:szCs w:val="28"/>
        </w:rPr>
        <w:t>10 958,3</w:t>
      </w:r>
      <w:r w:rsidRPr="00B92CDA">
        <w:rPr>
          <w:rFonts w:eastAsia="Calibri"/>
          <w:bCs/>
          <w:sz w:val="28"/>
          <w:szCs w:val="28"/>
        </w:rPr>
        <w:t xml:space="preserve"> млн рублей (темп роста 11</w:t>
      </w:r>
      <w:r>
        <w:rPr>
          <w:rFonts w:eastAsia="Calibri"/>
          <w:bCs/>
          <w:sz w:val="28"/>
          <w:szCs w:val="28"/>
        </w:rPr>
        <w:t>4,9</w:t>
      </w:r>
      <w:r w:rsidRPr="00B92CDA">
        <w:rPr>
          <w:rFonts w:eastAsia="Calibri"/>
          <w:bCs/>
          <w:sz w:val="28"/>
          <w:szCs w:val="28"/>
        </w:rPr>
        <w:t xml:space="preserve"> %);</w:t>
      </w:r>
    </w:p>
    <w:p w14:paraId="3678CB4A" w14:textId="77777777" w:rsidR="003B7752" w:rsidRPr="00B92CDA" w:rsidRDefault="003B7752" w:rsidP="006B3DF7">
      <w:pPr>
        <w:pStyle w:val="af"/>
        <w:spacing w:after="0"/>
        <w:ind w:left="0"/>
        <w:contextualSpacing/>
        <w:rPr>
          <w:rFonts w:eastAsia="Calibri"/>
        </w:rPr>
      </w:pPr>
      <w:r w:rsidRPr="00B92CDA">
        <w:rPr>
          <w:rFonts w:eastAsia="Calibri"/>
          <w:bCs/>
          <w:sz w:val="28"/>
          <w:szCs w:val="28"/>
        </w:rPr>
        <w:t xml:space="preserve">- социальные выплаты населению – </w:t>
      </w:r>
      <w:r>
        <w:rPr>
          <w:rFonts w:eastAsia="Calibri"/>
          <w:bCs/>
          <w:sz w:val="28"/>
          <w:szCs w:val="28"/>
        </w:rPr>
        <w:t>12 054,2</w:t>
      </w:r>
      <w:r w:rsidRPr="00B92CDA">
        <w:rPr>
          <w:rFonts w:eastAsia="Calibri"/>
          <w:bCs/>
          <w:sz w:val="28"/>
          <w:szCs w:val="28"/>
        </w:rPr>
        <w:t xml:space="preserve"> млн рублей (темп </w:t>
      </w:r>
      <w:r>
        <w:rPr>
          <w:rFonts w:eastAsia="Calibri"/>
          <w:bCs/>
          <w:sz w:val="28"/>
          <w:szCs w:val="28"/>
        </w:rPr>
        <w:t>роста 128,7</w:t>
      </w:r>
      <w:r w:rsidRPr="00B92CDA">
        <w:rPr>
          <w:rFonts w:eastAsia="Calibri"/>
          <w:bCs/>
          <w:sz w:val="28"/>
          <w:szCs w:val="28"/>
        </w:rPr>
        <w:t xml:space="preserve"> %), в том числе расходы </w:t>
      </w:r>
      <w:r w:rsidRPr="00B92CDA">
        <w:rPr>
          <w:sz w:val="30"/>
          <w:szCs w:val="30"/>
        </w:rPr>
        <w:t xml:space="preserve">на финансовое обеспечение специальных социальных выплат, установленных указами Главы республики для участников СВО и членов их семей </w:t>
      </w:r>
      <w:r>
        <w:rPr>
          <w:sz w:val="30"/>
          <w:szCs w:val="30"/>
        </w:rPr>
        <w:t>4 147,5</w:t>
      </w:r>
      <w:r w:rsidRPr="006D3C7C">
        <w:rPr>
          <w:color w:val="FF0000"/>
          <w:sz w:val="30"/>
          <w:szCs w:val="30"/>
        </w:rPr>
        <w:t xml:space="preserve"> </w:t>
      </w:r>
      <w:r w:rsidRPr="00B92CDA">
        <w:rPr>
          <w:sz w:val="30"/>
          <w:szCs w:val="30"/>
        </w:rPr>
        <w:t>млн рублей;</w:t>
      </w:r>
    </w:p>
    <w:p w14:paraId="531BB4F8" w14:textId="77777777" w:rsidR="003B7752" w:rsidRPr="00B92CDA" w:rsidRDefault="003B7752" w:rsidP="006B3DF7">
      <w:pPr>
        <w:pStyle w:val="af"/>
        <w:spacing w:after="0"/>
        <w:ind w:left="0"/>
        <w:contextualSpacing/>
        <w:rPr>
          <w:rFonts w:eastAsia="Calibri"/>
          <w:bCs/>
          <w:sz w:val="28"/>
          <w:szCs w:val="28"/>
        </w:rPr>
      </w:pPr>
      <w:r w:rsidRPr="00B92CDA">
        <w:rPr>
          <w:rFonts w:eastAsia="Calibri"/>
          <w:bCs/>
          <w:sz w:val="28"/>
          <w:szCs w:val="28"/>
        </w:rPr>
        <w:t>- приобретение медикаментов – 1</w:t>
      </w:r>
      <w:r>
        <w:rPr>
          <w:rFonts w:eastAsia="Calibri"/>
          <w:bCs/>
          <w:sz w:val="28"/>
          <w:szCs w:val="28"/>
        </w:rPr>
        <w:t> 820,8</w:t>
      </w:r>
      <w:r w:rsidRPr="00B92CDA">
        <w:rPr>
          <w:rFonts w:eastAsia="Calibri"/>
          <w:bCs/>
          <w:sz w:val="28"/>
          <w:szCs w:val="28"/>
        </w:rPr>
        <w:t xml:space="preserve"> млн рублей (темп роста 1</w:t>
      </w:r>
      <w:r>
        <w:rPr>
          <w:rFonts w:eastAsia="Calibri"/>
          <w:bCs/>
          <w:sz w:val="28"/>
          <w:szCs w:val="28"/>
        </w:rPr>
        <w:t>18,0</w:t>
      </w:r>
      <w:r w:rsidRPr="00B92CDA">
        <w:rPr>
          <w:rFonts w:eastAsia="Calibri"/>
          <w:bCs/>
          <w:sz w:val="28"/>
          <w:szCs w:val="28"/>
        </w:rPr>
        <w:t xml:space="preserve"> %);</w:t>
      </w:r>
    </w:p>
    <w:p w14:paraId="68FA6BD4" w14:textId="77777777" w:rsidR="003B7752" w:rsidRPr="00B92CDA" w:rsidRDefault="003B7752" w:rsidP="006B3DF7">
      <w:pPr>
        <w:pStyle w:val="af"/>
        <w:spacing w:after="0"/>
        <w:ind w:left="0"/>
        <w:contextualSpacing/>
        <w:rPr>
          <w:rFonts w:eastAsia="Calibri"/>
          <w:bCs/>
          <w:sz w:val="28"/>
          <w:szCs w:val="28"/>
        </w:rPr>
      </w:pPr>
      <w:r w:rsidRPr="00B92CDA">
        <w:rPr>
          <w:rFonts w:eastAsia="Calibri"/>
          <w:bCs/>
          <w:sz w:val="28"/>
          <w:szCs w:val="28"/>
        </w:rPr>
        <w:t xml:space="preserve">- питание – </w:t>
      </w:r>
      <w:r>
        <w:rPr>
          <w:rFonts w:eastAsia="Calibri"/>
          <w:bCs/>
          <w:sz w:val="28"/>
          <w:szCs w:val="28"/>
        </w:rPr>
        <w:t>352,9</w:t>
      </w:r>
      <w:r w:rsidRPr="00B92CDA">
        <w:rPr>
          <w:rFonts w:eastAsia="Calibri"/>
          <w:bCs/>
          <w:sz w:val="28"/>
          <w:szCs w:val="28"/>
        </w:rPr>
        <w:t xml:space="preserve"> млн рублей (темп роста 1</w:t>
      </w:r>
      <w:r>
        <w:rPr>
          <w:rFonts w:eastAsia="Calibri"/>
          <w:bCs/>
          <w:sz w:val="28"/>
          <w:szCs w:val="28"/>
        </w:rPr>
        <w:t>15,4</w:t>
      </w:r>
      <w:r w:rsidRPr="00B92CDA">
        <w:rPr>
          <w:rFonts w:eastAsia="Calibri"/>
          <w:bCs/>
          <w:sz w:val="28"/>
          <w:szCs w:val="28"/>
        </w:rPr>
        <w:t xml:space="preserve"> %);</w:t>
      </w:r>
    </w:p>
    <w:p w14:paraId="6A0786C5" w14:textId="77777777" w:rsidR="003B7752" w:rsidRPr="00336600" w:rsidRDefault="003B7752" w:rsidP="006B3DF7">
      <w:pPr>
        <w:pStyle w:val="af"/>
        <w:spacing w:after="0"/>
        <w:ind w:left="0"/>
        <w:contextualSpacing/>
        <w:rPr>
          <w:rFonts w:eastAsia="Calibri"/>
          <w:bCs/>
          <w:sz w:val="28"/>
          <w:szCs w:val="28"/>
        </w:rPr>
      </w:pPr>
      <w:r w:rsidRPr="00B92CDA">
        <w:rPr>
          <w:rFonts w:eastAsia="Calibri"/>
          <w:bCs/>
          <w:sz w:val="28"/>
          <w:szCs w:val="28"/>
        </w:rPr>
        <w:t>- предоставление межбюджетных трансфертов бюджетам муниципальных образований – 1</w:t>
      </w:r>
      <w:r>
        <w:rPr>
          <w:rFonts w:eastAsia="Calibri"/>
          <w:bCs/>
          <w:sz w:val="28"/>
          <w:szCs w:val="28"/>
        </w:rPr>
        <w:t>8 309,3</w:t>
      </w:r>
      <w:r w:rsidRPr="00B92CDA">
        <w:rPr>
          <w:rFonts w:eastAsia="Calibri"/>
          <w:bCs/>
          <w:sz w:val="28"/>
          <w:szCs w:val="28"/>
        </w:rPr>
        <w:t xml:space="preserve"> млн рублей (темп роста 10</w:t>
      </w:r>
      <w:r>
        <w:rPr>
          <w:rFonts w:eastAsia="Calibri"/>
          <w:bCs/>
          <w:sz w:val="28"/>
          <w:szCs w:val="28"/>
        </w:rPr>
        <w:t xml:space="preserve">4,1 </w:t>
      </w:r>
      <w:r w:rsidRPr="00B92CDA">
        <w:rPr>
          <w:rFonts w:eastAsia="Calibri"/>
          <w:bCs/>
          <w:sz w:val="28"/>
          <w:szCs w:val="28"/>
        </w:rPr>
        <w:t xml:space="preserve">%), в том числе субвенция на зарплату </w:t>
      </w:r>
      <w:r w:rsidRPr="00336600">
        <w:rPr>
          <w:rFonts w:eastAsia="Calibri"/>
          <w:bCs/>
          <w:sz w:val="28"/>
          <w:szCs w:val="28"/>
        </w:rPr>
        <w:t>11 943,1 млн рулей (темп роста 116,2 %);</w:t>
      </w:r>
    </w:p>
    <w:p w14:paraId="3DCA1CD7" w14:textId="77777777" w:rsidR="003B7752" w:rsidRPr="00B92CDA" w:rsidRDefault="003B7752" w:rsidP="006B3DF7">
      <w:pPr>
        <w:pStyle w:val="af"/>
        <w:spacing w:after="0"/>
        <w:ind w:left="0"/>
        <w:contextualSpacing/>
        <w:rPr>
          <w:rFonts w:eastAsia="Calibri"/>
          <w:bCs/>
          <w:sz w:val="28"/>
          <w:szCs w:val="28"/>
        </w:rPr>
      </w:pPr>
      <w:r w:rsidRPr="00B92CDA">
        <w:rPr>
          <w:rFonts w:eastAsia="Calibri"/>
          <w:bCs/>
          <w:sz w:val="28"/>
          <w:szCs w:val="28"/>
        </w:rPr>
        <w:t xml:space="preserve">- оплата коммунальных услуг и связи – </w:t>
      </w:r>
      <w:r>
        <w:rPr>
          <w:rFonts w:eastAsia="Calibri"/>
          <w:bCs/>
          <w:sz w:val="28"/>
          <w:szCs w:val="28"/>
        </w:rPr>
        <w:t>701,9</w:t>
      </w:r>
      <w:r w:rsidRPr="00B92CDA">
        <w:rPr>
          <w:rFonts w:eastAsia="Calibri"/>
          <w:bCs/>
          <w:sz w:val="28"/>
          <w:szCs w:val="28"/>
        </w:rPr>
        <w:t xml:space="preserve"> млн рублей (темп роста </w:t>
      </w:r>
      <w:r>
        <w:rPr>
          <w:rFonts w:eastAsia="Calibri"/>
          <w:bCs/>
          <w:sz w:val="28"/>
          <w:szCs w:val="28"/>
        </w:rPr>
        <w:t>115,5</w:t>
      </w:r>
      <w:r w:rsidRPr="00B92CDA">
        <w:rPr>
          <w:rFonts w:eastAsia="Calibri"/>
          <w:bCs/>
          <w:sz w:val="28"/>
          <w:szCs w:val="28"/>
        </w:rPr>
        <w:t xml:space="preserve"> %);</w:t>
      </w:r>
    </w:p>
    <w:p w14:paraId="0DC145D1" w14:textId="77777777" w:rsidR="003B7752" w:rsidRPr="00B92CDA" w:rsidRDefault="003B7752" w:rsidP="006B3DF7">
      <w:pPr>
        <w:pStyle w:val="af"/>
        <w:spacing w:after="0"/>
        <w:ind w:left="0"/>
        <w:contextualSpacing/>
        <w:rPr>
          <w:rFonts w:eastAsia="Calibri"/>
        </w:rPr>
      </w:pPr>
      <w:r w:rsidRPr="00B92CDA">
        <w:rPr>
          <w:rFonts w:eastAsia="Calibri"/>
          <w:bCs/>
          <w:sz w:val="28"/>
          <w:szCs w:val="28"/>
        </w:rPr>
        <w:t xml:space="preserve">- обязательное медицинское страхование неработающего населения </w:t>
      </w:r>
      <w:r w:rsidRPr="00B92CDA">
        <w:rPr>
          <w:rFonts w:eastAsia="Calibri"/>
          <w:bCs/>
          <w:sz w:val="28"/>
          <w:szCs w:val="28"/>
        </w:rPr>
        <w:br/>
        <w:t xml:space="preserve">- </w:t>
      </w:r>
      <w:r>
        <w:rPr>
          <w:rFonts w:eastAsia="Calibri"/>
          <w:bCs/>
          <w:sz w:val="28"/>
          <w:szCs w:val="28"/>
        </w:rPr>
        <w:t>5 223,4</w:t>
      </w:r>
      <w:r w:rsidRPr="00B92CDA">
        <w:rPr>
          <w:rFonts w:eastAsia="Calibri"/>
          <w:bCs/>
          <w:sz w:val="28"/>
          <w:szCs w:val="28"/>
        </w:rPr>
        <w:t xml:space="preserve"> млн рублей (темп роста 1</w:t>
      </w:r>
      <w:r>
        <w:rPr>
          <w:rFonts w:eastAsia="Calibri"/>
          <w:bCs/>
          <w:sz w:val="28"/>
          <w:szCs w:val="28"/>
        </w:rPr>
        <w:t>12,1</w:t>
      </w:r>
      <w:r w:rsidRPr="00B92CDA">
        <w:rPr>
          <w:rFonts w:eastAsia="Calibri"/>
          <w:bCs/>
          <w:sz w:val="28"/>
          <w:szCs w:val="28"/>
        </w:rPr>
        <w:t xml:space="preserve"> %).</w:t>
      </w:r>
    </w:p>
    <w:p w14:paraId="4E423F5B" w14:textId="77777777" w:rsidR="00617305" w:rsidRPr="00C014DC" w:rsidRDefault="00617305" w:rsidP="006B3DF7">
      <w:pPr>
        <w:jc w:val="center"/>
        <w:rPr>
          <w:b/>
          <w:bCs/>
          <w:color w:val="FF0000"/>
        </w:rPr>
      </w:pPr>
    </w:p>
    <w:p w14:paraId="6B74CE8F" w14:textId="77777777" w:rsidR="00FE6F91" w:rsidRDefault="00F811F4" w:rsidP="006B3DF7">
      <w:pPr>
        <w:jc w:val="center"/>
        <w:rPr>
          <w:b/>
          <w:bCs/>
        </w:rPr>
      </w:pPr>
      <w:r w:rsidRPr="003B7752">
        <w:rPr>
          <w:b/>
          <w:bCs/>
        </w:rPr>
        <w:t>Структура социально-значимых и первоочередных расходов</w:t>
      </w:r>
      <w:bookmarkEnd w:id="85"/>
      <w:r w:rsidRPr="003B7752">
        <w:rPr>
          <w:b/>
          <w:bCs/>
        </w:rPr>
        <w:t xml:space="preserve"> </w:t>
      </w:r>
    </w:p>
    <w:p w14:paraId="4944417F" w14:textId="53F2FE18" w:rsidR="00F811F4" w:rsidRDefault="00F811F4" w:rsidP="006B3DF7">
      <w:pPr>
        <w:jc w:val="center"/>
        <w:rPr>
          <w:b/>
          <w:bCs/>
        </w:rPr>
      </w:pPr>
      <w:r w:rsidRPr="003B7752">
        <w:rPr>
          <w:b/>
          <w:bCs/>
        </w:rPr>
        <w:t>республиканского бюджета КБР за 202</w:t>
      </w:r>
      <w:r w:rsidR="003B7752" w:rsidRPr="003B7752">
        <w:rPr>
          <w:b/>
          <w:bCs/>
        </w:rPr>
        <w:t>5</w:t>
      </w:r>
      <w:r w:rsidRPr="003B7752">
        <w:rPr>
          <w:b/>
          <w:bCs/>
        </w:rPr>
        <w:t xml:space="preserve"> год</w:t>
      </w:r>
    </w:p>
    <w:p w14:paraId="2C0ABE67" w14:textId="77777777" w:rsidR="00A95CD5" w:rsidRPr="003B7752" w:rsidRDefault="00A95CD5" w:rsidP="006B3DF7">
      <w:pPr>
        <w:jc w:val="center"/>
        <w:rPr>
          <w:b/>
          <w:bCs/>
        </w:rPr>
      </w:pPr>
    </w:p>
    <w:p w14:paraId="5A9174DC" w14:textId="039E9DE4" w:rsidR="00E34A72" w:rsidRPr="00C014DC" w:rsidRDefault="00A95CD5" w:rsidP="00A77BA1">
      <w:pPr>
        <w:ind w:firstLine="0"/>
        <w:jc w:val="center"/>
        <w:rPr>
          <w:b/>
          <w:bCs/>
          <w:color w:val="FF0000"/>
        </w:rPr>
      </w:pPr>
      <w:r w:rsidRPr="00C014DC">
        <w:rPr>
          <w:noProof/>
          <w:color w:val="FF0000"/>
          <w:lang w:eastAsia="ru-RU"/>
        </w:rPr>
        <w:drawing>
          <wp:inline distT="0" distB="0" distL="0" distR="0" wp14:anchorId="771BEA4C" wp14:editId="5DAF01F8">
            <wp:extent cx="6096000" cy="4257675"/>
            <wp:effectExtent l="0" t="0" r="0" b="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3CFFF4" w14:textId="1248CBB6" w:rsidR="00F811F4" w:rsidRPr="00C014DC" w:rsidRDefault="00F811F4" w:rsidP="006B3DF7">
      <w:pPr>
        <w:pStyle w:val="ab"/>
        <w:spacing w:after="0"/>
        <w:rPr>
          <w:color w:val="FF0000"/>
        </w:rPr>
      </w:pPr>
    </w:p>
    <w:p w14:paraId="5433F9EC" w14:textId="77777777" w:rsidR="00E34A72" w:rsidRPr="00C014DC" w:rsidRDefault="00E34A72" w:rsidP="006B3DF7">
      <w:pPr>
        <w:widowControl/>
        <w:tabs>
          <w:tab w:val="left" w:pos="993"/>
        </w:tabs>
        <w:contextualSpacing/>
        <w:rPr>
          <w:rFonts w:eastAsia="Calibri"/>
          <w:bCs/>
          <w:color w:val="FF0000"/>
        </w:rPr>
      </w:pPr>
    </w:p>
    <w:p w14:paraId="6907BB1B" w14:textId="644F8A0D" w:rsidR="00B03C62" w:rsidRPr="00C014DC" w:rsidRDefault="00B03C62" w:rsidP="006B3DF7">
      <w:pPr>
        <w:widowControl/>
        <w:tabs>
          <w:tab w:val="left" w:pos="993"/>
        </w:tabs>
        <w:contextualSpacing/>
        <w:rPr>
          <w:rFonts w:eastAsia="Calibri"/>
          <w:bCs/>
          <w:color w:val="FF0000"/>
        </w:rPr>
      </w:pPr>
      <w:r w:rsidRPr="006A241A">
        <w:rPr>
          <w:rFonts w:eastAsia="Calibri"/>
          <w:bCs/>
        </w:rPr>
        <w:t xml:space="preserve">Фактические расходы дорожного фонда </w:t>
      </w:r>
      <w:r w:rsidRPr="00840C6F">
        <w:rPr>
          <w:rFonts w:eastAsia="Calibri"/>
          <w:bCs/>
        </w:rPr>
        <w:t xml:space="preserve">составили </w:t>
      </w:r>
      <w:r w:rsidR="006A241A" w:rsidRPr="00840C6F">
        <w:rPr>
          <w:rFonts w:eastAsia="Calibri"/>
          <w:bCs/>
        </w:rPr>
        <w:t>6</w:t>
      </w:r>
      <w:r w:rsidR="00840C6F" w:rsidRPr="00840C6F">
        <w:rPr>
          <w:rFonts w:eastAsia="Calibri"/>
          <w:bCs/>
        </w:rPr>
        <w:t> 338,2</w:t>
      </w:r>
      <w:r w:rsidRPr="00840C6F">
        <w:rPr>
          <w:rFonts w:eastAsia="Calibri"/>
          <w:bCs/>
        </w:rPr>
        <w:t xml:space="preserve"> млн рублей.</w:t>
      </w:r>
    </w:p>
    <w:p w14:paraId="68A1FBFC" w14:textId="4FABCCA2" w:rsidR="00B03C62" w:rsidRPr="00FE6F91" w:rsidRDefault="00B03C62" w:rsidP="006B3DF7">
      <w:pPr>
        <w:widowControl/>
        <w:tabs>
          <w:tab w:val="left" w:pos="993"/>
        </w:tabs>
        <w:contextualSpacing/>
        <w:rPr>
          <w:rFonts w:eastAsia="Calibri"/>
          <w:bCs/>
        </w:rPr>
      </w:pPr>
      <w:r w:rsidRPr="006A241A">
        <w:rPr>
          <w:rFonts w:eastAsia="Calibri"/>
          <w:bCs/>
        </w:rPr>
        <w:t>Расходы на объекты капитальных вложений за 202</w:t>
      </w:r>
      <w:r w:rsidR="006A241A" w:rsidRPr="006A241A">
        <w:rPr>
          <w:rFonts w:eastAsia="Calibri"/>
          <w:bCs/>
        </w:rPr>
        <w:t>5</w:t>
      </w:r>
      <w:r w:rsidRPr="00C014DC">
        <w:rPr>
          <w:rFonts w:eastAsia="Calibri"/>
          <w:bCs/>
          <w:color w:val="FF0000"/>
        </w:rPr>
        <w:t xml:space="preserve"> </w:t>
      </w:r>
      <w:r w:rsidRPr="006A241A">
        <w:rPr>
          <w:rFonts w:eastAsia="Calibri"/>
          <w:bCs/>
        </w:rPr>
        <w:t xml:space="preserve">год </w:t>
      </w:r>
      <w:r w:rsidR="004550AD" w:rsidRPr="006A241A">
        <w:rPr>
          <w:rFonts w:eastAsia="Calibri"/>
          <w:bCs/>
        </w:rPr>
        <w:t>–</w:t>
      </w:r>
      <w:r w:rsidR="006A241A">
        <w:rPr>
          <w:rFonts w:eastAsia="Calibri"/>
          <w:bCs/>
          <w:color w:val="FF0000"/>
        </w:rPr>
        <w:t xml:space="preserve"> </w:t>
      </w:r>
      <w:r w:rsidR="00FE6F91" w:rsidRPr="00FE6F91">
        <w:rPr>
          <w:rFonts w:eastAsia="Calibri"/>
          <w:bCs/>
        </w:rPr>
        <w:t>4 903,2</w:t>
      </w:r>
      <w:r w:rsidRPr="00FE6F91">
        <w:rPr>
          <w:rFonts w:eastAsia="Calibri"/>
          <w:bCs/>
        </w:rPr>
        <w:t xml:space="preserve"> млн рублей</w:t>
      </w:r>
      <w:r w:rsidR="006A241A" w:rsidRPr="00FE6F91">
        <w:rPr>
          <w:rFonts w:eastAsia="Calibri"/>
          <w:bCs/>
        </w:rPr>
        <w:t>.</w:t>
      </w:r>
    </w:p>
    <w:p w14:paraId="294CD215" w14:textId="77777777" w:rsidR="00CB25D6" w:rsidRPr="0047372C" w:rsidRDefault="00747CA3" w:rsidP="006B3DF7">
      <w:pPr>
        <w:widowControl/>
        <w:rPr>
          <w:bCs/>
          <w:color w:val="auto"/>
        </w:rPr>
      </w:pPr>
      <w:r w:rsidRPr="0047372C">
        <w:rPr>
          <w:bCs/>
          <w:color w:val="auto"/>
        </w:rPr>
        <w:t xml:space="preserve">Наибольший удельный вес в структуре республиканского бюджета </w:t>
      </w:r>
      <w:r w:rsidR="00CB25D6" w:rsidRPr="0047372C">
        <w:rPr>
          <w:bCs/>
          <w:color w:val="auto"/>
        </w:rPr>
        <w:br/>
      </w:r>
      <w:r w:rsidRPr="0047372C">
        <w:rPr>
          <w:bCs/>
          <w:color w:val="auto"/>
        </w:rPr>
        <w:t>Кабардино-Балкарской Республики за 202</w:t>
      </w:r>
      <w:r w:rsidR="0047372C" w:rsidRPr="0047372C">
        <w:rPr>
          <w:bCs/>
          <w:color w:val="auto"/>
        </w:rPr>
        <w:t>5</w:t>
      </w:r>
      <w:r w:rsidRPr="0047372C">
        <w:rPr>
          <w:bCs/>
          <w:color w:val="auto"/>
        </w:rPr>
        <w:t xml:space="preserve"> год составили расходы на: </w:t>
      </w:r>
    </w:p>
    <w:p w14:paraId="032439D0" w14:textId="77777777" w:rsidR="0047372C" w:rsidRDefault="00747CA3" w:rsidP="006B3DF7">
      <w:pPr>
        <w:widowControl/>
        <w:jc w:val="left"/>
        <w:rPr>
          <w:bCs/>
          <w:color w:val="auto"/>
        </w:rPr>
      </w:pPr>
      <w:r w:rsidRPr="0047372C">
        <w:rPr>
          <w:bCs/>
          <w:color w:val="auto"/>
        </w:rPr>
        <w:t>социальную политику (</w:t>
      </w:r>
      <w:r w:rsidR="0047372C" w:rsidRPr="0047372C">
        <w:rPr>
          <w:bCs/>
          <w:color w:val="auto"/>
        </w:rPr>
        <w:t>31</w:t>
      </w:r>
      <w:r w:rsidRPr="0047372C">
        <w:rPr>
          <w:bCs/>
          <w:color w:val="auto"/>
        </w:rPr>
        <w:t xml:space="preserve"> %)</w:t>
      </w:r>
      <w:r w:rsidR="00CB25D6" w:rsidRPr="0047372C">
        <w:rPr>
          <w:bCs/>
          <w:color w:val="auto"/>
        </w:rPr>
        <w:t>;</w:t>
      </w:r>
    </w:p>
    <w:p w14:paraId="1FCA8D4C" w14:textId="77777777" w:rsidR="00246F87" w:rsidRDefault="0047372C" w:rsidP="006B3DF7">
      <w:pPr>
        <w:widowControl/>
        <w:jc w:val="left"/>
        <w:rPr>
          <w:bCs/>
          <w:color w:val="FF0000"/>
        </w:rPr>
      </w:pPr>
      <w:r w:rsidRPr="0047372C">
        <w:rPr>
          <w:bCs/>
          <w:color w:val="auto"/>
        </w:rPr>
        <w:t>образование (26 %);</w:t>
      </w:r>
    </w:p>
    <w:p w14:paraId="389B60F2" w14:textId="77777777" w:rsidR="00246F87" w:rsidRDefault="00747CA3" w:rsidP="006B3DF7">
      <w:pPr>
        <w:widowControl/>
        <w:jc w:val="left"/>
        <w:rPr>
          <w:bCs/>
          <w:color w:val="FF0000"/>
        </w:rPr>
      </w:pPr>
      <w:r w:rsidRPr="0047372C">
        <w:rPr>
          <w:bCs/>
          <w:color w:val="auto"/>
        </w:rPr>
        <w:t xml:space="preserve">национальную </w:t>
      </w:r>
      <w:r w:rsidR="00CB25D6" w:rsidRPr="0047372C">
        <w:rPr>
          <w:bCs/>
          <w:color w:val="auto"/>
        </w:rPr>
        <w:t>экономику (</w:t>
      </w:r>
      <w:r w:rsidR="0047372C" w:rsidRPr="0047372C">
        <w:rPr>
          <w:bCs/>
          <w:color w:val="auto"/>
        </w:rPr>
        <w:t>19</w:t>
      </w:r>
      <w:r w:rsidR="00CB25D6" w:rsidRPr="0047372C">
        <w:rPr>
          <w:bCs/>
          <w:color w:val="auto"/>
        </w:rPr>
        <w:t xml:space="preserve"> %);</w:t>
      </w:r>
    </w:p>
    <w:p w14:paraId="3BE30792" w14:textId="77777777" w:rsidR="00747CA3" w:rsidRPr="00C014DC" w:rsidRDefault="0047372C" w:rsidP="006B3DF7">
      <w:pPr>
        <w:widowControl/>
        <w:jc w:val="left"/>
        <w:rPr>
          <w:bCs/>
          <w:color w:val="FF0000"/>
        </w:rPr>
      </w:pPr>
      <w:r w:rsidRPr="0047372C">
        <w:rPr>
          <w:bCs/>
          <w:color w:val="auto"/>
        </w:rPr>
        <w:t>здравоохранение (9</w:t>
      </w:r>
      <w:r w:rsidR="00747CA3" w:rsidRPr="0047372C">
        <w:rPr>
          <w:bCs/>
          <w:color w:val="auto"/>
        </w:rPr>
        <w:t xml:space="preserve"> %).</w:t>
      </w:r>
    </w:p>
    <w:p w14:paraId="0FA635D9" w14:textId="5F173D6E" w:rsidR="00D95A1B" w:rsidRDefault="00D95A1B" w:rsidP="006B3DF7">
      <w:pPr>
        <w:rPr>
          <w:color w:val="FF0000"/>
        </w:rPr>
      </w:pPr>
    </w:p>
    <w:p w14:paraId="766C7615" w14:textId="77777777" w:rsidR="00CF47A2" w:rsidRPr="0047372C" w:rsidRDefault="00D95A1B" w:rsidP="006B3DF7">
      <w:pPr>
        <w:jc w:val="center"/>
        <w:rPr>
          <w:b/>
          <w:bCs/>
          <w:color w:val="auto"/>
          <w:lang w:eastAsia="ru-RU"/>
        </w:rPr>
      </w:pPr>
      <w:r w:rsidRPr="0047372C">
        <w:rPr>
          <w:b/>
          <w:bCs/>
          <w:color w:val="auto"/>
          <w:lang w:eastAsia="ru-RU"/>
        </w:rPr>
        <w:t xml:space="preserve">Структура расходов республиканского бюджета КБР по разделам </w:t>
      </w:r>
    </w:p>
    <w:p w14:paraId="39FB02EF" w14:textId="77777777" w:rsidR="00D95A1B" w:rsidRPr="0047372C" w:rsidRDefault="00D95A1B" w:rsidP="006B3DF7">
      <w:pPr>
        <w:jc w:val="center"/>
        <w:rPr>
          <w:b/>
          <w:bCs/>
          <w:color w:val="auto"/>
          <w:lang w:eastAsia="ru-RU"/>
        </w:rPr>
      </w:pPr>
      <w:r w:rsidRPr="0047372C">
        <w:rPr>
          <w:b/>
          <w:bCs/>
          <w:color w:val="auto"/>
          <w:lang w:eastAsia="ru-RU"/>
        </w:rPr>
        <w:t>за 202</w:t>
      </w:r>
      <w:r w:rsidR="0047372C" w:rsidRPr="0047372C">
        <w:rPr>
          <w:b/>
          <w:bCs/>
          <w:color w:val="auto"/>
          <w:lang w:eastAsia="ru-RU"/>
        </w:rPr>
        <w:t>5</w:t>
      </w:r>
      <w:r w:rsidRPr="0047372C">
        <w:rPr>
          <w:b/>
          <w:bCs/>
          <w:color w:val="auto"/>
          <w:lang w:eastAsia="ru-RU"/>
        </w:rPr>
        <w:t xml:space="preserve"> год</w:t>
      </w:r>
    </w:p>
    <w:p w14:paraId="6DAC55AD" w14:textId="77777777" w:rsidR="00CF47A2" w:rsidRPr="0047372C" w:rsidRDefault="00CF47A2" w:rsidP="006B3DF7">
      <w:pPr>
        <w:jc w:val="center"/>
        <w:rPr>
          <w:b/>
          <w:bCs/>
          <w:color w:val="auto"/>
          <w:lang w:eastAsia="ru-RU"/>
        </w:rPr>
      </w:pPr>
    </w:p>
    <w:p w14:paraId="075FB94C" w14:textId="77777777" w:rsidR="00D95A1B" w:rsidRPr="0047372C" w:rsidRDefault="00D95A1B" w:rsidP="006B3DF7">
      <w:pPr>
        <w:widowControl/>
        <w:jc w:val="right"/>
        <w:rPr>
          <w:bCs/>
          <w:color w:val="auto"/>
          <w:sz w:val="24"/>
          <w:szCs w:val="24"/>
          <w:lang w:eastAsia="ru-RU"/>
        </w:rPr>
      </w:pPr>
      <w:r w:rsidRPr="0047372C">
        <w:rPr>
          <w:bCs/>
          <w:color w:val="auto"/>
          <w:sz w:val="24"/>
          <w:szCs w:val="24"/>
          <w:lang w:eastAsia="ru-RU"/>
        </w:rPr>
        <w:t>(млн рублей)</w:t>
      </w:r>
    </w:p>
    <w:tbl>
      <w:tblPr>
        <w:tblW w:w="9922" w:type="dxa"/>
        <w:tblInd w:w="421" w:type="dxa"/>
        <w:tblLook w:val="04A0" w:firstRow="1" w:lastRow="0" w:firstColumn="1" w:lastColumn="0" w:noHBand="0" w:noVBand="1"/>
      </w:tblPr>
      <w:tblGrid>
        <w:gridCol w:w="2920"/>
        <w:gridCol w:w="2041"/>
        <w:gridCol w:w="1843"/>
        <w:gridCol w:w="1417"/>
        <w:gridCol w:w="1701"/>
      </w:tblGrid>
      <w:tr w:rsidR="0047372C" w:rsidRPr="0047372C" w14:paraId="0E4AF2F4" w14:textId="77777777" w:rsidTr="0047372C">
        <w:trPr>
          <w:trHeight w:val="1425"/>
        </w:trPr>
        <w:tc>
          <w:tcPr>
            <w:tcW w:w="2920" w:type="dxa"/>
            <w:tcBorders>
              <w:top w:val="single" w:sz="4" w:space="0" w:color="auto"/>
              <w:left w:val="single" w:sz="4" w:space="0" w:color="auto"/>
              <w:bottom w:val="single" w:sz="4" w:space="0" w:color="auto"/>
              <w:right w:val="single" w:sz="4" w:space="0" w:color="auto"/>
            </w:tcBorders>
            <w:shd w:val="clear" w:color="000000" w:fill="DBF6B9"/>
            <w:vAlign w:val="center"/>
            <w:hideMark/>
          </w:tcPr>
          <w:p w14:paraId="7E545E5D" w14:textId="77777777" w:rsidR="0047372C" w:rsidRPr="0047372C" w:rsidRDefault="0047372C" w:rsidP="008E68AB">
            <w:pPr>
              <w:widowControl/>
              <w:ind w:firstLine="0"/>
              <w:jc w:val="center"/>
              <w:rPr>
                <w:b/>
                <w:bCs/>
                <w:color w:val="000000"/>
                <w:sz w:val="24"/>
                <w:szCs w:val="24"/>
                <w:lang w:eastAsia="ru-RU"/>
              </w:rPr>
            </w:pPr>
            <w:r w:rsidRPr="0047372C">
              <w:rPr>
                <w:b/>
                <w:bCs/>
                <w:color w:val="000000"/>
                <w:sz w:val="24"/>
                <w:szCs w:val="24"/>
                <w:lang w:eastAsia="ru-RU"/>
              </w:rPr>
              <w:t>Наименование</w:t>
            </w:r>
          </w:p>
        </w:tc>
        <w:tc>
          <w:tcPr>
            <w:tcW w:w="2041" w:type="dxa"/>
            <w:tcBorders>
              <w:top w:val="single" w:sz="4" w:space="0" w:color="auto"/>
              <w:left w:val="nil"/>
              <w:bottom w:val="single" w:sz="4" w:space="0" w:color="auto"/>
              <w:right w:val="single" w:sz="4" w:space="0" w:color="auto"/>
            </w:tcBorders>
            <w:shd w:val="clear" w:color="000000" w:fill="DBF6B9"/>
            <w:vAlign w:val="center"/>
            <w:hideMark/>
          </w:tcPr>
          <w:p w14:paraId="05B51A1D" w14:textId="77777777" w:rsidR="0047372C" w:rsidRPr="0047372C" w:rsidRDefault="0047372C" w:rsidP="008E68AB">
            <w:pPr>
              <w:widowControl/>
              <w:ind w:firstLine="0"/>
              <w:jc w:val="center"/>
              <w:rPr>
                <w:b/>
                <w:bCs/>
                <w:color w:val="000000"/>
                <w:sz w:val="22"/>
                <w:szCs w:val="22"/>
                <w:lang w:eastAsia="ru-RU"/>
              </w:rPr>
            </w:pPr>
            <w:r w:rsidRPr="0047372C">
              <w:rPr>
                <w:b/>
                <w:bCs/>
                <w:color w:val="000000"/>
                <w:sz w:val="22"/>
                <w:szCs w:val="24"/>
                <w:lang w:eastAsia="ru-RU"/>
              </w:rPr>
              <w:t>Уточненная бюджетная роспись</w:t>
            </w:r>
          </w:p>
        </w:tc>
        <w:tc>
          <w:tcPr>
            <w:tcW w:w="1843" w:type="dxa"/>
            <w:tcBorders>
              <w:top w:val="single" w:sz="4" w:space="0" w:color="auto"/>
              <w:left w:val="nil"/>
              <w:bottom w:val="single" w:sz="4" w:space="0" w:color="auto"/>
              <w:right w:val="single" w:sz="4" w:space="0" w:color="auto"/>
            </w:tcBorders>
            <w:shd w:val="clear" w:color="000000" w:fill="DBF6B9"/>
            <w:vAlign w:val="center"/>
            <w:hideMark/>
          </w:tcPr>
          <w:p w14:paraId="0FB7759F" w14:textId="77777777" w:rsidR="0047372C" w:rsidRPr="0047372C" w:rsidRDefault="0047372C" w:rsidP="008E68AB">
            <w:pPr>
              <w:widowControl/>
              <w:ind w:firstLine="0"/>
              <w:jc w:val="center"/>
              <w:rPr>
                <w:b/>
                <w:bCs/>
                <w:color w:val="000000"/>
                <w:sz w:val="22"/>
                <w:szCs w:val="22"/>
                <w:lang w:eastAsia="ru-RU"/>
              </w:rPr>
            </w:pPr>
            <w:r w:rsidRPr="0047372C">
              <w:rPr>
                <w:b/>
                <w:bCs/>
                <w:color w:val="000000"/>
                <w:sz w:val="22"/>
                <w:szCs w:val="24"/>
                <w:lang w:eastAsia="ru-RU"/>
              </w:rPr>
              <w:t>Исполнение</w:t>
            </w:r>
          </w:p>
        </w:tc>
        <w:tc>
          <w:tcPr>
            <w:tcW w:w="1417" w:type="dxa"/>
            <w:tcBorders>
              <w:top w:val="single" w:sz="4" w:space="0" w:color="auto"/>
              <w:left w:val="nil"/>
              <w:bottom w:val="single" w:sz="4" w:space="0" w:color="auto"/>
              <w:right w:val="single" w:sz="4" w:space="0" w:color="auto"/>
            </w:tcBorders>
            <w:shd w:val="clear" w:color="000000" w:fill="DBF6B9"/>
            <w:vAlign w:val="center"/>
            <w:hideMark/>
          </w:tcPr>
          <w:p w14:paraId="0C281940" w14:textId="77777777" w:rsidR="0047372C" w:rsidRPr="0047372C" w:rsidRDefault="0047372C" w:rsidP="008E68AB">
            <w:pPr>
              <w:widowControl/>
              <w:ind w:firstLine="0"/>
              <w:jc w:val="center"/>
              <w:rPr>
                <w:b/>
                <w:bCs/>
                <w:color w:val="000000"/>
                <w:sz w:val="22"/>
                <w:szCs w:val="22"/>
                <w:lang w:eastAsia="ru-RU"/>
              </w:rPr>
            </w:pPr>
            <w:r w:rsidRPr="0047372C">
              <w:rPr>
                <w:b/>
                <w:bCs/>
                <w:color w:val="000000"/>
                <w:sz w:val="22"/>
                <w:szCs w:val="24"/>
                <w:lang w:eastAsia="ru-RU"/>
              </w:rPr>
              <w:t>в % к уточненной бюджетной росписи</w:t>
            </w:r>
          </w:p>
        </w:tc>
        <w:tc>
          <w:tcPr>
            <w:tcW w:w="1701" w:type="dxa"/>
            <w:tcBorders>
              <w:top w:val="single" w:sz="4" w:space="0" w:color="auto"/>
              <w:left w:val="nil"/>
              <w:bottom w:val="single" w:sz="4" w:space="0" w:color="auto"/>
              <w:right w:val="single" w:sz="4" w:space="0" w:color="auto"/>
            </w:tcBorders>
            <w:shd w:val="clear" w:color="000000" w:fill="DBF6B9"/>
            <w:vAlign w:val="center"/>
            <w:hideMark/>
          </w:tcPr>
          <w:p w14:paraId="795D6079" w14:textId="77777777" w:rsidR="0047372C" w:rsidRPr="0047372C" w:rsidRDefault="0047372C" w:rsidP="008E68AB">
            <w:pPr>
              <w:widowControl/>
              <w:ind w:firstLine="0"/>
              <w:jc w:val="center"/>
              <w:rPr>
                <w:b/>
                <w:bCs/>
                <w:color w:val="000000"/>
                <w:sz w:val="22"/>
                <w:szCs w:val="22"/>
                <w:lang w:eastAsia="ru-RU"/>
              </w:rPr>
            </w:pPr>
            <w:r w:rsidRPr="0047372C">
              <w:rPr>
                <w:b/>
                <w:bCs/>
                <w:color w:val="000000"/>
                <w:sz w:val="22"/>
                <w:szCs w:val="22"/>
                <w:lang w:eastAsia="ru-RU"/>
              </w:rPr>
              <w:t>Темп роста к исполнению за 2024 год, %</w:t>
            </w:r>
          </w:p>
        </w:tc>
      </w:tr>
      <w:tr w:rsidR="00426726" w:rsidRPr="0047372C" w14:paraId="3B58CF4D" w14:textId="77777777" w:rsidTr="0047372C">
        <w:trPr>
          <w:trHeight w:val="300"/>
        </w:trPr>
        <w:tc>
          <w:tcPr>
            <w:tcW w:w="2920" w:type="dxa"/>
            <w:tcBorders>
              <w:top w:val="nil"/>
              <w:left w:val="single" w:sz="4" w:space="0" w:color="auto"/>
              <w:bottom w:val="single" w:sz="4" w:space="0" w:color="auto"/>
              <w:right w:val="single" w:sz="4" w:space="0" w:color="auto"/>
            </w:tcBorders>
            <w:shd w:val="clear" w:color="000000" w:fill="80D219"/>
            <w:noWrap/>
            <w:vAlign w:val="center"/>
            <w:hideMark/>
          </w:tcPr>
          <w:p w14:paraId="6C572AD1" w14:textId="77777777" w:rsidR="00426726" w:rsidRPr="00A77BA1" w:rsidRDefault="00426726" w:rsidP="008E68AB">
            <w:pPr>
              <w:widowControl/>
              <w:ind w:firstLine="0"/>
              <w:jc w:val="left"/>
              <w:rPr>
                <w:b/>
                <w:color w:val="000000"/>
                <w:sz w:val="22"/>
                <w:szCs w:val="22"/>
                <w:lang w:eastAsia="ru-RU"/>
              </w:rPr>
            </w:pPr>
            <w:r w:rsidRPr="00A77BA1">
              <w:rPr>
                <w:b/>
                <w:color w:val="000000"/>
                <w:sz w:val="22"/>
                <w:szCs w:val="22"/>
                <w:lang w:eastAsia="ru-RU"/>
              </w:rPr>
              <w:t>Всего</w:t>
            </w:r>
          </w:p>
        </w:tc>
        <w:tc>
          <w:tcPr>
            <w:tcW w:w="2041" w:type="dxa"/>
            <w:tcBorders>
              <w:top w:val="nil"/>
              <w:left w:val="nil"/>
              <w:bottom w:val="single" w:sz="4" w:space="0" w:color="auto"/>
              <w:right w:val="single" w:sz="4" w:space="0" w:color="auto"/>
            </w:tcBorders>
            <w:shd w:val="clear" w:color="000000" w:fill="80D219"/>
            <w:noWrap/>
            <w:vAlign w:val="center"/>
            <w:hideMark/>
          </w:tcPr>
          <w:p w14:paraId="67128C42" w14:textId="56F89610" w:rsidR="00426726" w:rsidRPr="00A77BA1" w:rsidRDefault="00426726" w:rsidP="008E68AB">
            <w:pPr>
              <w:widowControl/>
              <w:ind w:firstLine="0"/>
              <w:jc w:val="center"/>
              <w:rPr>
                <w:b/>
                <w:color w:val="000000"/>
                <w:sz w:val="22"/>
                <w:szCs w:val="22"/>
                <w:lang w:eastAsia="ru-RU"/>
              </w:rPr>
            </w:pPr>
            <w:r w:rsidRPr="00A77BA1">
              <w:rPr>
                <w:b/>
                <w:color w:val="000000"/>
                <w:sz w:val="22"/>
                <w:szCs w:val="22"/>
              </w:rPr>
              <w:t>71 363,5</w:t>
            </w:r>
          </w:p>
        </w:tc>
        <w:tc>
          <w:tcPr>
            <w:tcW w:w="1843" w:type="dxa"/>
            <w:tcBorders>
              <w:top w:val="nil"/>
              <w:left w:val="nil"/>
              <w:bottom w:val="single" w:sz="4" w:space="0" w:color="auto"/>
              <w:right w:val="single" w:sz="4" w:space="0" w:color="auto"/>
            </w:tcBorders>
            <w:shd w:val="clear" w:color="000000" w:fill="80D219"/>
            <w:noWrap/>
            <w:vAlign w:val="center"/>
            <w:hideMark/>
          </w:tcPr>
          <w:p w14:paraId="4D9BB564" w14:textId="6D967A18" w:rsidR="00426726" w:rsidRPr="00A77BA1" w:rsidRDefault="00426726" w:rsidP="008E68AB">
            <w:pPr>
              <w:widowControl/>
              <w:ind w:firstLine="0"/>
              <w:jc w:val="center"/>
              <w:rPr>
                <w:b/>
                <w:color w:val="000000"/>
                <w:sz w:val="22"/>
                <w:szCs w:val="22"/>
                <w:lang w:eastAsia="ru-RU"/>
              </w:rPr>
            </w:pPr>
            <w:r w:rsidRPr="00A77BA1">
              <w:rPr>
                <w:b/>
                <w:color w:val="000000"/>
                <w:sz w:val="22"/>
                <w:szCs w:val="22"/>
              </w:rPr>
              <w:t>69 126,0</w:t>
            </w:r>
          </w:p>
        </w:tc>
        <w:tc>
          <w:tcPr>
            <w:tcW w:w="1417" w:type="dxa"/>
            <w:tcBorders>
              <w:top w:val="nil"/>
              <w:left w:val="nil"/>
              <w:bottom w:val="single" w:sz="4" w:space="0" w:color="auto"/>
              <w:right w:val="single" w:sz="4" w:space="0" w:color="auto"/>
            </w:tcBorders>
            <w:shd w:val="clear" w:color="000000" w:fill="80D219"/>
            <w:noWrap/>
            <w:vAlign w:val="center"/>
            <w:hideMark/>
          </w:tcPr>
          <w:p w14:paraId="698A8901" w14:textId="0FD6F34C" w:rsidR="00426726" w:rsidRPr="00A77BA1" w:rsidRDefault="00426726" w:rsidP="008E68AB">
            <w:pPr>
              <w:widowControl/>
              <w:ind w:firstLine="0"/>
              <w:jc w:val="center"/>
              <w:rPr>
                <w:b/>
                <w:color w:val="000000"/>
                <w:sz w:val="22"/>
                <w:szCs w:val="22"/>
                <w:lang w:eastAsia="ru-RU"/>
              </w:rPr>
            </w:pPr>
            <w:r w:rsidRPr="00A77BA1">
              <w:rPr>
                <w:b/>
                <w:color w:val="000000"/>
                <w:sz w:val="22"/>
                <w:szCs w:val="22"/>
              </w:rPr>
              <w:t>96,9%</w:t>
            </w:r>
          </w:p>
        </w:tc>
        <w:tc>
          <w:tcPr>
            <w:tcW w:w="1701" w:type="dxa"/>
            <w:tcBorders>
              <w:top w:val="nil"/>
              <w:left w:val="nil"/>
              <w:bottom w:val="single" w:sz="4" w:space="0" w:color="auto"/>
              <w:right w:val="single" w:sz="4" w:space="0" w:color="auto"/>
            </w:tcBorders>
            <w:shd w:val="clear" w:color="000000" w:fill="80D219"/>
            <w:noWrap/>
            <w:vAlign w:val="center"/>
            <w:hideMark/>
          </w:tcPr>
          <w:p w14:paraId="02B6D6BD" w14:textId="72863942" w:rsidR="00426726" w:rsidRPr="00A77BA1" w:rsidRDefault="00426726" w:rsidP="008E68AB">
            <w:pPr>
              <w:widowControl/>
              <w:ind w:firstLine="0"/>
              <w:jc w:val="center"/>
              <w:rPr>
                <w:b/>
                <w:color w:val="000000"/>
                <w:sz w:val="22"/>
                <w:szCs w:val="22"/>
                <w:lang w:eastAsia="ru-RU"/>
              </w:rPr>
            </w:pPr>
            <w:r w:rsidRPr="00A77BA1">
              <w:rPr>
                <w:b/>
                <w:color w:val="000000"/>
                <w:sz w:val="22"/>
                <w:szCs w:val="22"/>
              </w:rPr>
              <w:t>109,4%</w:t>
            </w:r>
          </w:p>
        </w:tc>
      </w:tr>
      <w:tr w:rsidR="00426726" w:rsidRPr="0047372C" w14:paraId="76FFBCF5" w14:textId="77777777" w:rsidTr="0047372C">
        <w:trPr>
          <w:trHeight w:val="6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15911E"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Общегосударственные вопросы</w:t>
            </w:r>
          </w:p>
        </w:tc>
        <w:tc>
          <w:tcPr>
            <w:tcW w:w="2041" w:type="dxa"/>
            <w:tcBorders>
              <w:top w:val="nil"/>
              <w:left w:val="nil"/>
              <w:bottom w:val="single" w:sz="4" w:space="0" w:color="auto"/>
              <w:right w:val="single" w:sz="4" w:space="0" w:color="auto"/>
            </w:tcBorders>
            <w:shd w:val="clear" w:color="auto" w:fill="auto"/>
            <w:noWrap/>
            <w:vAlign w:val="center"/>
            <w:hideMark/>
          </w:tcPr>
          <w:p w14:paraId="2B6D1C11" w14:textId="6249F051" w:rsidR="00426726" w:rsidRPr="0047372C" w:rsidRDefault="00426726" w:rsidP="008E68AB">
            <w:pPr>
              <w:widowControl/>
              <w:ind w:firstLine="0"/>
              <w:jc w:val="center"/>
              <w:rPr>
                <w:color w:val="000000"/>
                <w:sz w:val="22"/>
                <w:szCs w:val="22"/>
                <w:lang w:eastAsia="ru-RU"/>
              </w:rPr>
            </w:pPr>
            <w:r>
              <w:rPr>
                <w:color w:val="000000"/>
                <w:sz w:val="22"/>
                <w:szCs w:val="22"/>
              </w:rPr>
              <w:t>3 186,9</w:t>
            </w:r>
          </w:p>
        </w:tc>
        <w:tc>
          <w:tcPr>
            <w:tcW w:w="1843" w:type="dxa"/>
            <w:tcBorders>
              <w:top w:val="nil"/>
              <w:left w:val="nil"/>
              <w:bottom w:val="single" w:sz="4" w:space="0" w:color="auto"/>
              <w:right w:val="single" w:sz="4" w:space="0" w:color="auto"/>
            </w:tcBorders>
            <w:shd w:val="clear" w:color="auto" w:fill="auto"/>
            <w:noWrap/>
            <w:vAlign w:val="center"/>
            <w:hideMark/>
          </w:tcPr>
          <w:p w14:paraId="13DA8ECC" w14:textId="7CD665C6" w:rsidR="00426726" w:rsidRPr="0047372C" w:rsidRDefault="00426726" w:rsidP="008E68AB">
            <w:pPr>
              <w:widowControl/>
              <w:ind w:firstLine="0"/>
              <w:jc w:val="center"/>
              <w:rPr>
                <w:color w:val="000000"/>
                <w:sz w:val="22"/>
                <w:szCs w:val="22"/>
                <w:lang w:eastAsia="ru-RU"/>
              </w:rPr>
            </w:pPr>
            <w:r>
              <w:rPr>
                <w:color w:val="000000"/>
                <w:sz w:val="22"/>
                <w:szCs w:val="22"/>
              </w:rPr>
              <w:t>3 071,7</w:t>
            </w:r>
          </w:p>
        </w:tc>
        <w:tc>
          <w:tcPr>
            <w:tcW w:w="1417" w:type="dxa"/>
            <w:tcBorders>
              <w:top w:val="nil"/>
              <w:left w:val="nil"/>
              <w:bottom w:val="single" w:sz="4" w:space="0" w:color="auto"/>
              <w:right w:val="single" w:sz="4" w:space="0" w:color="auto"/>
            </w:tcBorders>
            <w:shd w:val="clear" w:color="auto" w:fill="auto"/>
            <w:noWrap/>
            <w:vAlign w:val="center"/>
            <w:hideMark/>
          </w:tcPr>
          <w:p w14:paraId="42A4DAB0" w14:textId="77488FCA" w:rsidR="00426726" w:rsidRPr="0047372C" w:rsidRDefault="00426726" w:rsidP="008E68AB">
            <w:pPr>
              <w:widowControl/>
              <w:ind w:firstLine="0"/>
              <w:jc w:val="center"/>
              <w:rPr>
                <w:color w:val="000000"/>
                <w:sz w:val="22"/>
                <w:szCs w:val="22"/>
                <w:lang w:eastAsia="ru-RU"/>
              </w:rPr>
            </w:pPr>
            <w:r>
              <w:rPr>
                <w:color w:val="000000"/>
                <w:sz w:val="22"/>
                <w:szCs w:val="22"/>
              </w:rPr>
              <w:t>96,4%</w:t>
            </w:r>
          </w:p>
        </w:tc>
        <w:tc>
          <w:tcPr>
            <w:tcW w:w="1701" w:type="dxa"/>
            <w:tcBorders>
              <w:top w:val="nil"/>
              <w:left w:val="nil"/>
              <w:bottom w:val="single" w:sz="4" w:space="0" w:color="auto"/>
              <w:right w:val="single" w:sz="4" w:space="0" w:color="auto"/>
            </w:tcBorders>
            <w:shd w:val="clear" w:color="auto" w:fill="auto"/>
            <w:noWrap/>
            <w:vAlign w:val="center"/>
            <w:hideMark/>
          </w:tcPr>
          <w:p w14:paraId="49665CB7" w14:textId="4CA2727C" w:rsidR="00426726" w:rsidRPr="0047372C" w:rsidRDefault="00426726" w:rsidP="008E68AB">
            <w:pPr>
              <w:widowControl/>
              <w:ind w:firstLine="0"/>
              <w:jc w:val="center"/>
              <w:rPr>
                <w:color w:val="000000"/>
                <w:sz w:val="22"/>
                <w:szCs w:val="22"/>
                <w:lang w:eastAsia="ru-RU"/>
              </w:rPr>
            </w:pPr>
            <w:r>
              <w:rPr>
                <w:color w:val="000000"/>
                <w:sz w:val="22"/>
                <w:szCs w:val="22"/>
              </w:rPr>
              <w:t>108,7%</w:t>
            </w:r>
          </w:p>
        </w:tc>
      </w:tr>
      <w:tr w:rsidR="00426726" w:rsidRPr="0047372C" w14:paraId="4DCAA830" w14:textId="77777777" w:rsidTr="0047372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00F319"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Национальная оборона</w:t>
            </w:r>
          </w:p>
        </w:tc>
        <w:tc>
          <w:tcPr>
            <w:tcW w:w="2041" w:type="dxa"/>
            <w:tcBorders>
              <w:top w:val="nil"/>
              <w:left w:val="nil"/>
              <w:bottom w:val="single" w:sz="4" w:space="0" w:color="auto"/>
              <w:right w:val="single" w:sz="4" w:space="0" w:color="auto"/>
            </w:tcBorders>
            <w:shd w:val="clear" w:color="auto" w:fill="auto"/>
            <w:noWrap/>
            <w:vAlign w:val="center"/>
            <w:hideMark/>
          </w:tcPr>
          <w:p w14:paraId="5B7AD5BB" w14:textId="45EB81EC" w:rsidR="00426726" w:rsidRPr="0047372C" w:rsidRDefault="00426726" w:rsidP="008E68AB">
            <w:pPr>
              <w:widowControl/>
              <w:ind w:firstLine="0"/>
              <w:jc w:val="center"/>
              <w:rPr>
                <w:color w:val="000000"/>
                <w:sz w:val="22"/>
                <w:szCs w:val="22"/>
                <w:lang w:eastAsia="ru-RU"/>
              </w:rPr>
            </w:pPr>
            <w:r>
              <w:rPr>
                <w:color w:val="000000"/>
                <w:sz w:val="22"/>
                <w:szCs w:val="22"/>
              </w:rPr>
              <w:t>96,4</w:t>
            </w:r>
          </w:p>
        </w:tc>
        <w:tc>
          <w:tcPr>
            <w:tcW w:w="1843" w:type="dxa"/>
            <w:tcBorders>
              <w:top w:val="nil"/>
              <w:left w:val="nil"/>
              <w:bottom w:val="single" w:sz="4" w:space="0" w:color="auto"/>
              <w:right w:val="single" w:sz="4" w:space="0" w:color="auto"/>
            </w:tcBorders>
            <w:shd w:val="clear" w:color="auto" w:fill="auto"/>
            <w:noWrap/>
            <w:vAlign w:val="center"/>
            <w:hideMark/>
          </w:tcPr>
          <w:p w14:paraId="126643FF" w14:textId="2965E103" w:rsidR="00426726" w:rsidRPr="0047372C" w:rsidRDefault="00426726" w:rsidP="008E68AB">
            <w:pPr>
              <w:widowControl/>
              <w:ind w:firstLine="0"/>
              <w:jc w:val="center"/>
              <w:rPr>
                <w:color w:val="000000"/>
                <w:sz w:val="22"/>
                <w:szCs w:val="22"/>
                <w:lang w:eastAsia="ru-RU"/>
              </w:rPr>
            </w:pPr>
            <w:r>
              <w:rPr>
                <w:color w:val="000000"/>
                <w:sz w:val="22"/>
                <w:szCs w:val="22"/>
              </w:rPr>
              <w:t>96,3</w:t>
            </w:r>
          </w:p>
        </w:tc>
        <w:tc>
          <w:tcPr>
            <w:tcW w:w="1417" w:type="dxa"/>
            <w:tcBorders>
              <w:top w:val="nil"/>
              <w:left w:val="nil"/>
              <w:bottom w:val="single" w:sz="4" w:space="0" w:color="auto"/>
              <w:right w:val="single" w:sz="4" w:space="0" w:color="auto"/>
            </w:tcBorders>
            <w:shd w:val="clear" w:color="auto" w:fill="auto"/>
            <w:noWrap/>
            <w:vAlign w:val="center"/>
            <w:hideMark/>
          </w:tcPr>
          <w:p w14:paraId="784B580A" w14:textId="7D905657" w:rsidR="00426726" w:rsidRPr="0047372C" w:rsidRDefault="00426726" w:rsidP="008E68AB">
            <w:pPr>
              <w:widowControl/>
              <w:ind w:firstLine="0"/>
              <w:jc w:val="center"/>
              <w:rPr>
                <w:color w:val="000000"/>
                <w:sz w:val="22"/>
                <w:szCs w:val="22"/>
                <w:lang w:eastAsia="ru-RU"/>
              </w:rPr>
            </w:pPr>
            <w:r>
              <w:rPr>
                <w:color w:val="000000"/>
                <w:sz w:val="22"/>
                <w:szCs w:val="22"/>
              </w:rPr>
              <w:t>99,9%</w:t>
            </w:r>
          </w:p>
        </w:tc>
        <w:tc>
          <w:tcPr>
            <w:tcW w:w="1701" w:type="dxa"/>
            <w:tcBorders>
              <w:top w:val="nil"/>
              <w:left w:val="nil"/>
              <w:bottom w:val="single" w:sz="4" w:space="0" w:color="auto"/>
              <w:right w:val="single" w:sz="4" w:space="0" w:color="auto"/>
            </w:tcBorders>
            <w:shd w:val="clear" w:color="auto" w:fill="auto"/>
            <w:noWrap/>
            <w:vAlign w:val="center"/>
            <w:hideMark/>
          </w:tcPr>
          <w:p w14:paraId="7D7D5FA1" w14:textId="1E83FC12" w:rsidR="00426726" w:rsidRPr="0047372C" w:rsidRDefault="00426726" w:rsidP="008E68AB">
            <w:pPr>
              <w:widowControl/>
              <w:ind w:firstLine="0"/>
              <w:jc w:val="center"/>
              <w:rPr>
                <w:color w:val="000000"/>
                <w:sz w:val="22"/>
                <w:szCs w:val="22"/>
                <w:lang w:eastAsia="ru-RU"/>
              </w:rPr>
            </w:pPr>
            <w:r>
              <w:rPr>
                <w:color w:val="000000"/>
                <w:sz w:val="22"/>
                <w:szCs w:val="22"/>
              </w:rPr>
              <w:t>24,9%</w:t>
            </w:r>
          </w:p>
        </w:tc>
      </w:tr>
      <w:tr w:rsidR="00426726" w:rsidRPr="0047372C" w14:paraId="16B42B01" w14:textId="77777777" w:rsidTr="0047372C">
        <w:trPr>
          <w:trHeight w:val="9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2A30749"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Национальная безопасность и правоохранительная деятельность</w:t>
            </w:r>
          </w:p>
        </w:tc>
        <w:tc>
          <w:tcPr>
            <w:tcW w:w="2041" w:type="dxa"/>
            <w:tcBorders>
              <w:top w:val="nil"/>
              <w:left w:val="nil"/>
              <w:bottom w:val="single" w:sz="4" w:space="0" w:color="auto"/>
              <w:right w:val="single" w:sz="4" w:space="0" w:color="auto"/>
            </w:tcBorders>
            <w:shd w:val="clear" w:color="auto" w:fill="auto"/>
            <w:noWrap/>
            <w:vAlign w:val="center"/>
            <w:hideMark/>
          </w:tcPr>
          <w:p w14:paraId="735B7127" w14:textId="28757B94" w:rsidR="00426726" w:rsidRPr="0047372C" w:rsidRDefault="00426726" w:rsidP="008E68AB">
            <w:pPr>
              <w:widowControl/>
              <w:ind w:firstLine="0"/>
              <w:jc w:val="center"/>
              <w:rPr>
                <w:color w:val="000000"/>
                <w:sz w:val="22"/>
                <w:szCs w:val="22"/>
                <w:lang w:eastAsia="ru-RU"/>
              </w:rPr>
            </w:pPr>
            <w:r>
              <w:rPr>
                <w:color w:val="000000"/>
                <w:sz w:val="22"/>
                <w:szCs w:val="22"/>
              </w:rPr>
              <w:t>520,1</w:t>
            </w:r>
          </w:p>
        </w:tc>
        <w:tc>
          <w:tcPr>
            <w:tcW w:w="1843" w:type="dxa"/>
            <w:tcBorders>
              <w:top w:val="nil"/>
              <w:left w:val="nil"/>
              <w:bottom w:val="single" w:sz="4" w:space="0" w:color="auto"/>
              <w:right w:val="single" w:sz="4" w:space="0" w:color="auto"/>
            </w:tcBorders>
            <w:shd w:val="clear" w:color="auto" w:fill="auto"/>
            <w:noWrap/>
            <w:vAlign w:val="center"/>
            <w:hideMark/>
          </w:tcPr>
          <w:p w14:paraId="1610EC44" w14:textId="6A457FE8" w:rsidR="00426726" w:rsidRPr="0047372C" w:rsidRDefault="00426726" w:rsidP="008E68AB">
            <w:pPr>
              <w:widowControl/>
              <w:ind w:firstLine="0"/>
              <w:jc w:val="center"/>
              <w:rPr>
                <w:color w:val="000000"/>
                <w:sz w:val="22"/>
                <w:szCs w:val="22"/>
                <w:lang w:eastAsia="ru-RU"/>
              </w:rPr>
            </w:pPr>
            <w:r>
              <w:rPr>
                <w:color w:val="000000"/>
                <w:sz w:val="22"/>
                <w:szCs w:val="22"/>
              </w:rPr>
              <w:t>517,4</w:t>
            </w:r>
          </w:p>
        </w:tc>
        <w:tc>
          <w:tcPr>
            <w:tcW w:w="1417" w:type="dxa"/>
            <w:tcBorders>
              <w:top w:val="nil"/>
              <w:left w:val="nil"/>
              <w:bottom w:val="single" w:sz="4" w:space="0" w:color="auto"/>
              <w:right w:val="single" w:sz="4" w:space="0" w:color="auto"/>
            </w:tcBorders>
            <w:shd w:val="clear" w:color="auto" w:fill="auto"/>
            <w:noWrap/>
            <w:vAlign w:val="center"/>
            <w:hideMark/>
          </w:tcPr>
          <w:p w14:paraId="2244B35D" w14:textId="11A64014" w:rsidR="00426726" w:rsidRPr="0047372C" w:rsidRDefault="00426726" w:rsidP="008E68AB">
            <w:pPr>
              <w:widowControl/>
              <w:ind w:firstLine="0"/>
              <w:jc w:val="center"/>
              <w:rPr>
                <w:color w:val="000000"/>
                <w:sz w:val="22"/>
                <w:szCs w:val="22"/>
                <w:lang w:eastAsia="ru-RU"/>
              </w:rPr>
            </w:pPr>
            <w:r>
              <w:rPr>
                <w:color w:val="000000"/>
                <w:sz w:val="22"/>
                <w:szCs w:val="22"/>
              </w:rPr>
              <w:t>99,5%</w:t>
            </w:r>
          </w:p>
        </w:tc>
        <w:tc>
          <w:tcPr>
            <w:tcW w:w="1701" w:type="dxa"/>
            <w:tcBorders>
              <w:top w:val="nil"/>
              <w:left w:val="nil"/>
              <w:bottom w:val="single" w:sz="4" w:space="0" w:color="auto"/>
              <w:right w:val="single" w:sz="4" w:space="0" w:color="auto"/>
            </w:tcBorders>
            <w:shd w:val="clear" w:color="auto" w:fill="auto"/>
            <w:noWrap/>
            <w:vAlign w:val="center"/>
            <w:hideMark/>
          </w:tcPr>
          <w:p w14:paraId="40A1B547" w14:textId="1C8FDA84" w:rsidR="00426726" w:rsidRPr="0047372C" w:rsidRDefault="00426726" w:rsidP="008E68AB">
            <w:pPr>
              <w:widowControl/>
              <w:ind w:firstLine="0"/>
              <w:jc w:val="center"/>
              <w:rPr>
                <w:color w:val="000000"/>
                <w:sz w:val="22"/>
                <w:szCs w:val="22"/>
                <w:lang w:eastAsia="ru-RU"/>
              </w:rPr>
            </w:pPr>
            <w:r>
              <w:rPr>
                <w:color w:val="000000"/>
                <w:sz w:val="22"/>
                <w:szCs w:val="22"/>
              </w:rPr>
              <w:t>107,9%</w:t>
            </w:r>
          </w:p>
        </w:tc>
      </w:tr>
      <w:tr w:rsidR="00426726" w:rsidRPr="0047372C" w14:paraId="0140FD79" w14:textId="77777777" w:rsidTr="0047372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E28069"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Национальная экономика</w:t>
            </w:r>
          </w:p>
        </w:tc>
        <w:tc>
          <w:tcPr>
            <w:tcW w:w="2041" w:type="dxa"/>
            <w:tcBorders>
              <w:top w:val="nil"/>
              <w:left w:val="nil"/>
              <w:bottom w:val="single" w:sz="4" w:space="0" w:color="auto"/>
              <w:right w:val="single" w:sz="4" w:space="0" w:color="auto"/>
            </w:tcBorders>
            <w:shd w:val="clear" w:color="auto" w:fill="auto"/>
            <w:noWrap/>
            <w:vAlign w:val="center"/>
            <w:hideMark/>
          </w:tcPr>
          <w:p w14:paraId="4464F4B7" w14:textId="13CA5031" w:rsidR="00426726" w:rsidRPr="0047372C" w:rsidRDefault="00426726" w:rsidP="008E68AB">
            <w:pPr>
              <w:widowControl/>
              <w:ind w:firstLine="0"/>
              <w:jc w:val="center"/>
              <w:rPr>
                <w:color w:val="000000"/>
                <w:sz w:val="22"/>
                <w:szCs w:val="22"/>
                <w:lang w:eastAsia="ru-RU"/>
              </w:rPr>
            </w:pPr>
            <w:r>
              <w:rPr>
                <w:color w:val="000000"/>
                <w:sz w:val="22"/>
                <w:szCs w:val="22"/>
              </w:rPr>
              <w:t>13 683,8</w:t>
            </w:r>
          </w:p>
        </w:tc>
        <w:tc>
          <w:tcPr>
            <w:tcW w:w="1843" w:type="dxa"/>
            <w:tcBorders>
              <w:top w:val="nil"/>
              <w:left w:val="nil"/>
              <w:bottom w:val="single" w:sz="4" w:space="0" w:color="auto"/>
              <w:right w:val="single" w:sz="4" w:space="0" w:color="auto"/>
            </w:tcBorders>
            <w:shd w:val="clear" w:color="auto" w:fill="auto"/>
            <w:noWrap/>
            <w:vAlign w:val="center"/>
            <w:hideMark/>
          </w:tcPr>
          <w:p w14:paraId="700CEFA3" w14:textId="008E741E" w:rsidR="00426726" w:rsidRPr="0047372C" w:rsidRDefault="00426726" w:rsidP="008E68AB">
            <w:pPr>
              <w:widowControl/>
              <w:ind w:firstLine="0"/>
              <w:jc w:val="center"/>
              <w:rPr>
                <w:color w:val="000000"/>
                <w:sz w:val="22"/>
                <w:szCs w:val="22"/>
                <w:lang w:eastAsia="ru-RU"/>
              </w:rPr>
            </w:pPr>
            <w:r>
              <w:rPr>
                <w:color w:val="000000"/>
                <w:sz w:val="22"/>
                <w:szCs w:val="22"/>
              </w:rPr>
              <w:t>12 939,8</w:t>
            </w:r>
          </w:p>
        </w:tc>
        <w:tc>
          <w:tcPr>
            <w:tcW w:w="1417" w:type="dxa"/>
            <w:tcBorders>
              <w:top w:val="nil"/>
              <w:left w:val="nil"/>
              <w:bottom w:val="single" w:sz="4" w:space="0" w:color="auto"/>
              <w:right w:val="single" w:sz="4" w:space="0" w:color="auto"/>
            </w:tcBorders>
            <w:shd w:val="clear" w:color="auto" w:fill="auto"/>
            <w:noWrap/>
            <w:vAlign w:val="center"/>
            <w:hideMark/>
          </w:tcPr>
          <w:p w14:paraId="3B523448" w14:textId="252F5375" w:rsidR="00426726" w:rsidRPr="0047372C" w:rsidRDefault="00426726" w:rsidP="008E68AB">
            <w:pPr>
              <w:widowControl/>
              <w:ind w:firstLine="0"/>
              <w:jc w:val="center"/>
              <w:rPr>
                <w:color w:val="000000"/>
                <w:sz w:val="22"/>
                <w:szCs w:val="22"/>
                <w:lang w:eastAsia="ru-RU"/>
              </w:rPr>
            </w:pPr>
            <w:r>
              <w:rPr>
                <w:color w:val="000000"/>
                <w:sz w:val="22"/>
                <w:szCs w:val="22"/>
              </w:rPr>
              <w:t>94,6%</w:t>
            </w:r>
          </w:p>
        </w:tc>
        <w:tc>
          <w:tcPr>
            <w:tcW w:w="1701" w:type="dxa"/>
            <w:tcBorders>
              <w:top w:val="nil"/>
              <w:left w:val="nil"/>
              <w:bottom w:val="single" w:sz="4" w:space="0" w:color="auto"/>
              <w:right w:val="single" w:sz="4" w:space="0" w:color="auto"/>
            </w:tcBorders>
            <w:shd w:val="clear" w:color="auto" w:fill="auto"/>
            <w:noWrap/>
            <w:vAlign w:val="center"/>
            <w:hideMark/>
          </w:tcPr>
          <w:p w14:paraId="5BAC6F91" w14:textId="019E4604" w:rsidR="00426726" w:rsidRPr="0047372C" w:rsidRDefault="00426726" w:rsidP="008E68AB">
            <w:pPr>
              <w:widowControl/>
              <w:ind w:firstLine="0"/>
              <w:jc w:val="center"/>
              <w:rPr>
                <w:color w:val="000000"/>
                <w:sz w:val="22"/>
                <w:szCs w:val="22"/>
                <w:lang w:eastAsia="ru-RU"/>
              </w:rPr>
            </w:pPr>
            <w:r>
              <w:rPr>
                <w:color w:val="000000"/>
                <w:sz w:val="22"/>
                <w:szCs w:val="22"/>
              </w:rPr>
              <w:t>111,4%</w:t>
            </w:r>
          </w:p>
        </w:tc>
      </w:tr>
      <w:tr w:rsidR="00426726" w:rsidRPr="0047372C" w14:paraId="4EFE1D89" w14:textId="77777777" w:rsidTr="0047372C">
        <w:trPr>
          <w:trHeight w:val="6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48BEBC"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Жилищно-коммунальное хозяйство</w:t>
            </w:r>
          </w:p>
        </w:tc>
        <w:tc>
          <w:tcPr>
            <w:tcW w:w="2041" w:type="dxa"/>
            <w:tcBorders>
              <w:top w:val="nil"/>
              <w:left w:val="nil"/>
              <w:bottom w:val="single" w:sz="4" w:space="0" w:color="auto"/>
              <w:right w:val="single" w:sz="4" w:space="0" w:color="auto"/>
            </w:tcBorders>
            <w:shd w:val="clear" w:color="auto" w:fill="auto"/>
            <w:noWrap/>
            <w:vAlign w:val="center"/>
            <w:hideMark/>
          </w:tcPr>
          <w:p w14:paraId="42C9F97B" w14:textId="3F1826F7" w:rsidR="00426726" w:rsidRPr="0047372C" w:rsidRDefault="00426726" w:rsidP="008E68AB">
            <w:pPr>
              <w:widowControl/>
              <w:ind w:firstLine="0"/>
              <w:jc w:val="center"/>
              <w:rPr>
                <w:color w:val="000000"/>
                <w:sz w:val="22"/>
                <w:szCs w:val="22"/>
                <w:lang w:eastAsia="ru-RU"/>
              </w:rPr>
            </w:pPr>
            <w:r>
              <w:rPr>
                <w:color w:val="000000"/>
                <w:sz w:val="22"/>
                <w:szCs w:val="22"/>
              </w:rPr>
              <w:t>3 919,3</w:t>
            </w:r>
          </w:p>
        </w:tc>
        <w:tc>
          <w:tcPr>
            <w:tcW w:w="1843" w:type="dxa"/>
            <w:tcBorders>
              <w:top w:val="nil"/>
              <w:left w:val="nil"/>
              <w:bottom w:val="single" w:sz="4" w:space="0" w:color="auto"/>
              <w:right w:val="single" w:sz="4" w:space="0" w:color="auto"/>
            </w:tcBorders>
            <w:shd w:val="clear" w:color="auto" w:fill="auto"/>
            <w:noWrap/>
            <w:vAlign w:val="center"/>
            <w:hideMark/>
          </w:tcPr>
          <w:p w14:paraId="5974B817" w14:textId="1A91E782" w:rsidR="00426726" w:rsidRPr="0047372C" w:rsidRDefault="00426726" w:rsidP="008E68AB">
            <w:pPr>
              <w:widowControl/>
              <w:ind w:firstLine="0"/>
              <w:jc w:val="center"/>
              <w:rPr>
                <w:color w:val="000000"/>
                <w:sz w:val="22"/>
                <w:szCs w:val="22"/>
                <w:lang w:eastAsia="ru-RU"/>
              </w:rPr>
            </w:pPr>
            <w:r>
              <w:rPr>
                <w:color w:val="000000"/>
                <w:sz w:val="22"/>
                <w:szCs w:val="22"/>
              </w:rPr>
              <w:t>3 122,2</w:t>
            </w:r>
          </w:p>
        </w:tc>
        <w:tc>
          <w:tcPr>
            <w:tcW w:w="1417" w:type="dxa"/>
            <w:tcBorders>
              <w:top w:val="nil"/>
              <w:left w:val="nil"/>
              <w:bottom w:val="single" w:sz="4" w:space="0" w:color="auto"/>
              <w:right w:val="single" w:sz="4" w:space="0" w:color="auto"/>
            </w:tcBorders>
            <w:shd w:val="clear" w:color="auto" w:fill="auto"/>
            <w:noWrap/>
            <w:vAlign w:val="center"/>
            <w:hideMark/>
          </w:tcPr>
          <w:p w14:paraId="6DC728C3" w14:textId="28F6E960" w:rsidR="00426726" w:rsidRPr="0047372C" w:rsidRDefault="00426726" w:rsidP="008E68AB">
            <w:pPr>
              <w:widowControl/>
              <w:ind w:firstLine="0"/>
              <w:jc w:val="center"/>
              <w:rPr>
                <w:color w:val="000000"/>
                <w:sz w:val="22"/>
                <w:szCs w:val="22"/>
                <w:lang w:eastAsia="ru-RU"/>
              </w:rPr>
            </w:pPr>
            <w:r>
              <w:rPr>
                <w:color w:val="000000"/>
                <w:sz w:val="22"/>
                <w:szCs w:val="22"/>
              </w:rPr>
              <w:t>79,7%</w:t>
            </w:r>
          </w:p>
        </w:tc>
        <w:tc>
          <w:tcPr>
            <w:tcW w:w="1701" w:type="dxa"/>
            <w:tcBorders>
              <w:top w:val="nil"/>
              <w:left w:val="nil"/>
              <w:bottom w:val="single" w:sz="4" w:space="0" w:color="auto"/>
              <w:right w:val="single" w:sz="4" w:space="0" w:color="auto"/>
            </w:tcBorders>
            <w:shd w:val="clear" w:color="auto" w:fill="auto"/>
            <w:noWrap/>
            <w:vAlign w:val="center"/>
            <w:hideMark/>
          </w:tcPr>
          <w:p w14:paraId="0C73BBF3" w14:textId="483ECD84" w:rsidR="00426726" w:rsidRPr="0047372C" w:rsidRDefault="00426726" w:rsidP="008E68AB">
            <w:pPr>
              <w:widowControl/>
              <w:ind w:firstLine="0"/>
              <w:jc w:val="center"/>
              <w:rPr>
                <w:color w:val="000000"/>
                <w:sz w:val="22"/>
                <w:szCs w:val="22"/>
                <w:lang w:eastAsia="ru-RU"/>
              </w:rPr>
            </w:pPr>
            <w:r>
              <w:rPr>
                <w:color w:val="000000"/>
                <w:sz w:val="22"/>
                <w:szCs w:val="22"/>
              </w:rPr>
              <w:t>204,3%</w:t>
            </w:r>
          </w:p>
        </w:tc>
      </w:tr>
      <w:tr w:rsidR="00426726" w:rsidRPr="0047372C" w14:paraId="6B6C39B0" w14:textId="77777777" w:rsidTr="0047372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5BFFCD2"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Охрана окружающей среды</w:t>
            </w:r>
          </w:p>
        </w:tc>
        <w:tc>
          <w:tcPr>
            <w:tcW w:w="2041" w:type="dxa"/>
            <w:tcBorders>
              <w:top w:val="nil"/>
              <w:left w:val="nil"/>
              <w:bottom w:val="single" w:sz="4" w:space="0" w:color="auto"/>
              <w:right w:val="single" w:sz="4" w:space="0" w:color="auto"/>
            </w:tcBorders>
            <w:shd w:val="clear" w:color="auto" w:fill="auto"/>
            <w:noWrap/>
            <w:vAlign w:val="center"/>
            <w:hideMark/>
          </w:tcPr>
          <w:p w14:paraId="3152B4EB" w14:textId="58F81F61" w:rsidR="00426726" w:rsidRPr="0047372C" w:rsidRDefault="00426726" w:rsidP="008E68AB">
            <w:pPr>
              <w:widowControl/>
              <w:ind w:firstLine="0"/>
              <w:jc w:val="center"/>
              <w:rPr>
                <w:color w:val="000000"/>
                <w:sz w:val="22"/>
                <w:szCs w:val="22"/>
                <w:lang w:eastAsia="ru-RU"/>
              </w:rPr>
            </w:pPr>
            <w:r>
              <w:rPr>
                <w:color w:val="000000"/>
                <w:sz w:val="22"/>
                <w:szCs w:val="22"/>
              </w:rPr>
              <w:t>75,1</w:t>
            </w:r>
          </w:p>
        </w:tc>
        <w:tc>
          <w:tcPr>
            <w:tcW w:w="1843" w:type="dxa"/>
            <w:tcBorders>
              <w:top w:val="nil"/>
              <w:left w:val="nil"/>
              <w:bottom w:val="single" w:sz="4" w:space="0" w:color="auto"/>
              <w:right w:val="single" w:sz="4" w:space="0" w:color="auto"/>
            </w:tcBorders>
            <w:shd w:val="clear" w:color="auto" w:fill="auto"/>
            <w:noWrap/>
            <w:vAlign w:val="center"/>
            <w:hideMark/>
          </w:tcPr>
          <w:p w14:paraId="4CF370CA" w14:textId="333F32B6" w:rsidR="00426726" w:rsidRPr="0047372C" w:rsidRDefault="00426726" w:rsidP="008E68AB">
            <w:pPr>
              <w:widowControl/>
              <w:ind w:firstLine="0"/>
              <w:jc w:val="center"/>
              <w:rPr>
                <w:color w:val="000000"/>
                <w:sz w:val="22"/>
                <w:szCs w:val="22"/>
                <w:lang w:eastAsia="ru-RU"/>
              </w:rPr>
            </w:pPr>
            <w:r>
              <w:rPr>
                <w:color w:val="000000"/>
                <w:sz w:val="22"/>
                <w:szCs w:val="22"/>
              </w:rPr>
              <w:t>73,9</w:t>
            </w:r>
          </w:p>
        </w:tc>
        <w:tc>
          <w:tcPr>
            <w:tcW w:w="1417" w:type="dxa"/>
            <w:tcBorders>
              <w:top w:val="nil"/>
              <w:left w:val="nil"/>
              <w:bottom w:val="single" w:sz="4" w:space="0" w:color="auto"/>
              <w:right w:val="single" w:sz="4" w:space="0" w:color="auto"/>
            </w:tcBorders>
            <w:shd w:val="clear" w:color="auto" w:fill="auto"/>
            <w:noWrap/>
            <w:vAlign w:val="center"/>
            <w:hideMark/>
          </w:tcPr>
          <w:p w14:paraId="323AD1EC" w14:textId="1B973F57" w:rsidR="00426726" w:rsidRPr="0047372C" w:rsidRDefault="00426726" w:rsidP="008E68AB">
            <w:pPr>
              <w:widowControl/>
              <w:ind w:firstLine="0"/>
              <w:jc w:val="center"/>
              <w:rPr>
                <w:color w:val="000000"/>
                <w:sz w:val="22"/>
                <w:szCs w:val="22"/>
                <w:lang w:eastAsia="ru-RU"/>
              </w:rPr>
            </w:pPr>
            <w:r>
              <w:rPr>
                <w:color w:val="000000"/>
                <w:sz w:val="22"/>
                <w:szCs w:val="22"/>
              </w:rPr>
              <w:t>98,3%</w:t>
            </w:r>
          </w:p>
        </w:tc>
        <w:tc>
          <w:tcPr>
            <w:tcW w:w="1701" w:type="dxa"/>
            <w:tcBorders>
              <w:top w:val="nil"/>
              <w:left w:val="nil"/>
              <w:bottom w:val="single" w:sz="4" w:space="0" w:color="auto"/>
              <w:right w:val="single" w:sz="4" w:space="0" w:color="auto"/>
            </w:tcBorders>
            <w:shd w:val="clear" w:color="auto" w:fill="auto"/>
            <w:noWrap/>
            <w:vAlign w:val="center"/>
            <w:hideMark/>
          </w:tcPr>
          <w:p w14:paraId="15940ABA" w14:textId="1B19C787" w:rsidR="00426726" w:rsidRPr="0047372C" w:rsidRDefault="00426726" w:rsidP="008E68AB">
            <w:pPr>
              <w:widowControl/>
              <w:ind w:firstLine="0"/>
              <w:jc w:val="center"/>
              <w:rPr>
                <w:color w:val="000000"/>
                <w:sz w:val="22"/>
                <w:szCs w:val="22"/>
                <w:lang w:eastAsia="ru-RU"/>
              </w:rPr>
            </w:pPr>
            <w:r>
              <w:rPr>
                <w:color w:val="000000"/>
                <w:sz w:val="22"/>
                <w:szCs w:val="22"/>
              </w:rPr>
              <w:t>105,3%</w:t>
            </w:r>
          </w:p>
        </w:tc>
      </w:tr>
      <w:tr w:rsidR="00426726" w:rsidRPr="0047372C" w14:paraId="02C07FFF" w14:textId="77777777" w:rsidTr="0047372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EE1704"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Образование</w:t>
            </w:r>
          </w:p>
        </w:tc>
        <w:tc>
          <w:tcPr>
            <w:tcW w:w="2041" w:type="dxa"/>
            <w:tcBorders>
              <w:top w:val="nil"/>
              <w:left w:val="nil"/>
              <w:bottom w:val="single" w:sz="4" w:space="0" w:color="auto"/>
              <w:right w:val="single" w:sz="4" w:space="0" w:color="auto"/>
            </w:tcBorders>
            <w:shd w:val="clear" w:color="auto" w:fill="auto"/>
            <w:noWrap/>
            <w:vAlign w:val="center"/>
            <w:hideMark/>
          </w:tcPr>
          <w:p w14:paraId="15F5B485" w14:textId="20E6FCC0" w:rsidR="00426726" w:rsidRPr="0047372C" w:rsidRDefault="00426726" w:rsidP="008E68AB">
            <w:pPr>
              <w:widowControl/>
              <w:ind w:firstLine="0"/>
              <w:jc w:val="center"/>
              <w:rPr>
                <w:color w:val="000000"/>
                <w:sz w:val="22"/>
                <w:szCs w:val="22"/>
                <w:lang w:eastAsia="ru-RU"/>
              </w:rPr>
            </w:pPr>
            <w:r>
              <w:rPr>
                <w:color w:val="000000"/>
                <w:sz w:val="22"/>
                <w:szCs w:val="22"/>
              </w:rPr>
              <w:t>18 237,8</w:t>
            </w:r>
          </w:p>
        </w:tc>
        <w:tc>
          <w:tcPr>
            <w:tcW w:w="1843" w:type="dxa"/>
            <w:tcBorders>
              <w:top w:val="nil"/>
              <w:left w:val="nil"/>
              <w:bottom w:val="single" w:sz="4" w:space="0" w:color="auto"/>
              <w:right w:val="single" w:sz="4" w:space="0" w:color="auto"/>
            </w:tcBorders>
            <w:shd w:val="clear" w:color="auto" w:fill="auto"/>
            <w:noWrap/>
            <w:vAlign w:val="center"/>
            <w:hideMark/>
          </w:tcPr>
          <w:p w14:paraId="0E1B1169" w14:textId="05027709" w:rsidR="00426726" w:rsidRPr="0047372C" w:rsidRDefault="00426726" w:rsidP="008E68AB">
            <w:pPr>
              <w:widowControl/>
              <w:ind w:firstLine="0"/>
              <w:jc w:val="center"/>
              <w:rPr>
                <w:color w:val="000000"/>
                <w:sz w:val="22"/>
                <w:szCs w:val="22"/>
                <w:lang w:eastAsia="ru-RU"/>
              </w:rPr>
            </w:pPr>
            <w:r>
              <w:rPr>
                <w:color w:val="000000"/>
                <w:sz w:val="22"/>
                <w:szCs w:val="22"/>
              </w:rPr>
              <w:t>18 072,5</w:t>
            </w:r>
          </w:p>
        </w:tc>
        <w:tc>
          <w:tcPr>
            <w:tcW w:w="1417" w:type="dxa"/>
            <w:tcBorders>
              <w:top w:val="nil"/>
              <w:left w:val="nil"/>
              <w:bottom w:val="single" w:sz="4" w:space="0" w:color="auto"/>
              <w:right w:val="single" w:sz="4" w:space="0" w:color="auto"/>
            </w:tcBorders>
            <w:shd w:val="clear" w:color="auto" w:fill="auto"/>
            <w:noWrap/>
            <w:vAlign w:val="center"/>
            <w:hideMark/>
          </w:tcPr>
          <w:p w14:paraId="3F779A5F" w14:textId="0FA532C0" w:rsidR="00426726" w:rsidRPr="0047372C" w:rsidRDefault="00426726" w:rsidP="008E68AB">
            <w:pPr>
              <w:widowControl/>
              <w:ind w:firstLine="0"/>
              <w:jc w:val="center"/>
              <w:rPr>
                <w:color w:val="000000"/>
                <w:sz w:val="22"/>
                <w:szCs w:val="22"/>
                <w:lang w:eastAsia="ru-RU"/>
              </w:rPr>
            </w:pPr>
            <w:r>
              <w:rPr>
                <w:color w:val="000000"/>
                <w:sz w:val="22"/>
                <w:szCs w:val="22"/>
              </w:rPr>
              <w:t>99,1%</w:t>
            </w:r>
          </w:p>
        </w:tc>
        <w:tc>
          <w:tcPr>
            <w:tcW w:w="1701" w:type="dxa"/>
            <w:tcBorders>
              <w:top w:val="nil"/>
              <w:left w:val="nil"/>
              <w:bottom w:val="single" w:sz="4" w:space="0" w:color="auto"/>
              <w:right w:val="single" w:sz="4" w:space="0" w:color="auto"/>
            </w:tcBorders>
            <w:shd w:val="clear" w:color="auto" w:fill="auto"/>
            <w:noWrap/>
            <w:vAlign w:val="center"/>
            <w:hideMark/>
          </w:tcPr>
          <w:p w14:paraId="6A6A1550" w14:textId="2F3068EE" w:rsidR="00426726" w:rsidRPr="0047372C" w:rsidRDefault="00426726" w:rsidP="008E68AB">
            <w:pPr>
              <w:widowControl/>
              <w:ind w:firstLine="0"/>
              <w:jc w:val="center"/>
              <w:rPr>
                <w:color w:val="000000"/>
                <w:sz w:val="22"/>
                <w:szCs w:val="22"/>
                <w:lang w:eastAsia="ru-RU"/>
              </w:rPr>
            </w:pPr>
            <w:r>
              <w:rPr>
                <w:color w:val="000000"/>
                <w:sz w:val="22"/>
                <w:szCs w:val="22"/>
              </w:rPr>
              <w:t>95,1%</w:t>
            </w:r>
          </w:p>
        </w:tc>
      </w:tr>
      <w:tr w:rsidR="00426726" w:rsidRPr="0047372C" w14:paraId="1252ACBD" w14:textId="77777777" w:rsidTr="0047372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FB1CA0"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Культура, кинематография</w:t>
            </w:r>
          </w:p>
        </w:tc>
        <w:tc>
          <w:tcPr>
            <w:tcW w:w="2041" w:type="dxa"/>
            <w:tcBorders>
              <w:top w:val="nil"/>
              <w:left w:val="nil"/>
              <w:bottom w:val="single" w:sz="4" w:space="0" w:color="auto"/>
              <w:right w:val="single" w:sz="4" w:space="0" w:color="auto"/>
            </w:tcBorders>
            <w:shd w:val="clear" w:color="auto" w:fill="auto"/>
            <w:noWrap/>
            <w:vAlign w:val="center"/>
            <w:hideMark/>
          </w:tcPr>
          <w:p w14:paraId="1585E871" w14:textId="113C7619" w:rsidR="00426726" w:rsidRPr="0047372C" w:rsidRDefault="00426726" w:rsidP="008E68AB">
            <w:pPr>
              <w:widowControl/>
              <w:ind w:firstLine="0"/>
              <w:jc w:val="center"/>
              <w:rPr>
                <w:color w:val="000000"/>
                <w:sz w:val="22"/>
                <w:szCs w:val="22"/>
                <w:lang w:eastAsia="ru-RU"/>
              </w:rPr>
            </w:pPr>
            <w:r>
              <w:rPr>
                <w:color w:val="000000"/>
                <w:sz w:val="22"/>
                <w:szCs w:val="22"/>
              </w:rPr>
              <w:t>1 121,6</w:t>
            </w:r>
          </w:p>
        </w:tc>
        <w:tc>
          <w:tcPr>
            <w:tcW w:w="1843" w:type="dxa"/>
            <w:tcBorders>
              <w:top w:val="nil"/>
              <w:left w:val="nil"/>
              <w:bottom w:val="single" w:sz="4" w:space="0" w:color="auto"/>
              <w:right w:val="single" w:sz="4" w:space="0" w:color="auto"/>
            </w:tcBorders>
            <w:shd w:val="clear" w:color="auto" w:fill="auto"/>
            <w:noWrap/>
            <w:vAlign w:val="center"/>
            <w:hideMark/>
          </w:tcPr>
          <w:p w14:paraId="4D32F803" w14:textId="14E96348" w:rsidR="00426726" w:rsidRPr="0047372C" w:rsidRDefault="00426726" w:rsidP="008E68AB">
            <w:pPr>
              <w:widowControl/>
              <w:ind w:firstLine="0"/>
              <w:jc w:val="center"/>
              <w:rPr>
                <w:color w:val="000000"/>
                <w:sz w:val="22"/>
                <w:szCs w:val="22"/>
                <w:lang w:eastAsia="ru-RU"/>
              </w:rPr>
            </w:pPr>
            <w:r>
              <w:rPr>
                <w:color w:val="000000"/>
                <w:sz w:val="22"/>
                <w:szCs w:val="22"/>
              </w:rPr>
              <w:t>1 092,5</w:t>
            </w:r>
          </w:p>
        </w:tc>
        <w:tc>
          <w:tcPr>
            <w:tcW w:w="1417" w:type="dxa"/>
            <w:tcBorders>
              <w:top w:val="nil"/>
              <w:left w:val="nil"/>
              <w:bottom w:val="single" w:sz="4" w:space="0" w:color="auto"/>
              <w:right w:val="single" w:sz="4" w:space="0" w:color="auto"/>
            </w:tcBorders>
            <w:shd w:val="clear" w:color="auto" w:fill="auto"/>
            <w:noWrap/>
            <w:vAlign w:val="center"/>
            <w:hideMark/>
          </w:tcPr>
          <w:p w14:paraId="37617770" w14:textId="0762E794" w:rsidR="00426726" w:rsidRPr="0047372C" w:rsidRDefault="00426726" w:rsidP="008E68AB">
            <w:pPr>
              <w:widowControl/>
              <w:ind w:firstLine="0"/>
              <w:jc w:val="center"/>
              <w:rPr>
                <w:color w:val="000000"/>
                <w:sz w:val="22"/>
                <w:szCs w:val="22"/>
                <w:lang w:eastAsia="ru-RU"/>
              </w:rPr>
            </w:pPr>
            <w:r>
              <w:rPr>
                <w:color w:val="000000"/>
                <w:sz w:val="22"/>
                <w:szCs w:val="22"/>
              </w:rPr>
              <w:t>97,4%</w:t>
            </w:r>
          </w:p>
        </w:tc>
        <w:tc>
          <w:tcPr>
            <w:tcW w:w="1701" w:type="dxa"/>
            <w:tcBorders>
              <w:top w:val="nil"/>
              <w:left w:val="nil"/>
              <w:bottom w:val="single" w:sz="4" w:space="0" w:color="auto"/>
              <w:right w:val="single" w:sz="4" w:space="0" w:color="auto"/>
            </w:tcBorders>
            <w:shd w:val="clear" w:color="auto" w:fill="auto"/>
            <w:noWrap/>
            <w:vAlign w:val="center"/>
            <w:hideMark/>
          </w:tcPr>
          <w:p w14:paraId="312FD031" w14:textId="4BF8D39D" w:rsidR="00426726" w:rsidRPr="0047372C" w:rsidRDefault="00426726" w:rsidP="008E68AB">
            <w:pPr>
              <w:widowControl/>
              <w:ind w:firstLine="0"/>
              <w:jc w:val="center"/>
              <w:rPr>
                <w:color w:val="000000"/>
                <w:sz w:val="22"/>
                <w:szCs w:val="22"/>
                <w:lang w:eastAsia="ru-RU"/>
              </w:rPr>
            </w:pPr>
            <w:r>
              <w:rPr>
                <w:color w:val="000000"/>
                <w:sz w:val="22"/>
                <w:szCs w:val="22"/>
              </w:rPr>
              <w:t>60,8%</w:t>
            </w:r>
          </w:p>
        </w:tc>
      </w:tr>
      <w:tr w:rsidR="00426726" w:rsidRPr="0047372C" w14:paraId="59D3C62B" w14:textId="77777777" w:rsidTr="0047372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8B98656"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Здравоохранение</w:t>
            </w:r>
          </w:p>
        </w:tc>
        <w:tc>
          <w:tcPr>
            <w:tcW w:w="2041" w:type="dxa"/>
            <w:tcBorders>
              <w:top w:val="nil"/>
              <w:left w:val="nil"/>
              <w:bottom w:val="single" w:sz="4" w:space="0" w:color="auto"/>
              <w:right w:val="single" w:sz="4" w:space="0" w:color="auto"/>
            </w:tcBorders>
            <w:shd w:val="clear" w:color="auto" w:fill="auto"/>
            <w:noWrap/>
            <w:vAlign w:val="center"/>
            <w:hideMark/>
          </w:tcPr>
          <w:p w14:paraId="50634325" w14:textId="2370FD91" w:rsidR="00426726" w:rsidRPr="0047372C" w:rsidRDefault="00426726" w:rsidP="008E68AB">
            <w:pPr>
              <w:widowControl/>
              <w:ind w:firstLine="0"/>
              <w:jc w:val="center"/>
              <w:rPr>
                <w:color w:val="000000"/>
                <w:sz w:val="22"/>
                <w:szCs w:val="22"/>
                <w:lang w:eastAsia="ru-RU"/>
              </w:rPr>
            </w:pPr>
            <w:r>
              <w:rPr>
                <w:color w:val="000000"/>
                <w:sz w:val="22"/>
                <w:szCs w:val="22"/>
              </w:rPr>
              <w:t>6 190,6</w:t>
            </w:r>
          </w:p>
        </w:tc>
        <w:tc>
          <w:tcPr>
            <w:tcW w:w="1843" w:type="dxa"/>
            <w:tcBorders>
              <w:top w:val="nil"/>
              <w:left w:val="nil"/>
              <w:bottom w:val="single" w:sz="4" w:space="0" w:color="auto"/>
              <w:right w:val="single" w:sz="4" w:space="0" w:color="auto"/>
            </w:tcBorders>
            <w:shd w:val="clear" w:color="auto" w:fill="auto"/>
            <w:noWrap/>
            <w:vAlign w:val="center"/>
            <w:hideMark/>
          </w:tcPr>
          <w:p w14:paraId="0B13BB3C" w14:textId="1975CAA5" w:rsidR="00426726" w:rsidRPr="0047372C" w:rsidRDefault="00426726" w:rsidP="008E68AB">
            <w:pPr>
              <w:widowControl/>
              <w:ind w:firstLine="0"/>
              <w:jc w:val="center"/>
              <w:rPr>
                <w:color w:val="000000"/>
                <w:sz w:val="22"/>
                <w:szCs w:val="22"/>
                <w:lang w:eastAsia="ru-RU"/>
              </w:rPr>
            </w:pPr>
            <w:r>
              <w:rPr>
                <w:color w:val="000000"/>
                <w:sz w:val="22"/>
                <w:szCs w:val="22"/>
              </w:rPr>
              <w:t>6 120,5</w:t>
            </w:r>
          </w:p>
        </w:tc>
        <w:tc>
          <w:tcPr>
            <w:tcW w:w="1417" w:type="dxa"/>
            <w:tcBorders>
              <w:top w:val="nil"/>
              <w:left w:val="nil"/>
              <w:bottom w:val="single" w:sz="4" w:space="0" w:color="auto"/>
              <w:right w:val="single" w:sz="4" w:space="0" w:color="auto"/>
            </w:tcBorders>
            <w:shd w:val="clear" w:color="auto" w:fill="auto"/>
            <w:noWrap/>
            <w:vAlign w:val="center"/>
            <w:hideMark/>
          </w:tcPr>
          <w:p w14:paraId="0F02A9A4" w14:textId="333B629C" w:rsidR="00426726" w:rsidRPr="0047372C" w:rsidRDefault="00426726" w:rsidP="008E68AB">
            <w:pPr>
              <w:widowControl/>
              <w:ind w:firstLine="0"/>
              <w:jc w:val="center"/>
              <w:rPr>
                <w:color w:val="000000"/>
                <w:sz w:val="22"/>
                <w:szCs w:val="22"/>
                <w:lang w:eastAsia="ru-RU"/>
              </w:rPr>
            </w:pPr>
            <w:r>
              <w:rPr>
                <w:color w:val="000000"/>
                <w:sz w:val="22"/>
                <w:szCs w:val="22"/>
              </w:rPr>
              <w:t>98,9%</w:t>
            </w:r>
          </w:p>
        </w:tc>
        <w:tc>
          <w:tcPr>
            <w:tcW w:w="1701" w:type="dxa"/>
            <w:tcBorders>
              <w:top w:val="nil"/>
              <w:left w:val="nil"/>
              <w:bottom w:val="single" w:sz="4" w:space="0" w:color="auto"/>
              <w:right w:val="single" w:sz="4" w:space="0" w:color="auto"/>
            </w:tcBorders>
            <w:shd w:val="clear" w:color="auto" w:fill="auto"/>
            <w:noWrap/>
            <w:vAlign w:val="center"/>
            <w:hideMark/>
          </w:tcPr>
          <w:p w14:paraId="7432BEEF" w14:textId="02FCE403" w:rsidR="00426726" w:rsidRPr="0047372C" w:rsidRDefault="00426726" w:rsidP="008E68AB">
            <w:pPr>
              <w:widowControl/>
              <w:ind w:firstLine="0"/>
              <w:jc w:val="center"/>
              <w:rPr>
                <w:color w:val="000000"/>
                <w:sz w:val="22"/>
                <w:szCs w:val="22"/>
                <w:lang w:eastAsia="ru-RU"/>
              </w:rPr>
            </w:pPr>
            <w:r>
              <w:rPr>
                <w:color w:val="000000"/>
                <w:sz w:val="22"/>
                <w:szCs w:val="22"/>
              </w:rPr>
              <w:t>105,3%</w:t>
            </w:r>
          </w:p>
        </w:tc>
      </w:tr>
      <w:tr w:rsidR="00426726" w:rsidRPr="0047372C" w14:paraId="3E6B5B11" w14:textId="77777777" w:rsidTr="0047372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663677"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Социальная политика</w:t>
            </w:r>
          </w:p>
        </w:tc>
        <w:tc>
          <w:tcPr>
            <w:tcW w:w="2041" w:type="dxa"/>
            <w:tcBorders>
              <w:top w:val="nil"/>
              <w:left w:val="nil"/>
              <w:bottom w:val="single" w:sz="4" w:space="0" w:color="auto"/>
              <w:right w:val="single" w:sz="4" w:space="0" w:color="auto"/>
            </w:tcBorders>
            <w:shd w:val="clear" w:color="auto" w:fill="auto"/>
            <w:noWrap/>
            <w:vAlign w:val="center"/>
            <w:hideMark/>
          </w:tcPr>
          <w:p w14:paraId="68443AB6" w14:textId="0C565402" w:rsidR="00426726" w:rsidRPr="0047372C" w:rsidRDefault="00426726" w:rsidP="008E68AB">
            <w:pPr>
              <w:widowControl/>
              <w:ind w:firstLine="0"/>
              <w:jc w:val="center"/>
              <w:rPr>
                <w:color w:val="000000"/>
                <w:sz w:val="22"/>
                <w:szCs w:val="22"/>
                <w:lang w:eastAsia="ru-RU"/>
              </w:rPr>
            </w:pPr>
            <w:r>
              <w:rPr>
                <w:color w:val="000000"/>
                <w:sz w:val="22"/>
                <w:szCs w:val="22"/>
              </w:rPr>
              <w:t>21 555,3</w:t>
            </w:r>
          </w:p>
        </w:tc>
        <w:tc>
          <w:tcPr>
            <w:tcW w:w="1843" w:type="dxa"/>
            <w:tcBorders>
              <w:top w:val="nil"/>
              <w:left w:val="nil"/>
              <w:bottom w:val="single" w:sz="4" w:space="0" w:color="auto"/>
              <w:right w:val="single" w:sz="4" w:space="0" w:color="auto"/>
            </w:tcBorders>
            <w:shd w:val="clear" w:color="auto" w:fill="auto"/>
            <w:noWrap/>
            <w:vAlign w:val="center"/>
            <w:hideMark/>
          </w:tcPr>
          <w:p w14:paraId="1C8D3CE6" w14:textId="7490F0F3" w:rsidR="00426726" w:rsidRPr="0047372C" w:rsidRDefault="00426726" w:rsidP="008E68AB">
            <w:pPr>
              <w:widowControl/>
              <w:ind w:firstLine="0"/>
              <w:jc w:val="center"/>
              <w:rPr>
                <w:color w:val="000000"/>
                <w:sz w:val="22"/>
                <w:szCs w:val="22"/>
                <w:lang w:eastAsia="ru-RU"/>
              </w:rPr>
            </w:pPr>
            <w:r>
              <w:rPr>
                <w:color w:val="000000"/>
                <w:sz w:val="22"/>
                <w:szCs w:val="22"/>
              </w:rPr>
              <w:t>21 276,1</w:t>
            </w:r>
          </w:p>
        </w:tc>
        <w:tc>
          <w:tcPr>
            <w:tcW w:w="1417" w:type="dxa"/>
            <w:tcBorders>
              <w:top w:val="nil"/>
              <w:left w:val="nil"/>
              <w:bottom w:val="single" w:sz="4" w:space="0" w:color="auto"/>
              <w:right w:val="single" w:sz="4" w:space="0" w:color="auto"/>
            </w:tcBorders>
            <w:shd w:val="clear" w:color="auto" w:fill="auto"/>
            <w:noWrap/>
            <w:vAlign w:val="center"/>
            <w:hideMark/>
          </w:tcPr>
          <w:p w14:paraId="716602CB" w14:textId="64D48028" w:rsidR="00426726" w:rsidRPr="0047372C" w:rsidRDefault="00426726" w:rsidP="008E68AB">
            <w:pPr>
              <w:widowControl/>
              <w:ind w:firstLine="0"/>
              <w:jc w:val="center"/>
              <w:rPr>
                <w:color w:val="000000"/>
                <w:sz w:val="22"/>
                <w:szCs w:val="22"/>
                <w:lang w:eastAsia="ru-RU"/>
              </w:rPr>
            </w:pPr>
            <w:r>
              <w:rPr>
                <w:color w:val="000000"/>
                <w:sz w:val="22"/>
                <w:szCs w:val="22"/>
              </w:rPr>
              <w:t>98,7%</w:t>
            </w:r>
          </w:p>
        </w:tc>
        <w:tc>
          <w:tcPr>
            <w:tcW w:w="1701" w:type="dxa"/>
            <w:tcBorders>
              <w:top w:val="nil"/>
              <w:left w:val="nil"/>
              <w:bottom w:val="single" w:sz="4" w:space="0" w:color="auto"/>
              <w:right w:val="single" w:sz="4" w:space="0" w:color="auto"/>
            </w:tcBorders>
            <w:shd w:val="clear" w:color="auto" w:fill="auto"/>
            <w:noWrap/>
            <w:vAlign w:val="center"/>
            <w:hideMark/>
          </w:tcPr>
          <w:p w14:paraId="71860B45" w14:textId="4BEE7414" w:rsidR="00426726" w:rsidRPr="0047372C" w:rsidRDefault="00426726" w:rsidP="008E68AB">
            <w:pPr>
              <w:widowControl/>
              <w:ind w:firstLine="0"/>
              <w:jc w:val="center"/>
              <w:rPr>
                <w:color w:val="000000"/>
                <w:sz w:val="22"/>
                <w:szCs w:val="22"/>
                <w:lang w:eastAsia="ru-RU"/>
              </w:rPr>
            </w:pPr>
            <w:r>
              <w:rPr>
                <w:color w:val="000000"/>
                <w:sz w:val="22"/>
                <w:szCs w:val="22"/>
              </w:rPr>
              <w:t>124,1%</w:t>
            </w:r>
          </w:p>
        </w:tc>
      </w:tr>
      <w:tr w:rsidR="00426726" w:rsidRPr="0047372C" w14:paraId="55D5E8C7" w14:textId="77777777" w:rsidTr="0047372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915E8A"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Физическая культура и спорт</w:t>
            </w:r>
          </w:p>
        </w:tc>
        <w:tc>
          <w:tcPr>
            <w:tcW w:w="2041" w:type="dxa"/>
            <w:tcBorders>
              <w:top w:val="nil"/>
              <w:left w:val="nil"/>
              <w:bottom w:val="single" w:sz="4" w:space="0" w:color="auto"/>
              <w:right w:val="single" w:sz="4" w:space="0" w:color="auto"/>
            </w:tcBorders>
            <w:shd w:val="clear" w:color="auto" w:fill="auto"/>
            <w:noWrap/>
            <w:vAlign w:val="center"/>
            <w:hideMark/>
          </w:tcPr>
          <w:p w14:paraId="5EE492EC" w14:textId="7F9B09D7" w:rsidR="00426726" w:rsidRPr="0047372C" w:rsidRDefault="00426726" w:rsidP="008E68AB">
            <w:pPr>
              <w:widowControl/>
              <w:ind w:firstLine="0"/>
              <w:jc w:val="center"/>
              <w:rPr>
                <w:color w:val="000000"/>
                <w:sz w:val="22"/>
                <w:szCs w:val="22"/>
                <w:lang w:eastAsia="ru-RU"/>
              </w:rPr>
            </w:pPr>
            <w:r>
              <w:rPr>
                <w:color w:val="000000"/>
                <w:sz w:val="22"/>
                <w:szCs w:val="22"/>
              </w:rPr>
              <w:t>1 478,1</w:t>
            </w:r>
          </w:p>
        </w:tc>
        <w:tc>
          <w:tcPr>
            <w:tcW w:w="1843" w:type="dxa"/>
            <w:tcBorders>
              <w:top w:val="nil"/>
              <w:left w:val="nil"/>
              <w:bottom w:val="single" w:sz="4" w:space="0" w:color="auto"/>
              <w:right w:val="single" w:sz="4" w:space="0" w:color="auto"/>
            </w:tcBorders>
            <w:shd w:val="clear" w:color="auto" w:fill="auto"/>
            <w:noWrap/>
            <w:vAlign w:val="center"/>
            <w:hideMark/>
          </w:tcPr>
          <w:p w14:paraId="01E549D2" w14:textId="0CF31FEF" w:rsidR="00426726" w:rsidRPr="0047372C" w:rsidRDefault="00426726" w:rsidP="008E68AB">
            <w:pPr>
              <w:widowControl/>
              <w:ind w:firstLine="0"/>
              <w:jc w:val="center"/>
              <w:rPr>
                <w:color w:val="000000"/>
                <w:sz w:val="22"/>
                <w:szCs w:val="22"/>
                <w:lang w:eastAsia="ru-RU"/>
              </w:rPr>
            </w:pPr>
            <w:r>
              <w:rPr>
                <w:color w:val="000000"/>
                <w:sz w:val="22"/>
                <w:szCs w:val="22"/>
              </w:rPr>
              <w:t>1 458,4</w:t>
            </w:r>
          </w:p>
        </w:tc>
        <w:tc>
          <w:tcPr>
            <w:tcW w:w="1417" w:type="dxa"/>
            <w:tcBorders>
              <w:top w:val="nil"/>
              <w:left w:val="nil"/>
              <w:bottom w:val="single" w:sz="4" w:space="0" w:color="auto"/>
              <w:right w:val="single" w:sz="4" w:space="0" w:color="auto"/>
            </w:tcBorders>
            <w:shd w:val="clear" w:color="auto" w:fill="auto"/>
            <w:noWrap/>
            <w:vAlign w:val="center"/>
            <w:hideMark/>
          </w:tcPr>
          <w:p w14:paraId="544DA7D9" w14:textId="7A419931" w:rsidR="00426726" w:rsidRPr="0047372C" w:rsidRDefault="00426726" w:rsidP="008E68AB">
            <w:pPr>
              <w:widowControl/>
              <w:ind w:firstLine="0"/>
              <w:jc w:val="center"/>
              <w:rPr>
                <w:color w:val="000000"/>
                <w:sz w:val="22"/>
                <w:szCs w:val="22"/>
                <w:lang w:eastAsia="ru-RU"/>
              </w:rPr>
            </w:pPr>
            <w:r>
              <w:rPr>
                <w:color w:val="000000"/>
                <w:sz w:val="22"/>
                <w:szCs w:val="22"/>
              </w:rPr>
              <w:t>98,7%</w:t>
            </w:r>
          </w:p>
        </w:tc>
        <w:tc>
          <w:tcPr>
            <w:tcW w:w="1701" w:type="dxa"/>
            <w:tcBorders>
              <w:top w:val="nil"/>
              <w:left w:val="nil"/>
              <w:bottom w:val="single" w:sz="4" w:space="0" w:color="auto"/>
              <w:right w:val="single" w:sz="4" w:space="0" w:color="auto"/>
            </w:tcBorders>
            <w:shd w:val="clear" w:color="auto" w:fill="auto"/>
            <w:noWrap/>
            <w:vAlign w:val="center"/>
            <w:hideMark/>
          </w:tcPr>
          <w:p w14:paraId="422D1044" w14:textId="07E8DD45" w:rsidR="00426726" w:rsidRPr="0047372C" w:rsidRDefault="00426726" w:rsidP="008E68AB">
            <w:pPr>
              <w:widowControl/>
              <w:ind w:firstLine="0"/>
              <w:jc w:val="center"/>
              <w:rPr>
                <w:color w:val="000000"/>
                <w:sz w:val="22"/>
                <w:szCs w:val="22"/>
                <w:lang w:eastAsia="ru-RU"/>
              </w:rPr>
            </w:pPr>
            <w:r>
              <w:rPr>
                <w:color w:val="000000"/>
                <w:sz w:val="22"/>
                <w:szCs w:val="22"/>
              </w:rPr>
              <w:t>116,8%</w:t>
            </w:r>
          </w:p>
        </w:tc>
      </w:tr>
      <w:tr w:rsidR="00426726" w:rsidRPr="0047372C" w14:paraId="76E3ED2A" w14:textId="77777777" w:rsidTr="0047372C">
        <w:trPr>
          <w:trHeight w:val="6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4FFF9A"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Средства массовой информации</w:t>
            </w:r>
          </w:p>
        </w:tc>
        <w:tc>
          <w:tcPr>
            <w:tcW w:w="2041" w:type="dxa"/>
            <w:tcBorders>
              <w:top w:val="nil"/>
              <w:left w:val="nil"/>
              <w:bottom w:val="single" w:sz="4" w:space="0" w:color="auto"/>
              <w:right w:val="single" w:sz="4" w:space="0" w:color="auto"/>
            </w:tcBorders>
            <w:shd w:val="clear" w:color="auto" w:fill="auto"/>
            <w:noWrap/>
            <w:vAlign w:val="center"/>
            <w:hideMark/>
          </w:tcPr>
          <w:p w14:paraId="3A0D5A3D" w14:textId="63849B73" w:rsidR="00426726" w:rsidRPr="0047372C" w:rsidRDefault="00426726" w:rsidP="008E68AB">
            <w:pPr>
              <w:widowControl/>
              <w:ind w:firstLine="0"/>
              <w:jc w:val="center"/>
              <w:rPr>
                <w:color w:val="000000"/>
                <w:sz w:val="22"/>
                <w:szCs w:val="22"/>
                <w:lang w:eastAsia="ru-RU"/>
              </w:rPr>
            </w:pPr>
            <w:r>
              <w:rPr>
                <w:color w:val="000000"/>
                <w:sz w:val="22"/>
                <w:szCs w:val="22"/>
              </w:rPr>
              <w:t>422,4</w:t>
            </w:r>
          </w:p>
        </w:tc>
        <w:tc>
          <w:tcPr>
            <w:tcW w:w="1843" w:type="dxa"/>
            <w:tcBorders>
              <w:top w:val="nil"/>
              <w:left w:val="nil"/>
              <w:bottom w:val="single" w:sz="4" w:space="0" w:color="auto"/>
              <w:right w:val="single" w:sz="4" w:space="0" w:color="auto"/>
            </w:tcBorders>
            <w:shd w:val="clear" w:color="auto" w:fill="auto"/>
            <w:noWrap/>
            <w:vAlign w:val="center"/>
            <w:hideMark/>
          </w:tcPr>
          <w:p w14:paraId="2D4B9ED8" w14:textId="1C4C6119" w:rsidR="00426726" w:rsidRPr="0047372C" w:rsidRDefault="00426726" w:rsidP="008E68AB">
            <w:pPr>
              <w:widowControl/>
              <w:ind w:firstLine="0"/>
              <w:jc w:val="center"/>
              <w:rPr>
                <w:color w:val="000000"/>
                <w:sz w:val="22"/>
                <w:szCs w:val="22"/>
                <w:lang w:eastAsia="ru-RU"/>
              </w:rPr>
            </w:pPr>
            <w:r>
              <w:rPr>
                <w:color w:val="000000"/>
                <w:sz w:val="22"/>
                <w:szCs w:val="22"/>
              </w:rPr>
              <w:t>409,0</w:t>
            </w:r>
          </w:p>
        </w:tc>
        <w:tc>
          <w:tcPr>
            <w:tcW w:w="1417" w:type="dxa"/>
            <w:tcBorders>
              <w:top w:val="nil"/>
              <w:left w:val="nil"/>
              <w:bottom w:val="single" w:sz="4" w:space="0" w:color="auto"/>
              <w:right w:val="single" w:sz="4" w:space="0" w:color="auto"/>
            </w:tcBorders>
            <w:shd w:val="clear" w:color="auto" w:fill="auto"/>
            <w:noWrap/>
            <w:vAlign w:val="center"/>
            <w:hideMark/>
          </w:tcPr>
          <w:p w14:paraId="49197F4A" w14:textId="5BF30EBD" w:rsidR="00426726" w:rsidRPr="0047372C" w:rsidRDefault="00426726" w:rsidP="008E68AB">
            <w:pPr>
              <w:widowControl/>
              <w:ind w:firstLine="0"/>
              <w:jc w:val="center"/>
              <w:rPr>
                <w:color w:val="000000"/>
                <w:sz w:val="22"/>
                <w:szCs w:val="22"/>
                <w:lang w:eastAsia="ru-RU"/>
              </w:rPr>
            </w:pPr>
            <w:r>
              <w:rPr>
                <w:color w:val="000000"/>
                <w:sz w:val="22"/>
                <w:szCs w:val="22"/>
              </w:rPr>
              <w:t>96,8%</w:t>
            </w:r>
          </w:p>
        </w:tc>
        <w:tc>
          <w:tcPr>
            <w:tcW w:w="1701" w:type="dxa"/>
            <w:tcBorders>
              <w:top w:val="nil"/>
              <w:left w:val="nil"/>
              <w:bottom w:val="single" w:sz="4" w:space="0" w:color="auto"/>
              <w:right w:val="single" w:sz="4" w:space="0" w:color="auto"/>
            </w:tcBorders>
            <w:shd w:val="clear" w:color="auto" w:fill="auto"/>
            <w:noWrap/>
            <w:vAlign w:val="center"/>
            <w:hideMark/>
          </w:tcPr>
          <w:p w14:paraId="723503E9" w14:textId="2F2FC77A" w:rsidR="00426726" w:rsidRPr="0047372C" w:rsidRDefault="00426726" w:rsidP="008E68AB">
            <w:pPr>
              <w:widowControl/>
              <w:ind w:firstLine="0"/>
              <w:jc w:val="center"/>
              <w:rPr>
                <w:color w:val="000000"/>
                <w:sz w:val="22"/>
                <w:szCs w:val="22"/>
                <w:lang w:eastAsia="ru-RU"/>
              </w:rPr>
            </w:pPr>
            <w:r>
              <w:rPr>
                <w:color w:val="000000"/>
                <w:sz w:val="22"/>
                <w:szCs w:val="22"/>
              </w:rPr>
              <w:t>107,8%</w:t>
            </w:r>
          </w:p>
        </w:tc>
      </w:tr>
      <w:tr w:rsidR="00426726" w:rsidRPr="0047372C" w14:paraId="07FC7616" w14:textId="77777777" w:rsidTr="00FE6F91">
        <w:trPr>
          <w:trHeight w:val="79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0E5746"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Обслуживание государственного (муниципального) долга</w:t>
            </w:r>
          </w:p>
        </w:tc>
        <w:tc>
          <w:tcPr>
            <w:tcW w:w="2041" w:type="dxa"/>
            <w:tcBorders>
              <w:top w:val="nil"/>
              <w:left w:val="nil"/>
              <w:bottom w:val="single" w:sz="4" w:space="0" w:color="auto"/>
              <w:right w:val="single" w:sz="4" w:space="0" w:color="auto"/>
            </w:tcBorders>
            <w:shd w:val="clear" w:color="auto" w:fill="auto"/>
            <w:noWrap/>
            <w:vAlign w:val="center"/>
            <w:hideMark/>
          </w:tcPr>
          <w:p w14:paraId="3E36EB60" w14:textId="5F2A5795" w:rsidR="00426726" w:rsidRPr="0047372C" w:rsidRDefault="00426726" w:rsidP="008E68AB">
            <w:pPr>
              <w:widowControl/>
              <w:ind w:firstLine="0"/>
              <w:jc w:val="center"/>
              <w:rPr>
                <w:color w:val="000000"/>
                <w:sz w:val="22"/>
                <w:szCs w:val="22"/>
                <w:lang w:eastAsia="ru-RU"/>
              </w:rPr>
            </w:pPr>
            <w:r>
              <w:rPr>
                <w:color w:val="000000"/>
                <w:sz w:val="22"/>
                <w:szCs w:val="22"/>
              </w:rPr>
              <w:t>63,6</w:t>
            </w:r>
          </w:p>
        </w:tc>
        <w:tc>
          <w:tcPr>
            <w:tcW w:w="1843" w:type="dxa"/>
            <w:tcBorders>
              <w:top w:val="nil"/>
              <w:left w:val="nil"/>
              <w:bottom w:val="single" w:sz="4" w:space="0" w:color="auto"/>
              <w:right w:val="single" w:sz="4" w:space="0" w:color="auto"/>
            </w:tcBorders>
            <w:shd w:val="clear" w:color="auto" w:fill="auto"/>
            <w:noWrap/>
            <w:vAlign w:val="center"/>
            <w:hideMark/>
          </w:tcPr>
          <w:p w14:paraId="5BF09EA3" w14:textId="16DAF8D5" w:rsidR="00426726" w:rsidRPr="0047372C" w:rsidRDefault="00426726" w:rsidP="008E68AB">
            <w:pPr>
              <w:widowControl/>
              <w:ind w:firstLine="0"/>
              <w:jc w:val="center"/>
              <w:rPr>
                <w:color w:val="000000"/>
                <w:sz w:val="22"/>
                <w:szCs w:val="22"/>
                <w:lang w:eastAsia="ru-RU"/>
              </w:rPr>
            </w:pPr>
            <w:r>
              <w:rPr>
                <w:color w:val="000000"/>
                <w:sz w:val="22"/>
                <w:szCs w:val="22"/>
              </w:rPr>
              <w:t>63,5</w:t>
            </w:r>
          </w:p>
        </w:tc>
        <w:tc>
          <w:tcPr>
            <w:tcW w:w="1417" w:type="dxa"/>
            <w:tcBorders>
              <w:top w:val="nil"/>
              <w:left w:val="nil"/>
              <w:bottom w:val="single" w:sz="4" w:space="0" w:color="auto"/>
              <w:right w:val="single" w:sz="4" w:space="0" w:color="auto"/>
            </w:tcBorders>
            <w:shd w:val="clear" w:color="auto" w:fill="auto"/>
            <w:noWrap/>
            <w:vAlign w:val="center"/>
            <w:hideMark/>
          </w:tcPr>
          <w:p w14:paraId="3902A81C" w14:textId="3EBEAB81" w:rsidR="00426726" w:rsidRPr="0047372C" w:rsidRDefault="00426726" w:rsidP="008E68AB">
            <w:pPr>
              <w:widowControl/>
              <w:ind w:firstLine="0"/>
              <w:jc w:val="center"/>
              <w:rPr>
                <w:color w:val="000000"/>
                <w:sz w:val="22"/>
                <w:szCs w:val="22"/>
                <w:lang w:eastAsia="ru-RU"/>
              </w:rPr>
            </w:pPr>
            <w:r>
              <w:rPr>
                <w:color w:val="000000"/>
                <w:sz w:val="22"/>
                <w:szCs w:val="22"/>
              </w:rPr>
              <w:t>99,8%</w:t>
            </w:r>
          </w:p>
        </w:tc>
        <w:tc>
          <w:tcPr>
            <w:tcW w:w="1701" w:type="dxa"/>
            <w:tcBorders>
              <w:top w:val="nil"/>
              <w:left w:val="nil"/>
              <w:bottom w:val="single" w:sz="4" w:space="0" w:color="auto"/>
              <w:right w:val="single" w:sz="4" w:space="0" w:color="auto"/>
            </w:tcBorders>
            <w:shd w:val="clear" w:color="auto" w:fill="auto"/>
            <w:noWrap/>
            <w:vAlign w:val="center"/>
            <w:hideMark/>
          </w:tcPr>
          <w:p w14:paraId="35F80C4B" w14:textId="594987F1" w:rsidR="00426726" w:rsidRPr="0047372C" w:rsidRDefault="00426726" w:rsidP="008E68AB">
            <w:pPr>
              <w:widowControl/>
              <w:ind w:firstLine="0"/>
              <w:jc w:val="center"/>
              <w:rPr>
                <w:color w:val="000000"/>
                <w:sz w:val="22"/>
                <w:szCs w:val="22"/>
                <w:lang w:eastAsia="ru-RU"/>
              </w:rPr>
            </w:pPr>
            <w:r>
              <w:rPr>
                <w:color w:val="000000"/>
                <w:sz w:val="22"/>
                <w:szCs w:val="22"/>
              </w:rPr>
              <w:t>124,7%</w:t>
            </w:r>
          </w:p>
        </w:tc>
      </w:tr>
      <w:tr w:rsidR="00426726" w:rsidRPr="0047372C" w14:paraId="2566F413" w14:textId="77777777" w:rsidTr="00FE6F91">
        <w:trPr>
          <w:trHeight w:val="1299"/>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4ADF7D" w14:textId="77777777" w:rsidR="00426726" w:rsidRPr="0047372C" w:rsidRDefault="00426726" w:rsidP="008E68AB">
            <w:pPr>
              <w:widowControl/>
              <w:ind w:firstLine="0"/>
              <w:jc w:val="left"/>
              <w:rPr>
                <w:color w:val="000000"/>
                <w:sz w:val="22"/>
                <w:szCs w:val="22"/>
                <w:lang w:eastAsia="ru-RU"/>
              </w:rPr>
            </w:pPr>
            <w:r w:rsidRPr="0047372C">
              <w:rPr>
                <w:color w:val="000000"/>
                <w:sz w:val="22"/>
                <w:szCs w:val="22"/>
                <w:lang w:eastAsia="ru-RU"/>
              </w:rPr>
              <w:t>Межбюджетные трансферты общего характера бюджетам бюджетной системы Российской Федерации</w:t>
            </w:r>
          </w:p>
        </w:tc>
        <w:tc>
          <w:tcPr>
            <w:tcW w:w="2041" w:type="dxa"/>
            <w:tcBorders>
              <w:top w:val="nil"/>
              <w:left w:val="nil"/>
              <w:bottom w:val="single" w:sz="4" w:space="0" w:color="auto"/>
              <w:right w:val="single" w:sz="4" w:space="0" w:color="auto"/>
            </w:tcBorders>
            <w:shd w:val="clear" w:color="auto" w:fill="auto"/>
            <w:noWrap/>
            <w:vAlign w:val="center"/>
            <w:hideMark/>
          </w:tcPr>
          <w:p w14:paraId="026CB2C7" w14:textId="5E2BFA08" w:rsidR="00426726" w:rsidRPr="0047372C" w:rsidRDefault="00426726" w:rsidP="008E68AB">
            <w:pPr>
              <w:widowControl/>
              <w:ind w:firstLine="0"/>
              <w:jc w:val="center"/>
              <w:rPr>
                <w:color w:val="000000"/>
                <w:sz w:val="22"/>
                <w:szCs w:val="22"/>
                <w:lang w:eastAsia="ru-RU"/>
              </w:rPr>
            </w:pPr>
            <w:r>
              <w:rPr>
                <w:color w:val="000000"/>
                <w:sz w:val="22"/>
                <w:szCs w:val="22"/>
              </w:rPr>
              <w:t>812,3</w:t>
            </w:r>
          </w:p>
        </w:tc>
        <w:tc>
          <w:tcPr>
            <w:tcW w:w="1843" w:type="dxa"/>
            <w:tcBorders>
              <w:top w:val="nil"/>
              <w:left w:val="nil"/>
              <w:bottom w:val="single" w:sz="4" w:space="0" w:color="auto"/>
              <w:right w:val="single" w:sz="4" w:space="0" w:color="auto"/>
            </w:tcBorders>
            <w:shd w:val="clear" w:color="auto" w:fill="auto"/>
            <w:noWrap/>
            <w:vAlign w:val="center"/>
            <w:hideMark/>
          </w:tcPr>
          <w:p w14:paraId="1F133338" w14:textId="7563FD31" w:rsidR="00426726" w:rsidRPr="0047372C" w:rsidRDefault="00426726" w:rsidP="008E68AB">
            <w:pPr>
              <w:widowControl/>
              <w:ind w:firstLine="0"/>
              <w:jc w:val="center"/>
              <w:rPr>
                <w:color w:val="000000"/>
                <w:sz w:val="22"/>
                <w:szCs w:val="22"/>
                <w:lang w:eastAsia="ru-RU"/>
              </w:rPr>
            </w:pPr>
            <w:r>
              <w:rPr>
                <w:color w:val="000000"/>
                <w:sz w:val="22"/>
                <w:szCs w:val="22"/>
              </w:rPr>
              <w:t>812,3</w:t>
            </w:r>
          </w:p>
        </w:tc>
        <w:tc>
          <w:tcPr>
            <w:tcW w:w="1417" w:type="dxa"/>
            <w:tcBorders>
              <w:top w:val="nil"/>
              <w:left w:val="nil"/>
              <w:bottom w:val="single" w:sz="4" w:space="0" w:color="auto"/>
              <w:right w:val="single" w:sz="4" w:space="0" w:color="auto"/>
            </w:tcBorders>
            <w:shd w:val="clear" w:color="auto" w:fill="auto"/>
            <w:noWrap/>
            <w:vAlign w:val="center"/>
            <w:hideMark/>
          </w:tcPr>
          <w:p w14:paraId="3EA0A44B" w14:textId="33F175F6" w:rsidR="00426726" w:rsidRPr="0047372C" w:rsidRDefault="00426726" w:rsidP="008E68AB">
            <w:pPr>
              <w:widowControl/>
              <w:ind w:firstLine="0"/>
              <w:jc w:val="center"/>
              <w:rPr>
                <w:color w:val="000000"/>
                <w:sz w:val="22"/>
                <w:szCs w:val="22"/>
                <w:lang w:eastAsia="ru-RU"/>
              </w:rPr>
            </w:pPr>
            <w:r>
              <w:rPr>
                <w:color w:val="000000"/>
                <w:sz w:val="22"/>
                <w:szCs w:val="22"/>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33CB9D86" w14:textId="31221F02" w:rsidR="00426726" w:rsidRPr="0047372C" w:rsidRDefault="00426726" w:rsidP="008E68AB">
            <w:pPr>
              <w:widowControl/>
              <w:ind w:firstLine="0"/>
              <w:jc w:val="center"/>
              <w:rPr>
                <w:color w:val="000000"/>
                <w:sz w:val="22"/>
                <w:szCs w:val="22"/>
                <w:lang w:eastAsia="ru-RU"/>
              </w:rPr>
            </w:pPr>
            <w:r>
              <w:rPr>
                <w:color w:val="000000"/>
                <w:sz w:val="22"/>
                <w:szCs w:val="22"/>
              </w:rPr>
              <w:t>99,2%</w:t>
            </w:r>
          </w:p>
        </w:tc>
      </w:tr>
    </w:tbl>
    <w:p w14:paraId="79AE40EF" w14:textId="77777777" w:rsidR="00D95A1B" w:rsidRDefault="00D95A1B" w:rsidP="006B3DF7">
      <w:pPr>
        <w:jc w:val="center"/>
        <w:rPr>
          <w:color w:val="FF0000"/>
        </w:rPr>
      </w:pPr>
    </w:p>
    <w:p w14:paraId="2644FFF2" w14:textId="77777777" w:rsidR="00A77BA1" w:rsidRDefault="00A77BA1" w:rsidP="006B3DF7">
      <w:pPr>
        <w:pStyle w:val="1"/>
        <w:numPr>
          <w:ilvl w:val="0"/>
          <w:numId w:val="0"/>
        </w:numPr>
        <w:spacing w:before="0" w:after="0"/>
        <w:ind w:firstLine="709"/>
        <w:jc w:val="center"/>
        <w:rPr>
          <w:b/>
          <w:bCs/>
          <w:color w:val="auto"/>
          <w:lang w:eastAsia="ru-RU"/>
        </w:rPr>
      </w:pPr>
    </w:p>
    <w:p w14:paraId="077DDC63" w14:textId="77777777" w:rsidR="00A77BA1" w:rsidRDefault="00A77BA1" w:rsidP="006B3DF7">
      <w:pPr>
        <w:pStyle w:val="1"/>
        <w:numPr>
          <w:ilvl w:val="0"/>
          <w:numId w:val="0"/>
        </w:numPr>
        <w:spacing w:before="0" w:after="0"/>
        <w:ind w:firstLine="709"/>
        <w:jc w:val="center"/>
        <w:rPr>
          <w:b/>
          <w:bCs/>
          <w:color w:val="auto"/>
          <w:lang w:eastAsia="ru-RU"/>
        </w:rPr>
      </w:pPr>
    </w:p>
    <w:p w14:paraId="2CFE0E55" w14:textId="3DD3F57F" w:rsidR="005E4079" w:rsidRDefault="005E4079" w:rsidP="006B3DF7">
      <w:pPr>
        <w:pStyle w:val="1"/>
        <w:numPr>
          <w:ilvl w:val="0"/>
          <w:numId w:val="0"/>
        </w:numPr>
        <w:spacing w:before="0" w:after="0"/>
        <w:ind w:firstLine="709"/>
        <w:jc w:val="center"/>
        <w:rPr>
          <w:b/>
          <w:bCs/>
          <w:color w:val="auto"/>
          <w:lang w:eastAsia="ru-RU"/>
        </w:rPr>
      </w:pPr>
      <w:r w:rsidRPr="00C2018A">
        <w:rPr>
          <w:b/>
          <w:bCs/>
          <w:color w:val="auto"/>
          <w:lang w:eastAsia="ru-RU"/>
        </w:rPr>
        <w:t>Сведения об исполнении государственных программ КБР</w:t>
      </w:r>
      <w:r w:rsidRPr="00C2018A">
        <w:rPr>
          <w:b/>
          <w:bCs/>
          <w:color w:val="auto"/>
          <w:lang w:eastAsia="ru-RU"/>
        </w:rPr>
        <w:br/>
        <w:t>за 2025 год</w:t>
      </w:r>
    </w:p>
    <w:p w14:paraId="7CC0262A" w14:textId="77777777" w:rsidR="003B7752" w:rsidRPr="003B7752" w:rsidRDefault="003B7752" w:rsidP="006B3DF7">
      <w:pPr>
        <w:pStyle w:val="1"/>
        <w:numPr>
          <w:ilvl w:val="0"/>
          <w:numId w:val="0"/>
        </w:numPr>
        <w:spacing w:before="0" w:after="0"/>
        <w:ind w:firstLine="709"/>
        <w:jc w:val="center"/>
        <w:rPr>
          <w:color w:val="auto"/>
        </w:rPr>
      </w:pPr>
    </w:p>
    <w:p w14:paraId="29788FF2" w14:textId="5BC482EA" w:rsidR="00F811F4" w:rsidRPr="00C2018A" w:rsidRDefault="00F811F4" w:rsidP="006B3DF7">
      <w:pPr>
        <w:pStyle w:val="1"/>
        <w:numPr>
          <w:ilvl w:val="0"/>
          <w:numId w:val="0"/>
        </w:numPr>
        <w:spacing w:before="0" w:after="0"/>
        <w:ind w:firstLine="709"/>
        <w:rPr>
          <w:color w:val="auto"/>
        </w:rPr>
      </w:pPr>
      <w:r w:rsidRPr="00C2018A">
        <w:rPr>
          <w:color w:val="auto"/>
        </w:rPr>
        <w:t>На реализацию республиканских государственных программ в 202</w:t>
      </w:r>
      <w:r w:rsidR="0047372C" w:rsidRPr="00C2018A">
        <w:rPr>
          <w:color w:val="auto"/>
        </w:rPr>
        <w:t>5</w:t>
      </w:r>
      <w:r w:rsidRPr="00C2018A">
        <w:rPr>
          <w:color w:val="auto"/>
        </w:rPr>
        <w:t xml:space="preserve"> году в бюджете Кабардино-Балкарской Республики </w:t>
      </w:r>
      <w:r w:rsidR="00D86054" w:rsidRPr="00C2018A">
        <w:rPr>
          <w:color w:val="auto"/>
        </w:rPr>
        <w:t xml:space="preserve">было </w:t>
      </w:r>
      <w:r w:rsidRPr="00C2018A">
        <w:rPr>
          <w:color w:val="auto"/>
        </w:rPr>
        <w:t xml:space="preserve">предусмотрено </w:t>
      </w:r>
      <w:r w:rsidRPr="00C2018A">
        <w:rPr>
          <w:color w:val="auto"/>
        </w:rPr>
        <w:br/>
      </w:r>
      <w:r w:rsidR="00C2018A" w:rsidRPr="00C2018A">
        <w:rPr>
          <w:color w:val="auto"/>
        </w:rPr>
        <w:t>68 863,8</w:t>
      </w:r>
      <w:r w:rsidRPr="00C2018A">
        <w:rPr>
          <w:color w:val="auto"/>
        </w:rPr>
        <w:t xml:space="preserve"> млн рублей, в том числе за счет средств федерального бюджета </w:t>
      </w:r>
      <w:r w:rsidR="00FE6F91">
        <w:rPr>
          <w:color w:val="auto"/>
        </w:rPr>
        <w:br/>
      </w:r>
      <w:r w:rsidR="00C2018A" w:rsidRPr="00C2018A">
        <w:rPr>
          <w:color w:val="auto"/>
        </w:rPr>
        <w:t>18 939,6</w:t>
      </w:r>
      <w:r w:rsidRPr="00C2018A">
        <w:rPr>
          <w:color w:val="auto"/>
        </w:rPr>
        <w:t xml:space="preserve">млн рублей, республиканского бюджета КБР – </w:t>
      </w:r>
      <w:r w:rsidR="00C2018A" w:rsidRPr="00C2018A">
        <w:rPr>
          <w:color w:val="auto"/>
        </w:rPr>
        <w:t>49 924,3</w:t>
      </w:r>
      <w:r w:rsidRPr="00C2018A">
        <w:rPr>
          <w:color w:val="auto"/>
        </w:rPr>
        <w:t xml:space="preserve"> млн рублей. </w:t>
      </w:r>
    </w:p>
    <w:p w14:paraId="1137122E" w14:textId="34128763" w:rsidR="00F811F4" w:rsidRPr="00C014DC" w:rsidRDefault="00F811F4" w:rsidP="006B3DF7">
      <w:pPr>
        <w:pStyle w:val="1"/>
        <w:numPr>
          <w:ilvl w:val="0"/>
          <w:numId w:val="0"/>
        </w:numPr>
        <w:spacing w:before="0" w:after="0"/>
        <w:ind w:firstLine="709"/>
        <w:rPr>
          <w:color w:val="FF0000"/>
        </w:rPr>
      </w:pPr>
      <w:r w:rsidRPr="00C2018A">
        <w:rPr>
          <w:color w:val="auto"/>
        </w:rPr>
        <w:t xml:space="preserve">Фактическое финансирование республиканских государственных программ составило </w:t>
      </w:r>
      <w:r w:rsidR="00C2018A" w:rsidRPr="00C2018A">
        <w:rPr>
          <w:color w:val="auto"/>
        </w:rPr>
        <w:t>66 738,8</w:t>
      </w:r>
      <w:r w:rsidRPr="00C2018A">
        <w:rPr>
          <w:color w:val="auto"/>
        </w:rPr>
        <w:t xml:space="preserve"> млн рублей или </w:t>
      </w:r>
      <w:r w:rsidR="00E07002" w:rsidRPr="00C2018A">
        <w:rPr>
          <w:color w:val="auto"/>
        </w:rPr>
        <w:t>9</w:t>
      </w:r>
      <w:r w:rsidR="00C2018A" w:rsidRPr="00C2018A">
        <w:rPr>
          <w:color w:val="auto"/>
        </w:rPr>
        <w:t>6</w:t>
      </w:r>
      <w:r w:rsidR="00EC6EFC" w:rsidRPr="00C2018A">
        <w:rPr>
          <w:color w:val="auto"/>
        </w:rPr>
        <w:t xml:space="preserve">,9 </w:t>
      </w:r>
      <w:r w:rsidRPr="00C2018A">
        <w:rPr>
          <w:color w:val="auto"/>
        </w:rPr>
        <w:t xml:space="preserve">% от запланированного объема финансирования, в том числе за счет средств федерального бюджета – </w:t>
      </w:r>
      <w:r w:rsidR="00FE6F91">
        <w:rPr>
          <w:color w:val="auto"/>
        </w:rPr>
        <w:br/>
      </w:r>
      <w:r w:rsidR="00C2018A" w:rsidRPr="00C2018A">
        <w:rPr>
          <w:color w:val="auto"/>
        </w:rPr>
        <w:t>18 892,1</w:t>
      </w:r>
      <w:r w:rsidRPr="00C2018A">
        <w:rPr>
          <w:color w:val="auto"/>
        </w:rPr>
        <w:t xml:space="preserve"> млн рублей (</w:t>
      </w:r>
      <w:r w:rsidR="00DC30E3" w:rsidRPr="00C2018A">
        <w:rPr>
          <w:color w:val="auto"/>
        </w:rPr>
        <w:t>9</w:t>
      </w:r>
      <w:r w:rsidR="00E07002" w:rsidRPr="00C2018A">
        <w:rPr>
          <w:color w:val="auto"/>
        </w:rPr>
        <w:t>9,7</w:t>
      </w:r>
      <w:r w:rsidRPr="00C2018A">
        <w:rPr>
          <w:color w:val="auto"/>
        </w:rPr>
        <w:t>%), средств рес</w:t>
      </w:r>
      <w:r w:rsidR="00E05A27" w:rsidRPr="00C2018A">
        <w:rPr>
          <w:color w:val="auto"/>
        </w:rPr>
        <w:t>публиканского бюджета –</w:t>
      </w:r>
      <w:r w:rsidR="00FE6F91">
        <w:rPr>
          <w:color w:val="auto"/>
        </w:rPr>
        <w:t xml:space="preserve"> </w:t>
      </w:r>
      <w:r w:rsidR="00FE6F91">
        <w:rPr>
          <w:color w:val="auto"/>
        </w:rPr>
        <w:br/>
      </w:r>
      <w:r w:rsidR="00C2018A" w:rsidRPr="00C2018A">
        <w:rPr>
          <w:color w:val="auto"/>
        </w:rPr>
        <w:t>47 846,7</w:t>
      </w:r>
      <w:r w:rsidRPr="00C2018A">
        <w:rPr>
          <w:color w:val="auto"/>
        </w:rPr>
        <w:t xml:space="preserve"> млн рублей (</w:t>
      </w:r>
      <w:r w:rsidR="00BB329B" w:rsidRPr="00C2018A">
        <w:rPr>
          <w:color w:val="auto"/>
        </w:rPr>
        <w:t>9</w:t>
      </w:r>
      <w:r w:rsidR="00C2018A" w:rsidRPr="00C2018A">
        <w:rPr>
          <w:color w:val="auto"/>
        </w:rPr>
        <w:t>5</w:t>
      </w:r>
      <w:r w:rsidR="00BC01AE" w:rsidRPr="00C2018A">
        <w:rPr>
          <w:color w:val="auto"/>
        </w:rPr>
        <w:t>,</w:t>
      </w:r>
      <w:r w:rsidR="00C2018A" w:rsidRPr="00C2018A">
        <w:rPr>
          <w:color w:val="auto"/>
        </w:rPr>
        <w:t>8</w:t>
      </w:r>
      <w:r w:rsidRPr="00C2018A">
        <w:rPr>
          <w:color w:val="auto"/>
        </w:rPr>
        <w:t>%)</w:t>
      </w:r>
      <w:r w:rsidR="00E05A27" w:rsidRPr="00C2018A">
        <w:rPr>
          <w:color w:val="auto"/>
        </w:rPr>
        <w:t>.</w:t>
      </w:r>
    </w:p>
    <w:p w14:paraId="08C12B55" w14:textId="77777777" w:rsidR="00E34A72" w:rsidRPr="00C014DC" w:rsidRDefault="00E34A72" w:rsidP="006B3DF7">
      <w:pPr>
        <w:pStyle w:val="1"/>
        <w:numPr>
          <w:ilvl w:val="0"/>
          <w:numId w:val="0"/>
        </w:numPr>
        <w:spacing w:before="0" w:after="0"/>
        <w:ind w:firstLine="709"/>
        <w:rPr>
          <w:color w:val="FF0000"/>
        </w:rPr>
      </w:pPr>
    </w:p>
    <w:p w14:paraId="75A80D54" w14:textId="77777777" w:rsidR="00E34A72" w:rsidRPr="0043606F" w:rsidRDefault="00E34A72" w:rsidP="006B3DF7">
      <w:pPr>
        <w:pStyle w:val="1"/>
        <w:numPr>
          <w:ilvl w:val="0"/>
          <w:numId w:val="0"/>
        </w:numPr>
        <w:spacing w:before="0" w:after="0"/>
        <w:ind w:firstLine="709"/>
        <w:jc w:val="right"/>
        <w:rPr>
          <w:color w:val="auto"/>
        </w:rPr>
      </w:pPr>
      <w:r w:rsidRPr="0043606F">
        <w:rPr>
          <w:color w:val="auto"/>
          <w:sz w:val="22"/>
          <w:szCs w:val="22"/>
          <w:lang w:eastAsia="ru-RU"/>
        </w:rPr>
        <w:t>(млн рублей)</w:t>
      </w:r>
    </w:p>
    <w:tbl>
      <w:tblPr>
        <w:tblW w:w="10490" w:type="dxa"/>
        <w:tblInd w:w="108" w:type="dxa"/>
        <w:tblLook w:val="04A0" w:firstRow="1" w:lastRow="0" w:firstColumn="1" w:lastColumn="0" w:noHBand="0" w:noVBand="1"/>
      </w:tblPr>
      <w:tblGrid>
        <w:gridCol w:w="709"/>
        <w:gridCol w:w="5103"/>
        <w:gridCol w:w="1418"/>
        <w:gridCol w:w="1417"/>
        <w:gridCol w:w="1843"/>
      </w:tblGrid>
      <w:tr w:rsidR="00C014DC" w:rsidRPr="007F6E65" w14:paraId="3F6E16D5" w14:textId="77777777" w:rsidTr="006E113B">
        <w:trPr>
          <w:trHeight w:val="1590"/>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4B144B39" w14:textId="77777777" w:rsidR="00EC6EFC" w:rsidRPr="007F6E65" w:rsidRDefault="00EC6EFC" w:rsidP="008E68AB">
            <w:pPr>
              <w:widowControl/>
              <w:ind w:firstLine="0"/>
              <w:jc w:val="center"/>
              <w:rPr>
                <w:b/>
                <w:bCs/>
                <w:color w:val="auto"/>
                <w:sz w:val="24"/>
                <w:szCs w:val="24"/>
                <w:lang w:eastAsia="ru-RU"/>
              </w:rPr>
            </w:pPr>
            <w:r w:rsidRPr="007F6E65">
              <w:rPr>
                <w:b/>
                <w:bCs/>
                <w:color w:val="auto"/>
                <w:sz w:val="24"/>
                <w:szCs w:val="24"/>
                <w:lang w:eastAsia="ru-RU"/>
              </w:rPr>
              <w:t>№ п/п</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64969F59" w14:textId="77777777" w:rsidR="00EC6EFC" w:rsidRPr="007F6E65" w:rsidRDefault="00EC6EFC" w:rsidP="008E68AB">
            <w:pPr>
              <w:widowControl/>
              <w:ind w:firstLine="0"/>
              <w:jc w:val="center"/>
              <w:rPr>
                <w:b/>
                <w:bCs/>
                <w:color w:val="auto"/>
                <w:sz w:val="24"/>
                <w:szCs w:val="24"/>
                <w:lang w:eastAsia="ru-RU"/>
              </w:rPr>
            </w:pPr>
            <w:r w:rsidRPr="007F6E65">
              <w:rPr>
                <w:b/>
                <w:bCs/>
                <w:color w:val="auto"/>
                <w:sz w:val="24"/>
                <w:szCs w:val="24"/>
                <w:lang w:eastAsia="ru-RU"/>
              </w:rPr>
              <w:t>Название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016C0AC7" w14:textId="77777777" w:rsidR="00EC6EFC" w:rsidRPr="007F6E65" w:rsidRDefault="00EC6EFC" w:rsidP="008E68AB">
            <w:pPr>
              <w:widowControl/>
              <w:ind w:firstLine="0"/>
              <w:jc w:val="center"/>
              <w:rPr>
                <w:b/>
                <w:bCs/>
                <w:color w:val="auto"/>
                <w:sz w:val="24"/>
                <w:szCs w:val="24"/>
                <w:lang w:eastAsia="ru-RU"/>
              </w:rPr>
            </w:pPr>
            <w:r w:rsidRPr="007F6E65">
              <w:rPr>
                <w:b/>
                <w:bCs/>
                <w:color w:val="auto"/>
                <w:sz w:val="24"/>
                <w:szCs w:val="24"/>
                <w:lang w:eastAsia="ru-RU"/>
              </w:rPr>
              <w:t>План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28E627EC" w14:textId="77777777" w:rsidR="00EC6EFC" w:rsidRPr="007F6E65" w:rsidRDefault="00EC6EFC" w:rsidP="008E68AB">
            <w:pPr>
              <w:widowControl/>
              <w:ind w:firstLine="0"/>
              <w:jc w:val="center"/>
              <w:rPr>
                <w:b/>
                <w:bCs/>
                <w:color w:val="auto"/>
                <w:sz w:val="24"/>
                <w:szCs w:val="24"/>
                <w:lang w:eastAsia="ru-RU"/>
              </w:rPr>
            </w:pPr>
            <w:r w:rsidRPr="007F6E65">
              <w:rPr>
                <w:b/>
                <w:bCs/>
                <w:color w:val="auto"/>
                <w:sz w:val="24"/>
                <w:szCs w:val="24"/>
                <w:lang w:eastAsia="ru-RU"/>
              </w:rPr>
              <w:t>Факт</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209641FC" w14:textId="77777777" w:rsidR="00EC6EFC" w:rsidRPr="007F6E65" w:rsidRDefault="00EC6EFC" w:rsidP="008E68AB">
            <w:pPr>
              <w:widowControl/>
              <w:ind w:firstLine="0"/>
              <w:jc w:val="center"/>
              <w:rPr>
                <w:b/>
                <w:bCs/>
                <w:color w:val="auto"/>
                <w:sz w:val="24"/>
                <w:szCs w:val="24"/>
                <w:lang w:eastAsia="ru-RU"/>
              </w:rPr>
            </w:pPr>
            <w:r w:rsidRPr="007F6E65">
              <w:rPr>
                <w:b/>
                <w:bCs/>
                <w:color w:val="auto"/>
                <w:sz w:val="24"/>
                <w:szCs w:val="24"/>
                <w:lang w:eastAsia="ru-RU"/>
              </w:rPr>
              <w:t>Исполнение к уточненному плану, %</w:t>
            </w:r>
          </w:p>
        </w:tc>
      </w:tr>
      <w:tr w:rsidR="00C014DC" w:rsidRPr="007F6E65" w14:paraId="07C83759" w14:textId="77777777" w:rsidTr="006E113B">
        <w:trPr>
          <w:trHeight w:val="507"/>
        </w:trPr>
        <w:tc>
          <w:tcPr>
            <w:tcW w:w="709" w:type="dxa"/>
            <w:vMerge/>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7D6EC700" w14:textId="77777777" w:rsidR="00EC6EFC" w:rsidRPr="007F6E65" w:rsidRDefault="00EC6EFC" w:rsidP="008E68AB">
            <w:pPr>
              <w:widowControl/>
              <w:ind w:firstLine="0"/>
              <w:jc w:val="center"/>
              <w:rPr>
                <w:b/>
                <w:bCs/>
                <w:color w:val="auto"/>
                <w:sz w:val="24"/>
                <w:szCs w:val="24"/>
                <w:lang w:eastAsia="ru-RU"/>
              </w:rPr>
            </w:pPr>
          </w:p>
        </w:tc>
        <w:tc>
          <w:tcPr>
            <w:tcW w:w="5103" w:type="dxa"/>
            <w:vMerge/>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1DD53673" w14:textId="77777777" w:rsidR="00EC6EFC" w:rsidRPr="007F6E65" w:rsidRDefault="00EC6EFC" w:rsidP="008E68AB">
            <w:pPr>
              <w:widowControl/>
              <w:ind w:firstLine="0"/>
              <w:jc w:val="center"/>
              <w:rPr>
                <w:b/>
                <w:bCs/>
                <w:color w:val="auto"/>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17969F8A" w14:textId="77777777" w:rsidR="00EC6EFC" w:rsidRPr="007F6E65" w:rsidRDefault="00EC6EFC" w:rsidP="008E68AB">
            <w:pPr>
              <w:widowControl/>
              <w:ind w:firstLine="0"/>
              <w:jc w:val="center"/>
              <w:rPr>
                <w:b/>
                <w:bCs/>
                <w:color w:val="auto"/>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087328BC" w14:textId="77777777" w:rsidR="00EC6EFC" w:rsidRPr="007F6E65" w:rsidRDefault="00EC6EFC" w:rsidP="008E68AB">
            <w:pPr>
              <w:widowControl/>
              <w:ind w:firstLine="0"/>
              <w:jc w:val="center"/>
              <w:rPr>
                <w:b/>
                <w:bCs/>
                <w:color w:val="auto"/>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44EE5F3B" w14:textId="77777777" w:rsidR="00EC6EFC" w:rsidRPr="007F6E65" w:rsidRDefault="00EC6EFC" w:rsidP="008E68AB">
            <w:pPr>
              <w:widowControl/>
              <w:ind w:firstLine="0"/>
              <w:jc w:val="center"/>
              <w:rPr>
                <w:b/>
                <w:bCs/>
                <w:color w:val="auto"/>
                <w:sz w:val="24"/>
                <w:szCs w:val="24"/>
                <w:lang w:eastAsia="ru-RU"/>
              </w:rPr>
            </w:pPr>
          </w:p>
        </w:tc>
      </w:tr>
      <w:tr w:rsidR="007F6E65" w:rsidRPr="007F6E65" w14:paraId="3F89C96A" w14:textId="77777777" w:rsidTr="00DC5476">
        <w:trPr>
          <w:trHeight w:val="300"/>
        </w:trPr>
        <w:tc>
          <w:tcPr>
            <w:tcW w:w="709" w:type="dxa"/>
            <w:tcBorders>
              <w:top w:val="nil"/>
              <w:left w:val="single" w:sz="4" w:space="0" w:color="auto"/>
              <w:bottom w:val="single" w:sz="4" w:space="0" w:color="auto"/>
              <w:right w:val="single" w:sz="4" w:space="0" w:color="auto"/>
            </w:tcBorders>
            <w:shd w:val="clear" w:color="auto" w:fill="80D219" w:themeFill="accent3" w:themeFillShade="BF"/>
            <w:noWrap/>
            <w:vAlign w:val="center"/>
            <w:hideMark/>
          </w:tcPr>
          <w:p w14:paraId="27000DCD" w14:textId="77777777" w:rsidR="00EC6EFC" w:rsidRPr="007F6E65" w:rsidRDefault="00EC6EFC" w:rsidP="008E68AB">
            <w:pPr>
              <w:widowControl/>
              <w:ind w:firstLine="0"/>
              <w:jc w:val="center"/>
              <w:rPr>
                <w:b/>
                <w:bCs/>
                <w:color w:val="auto"/>
                <w:sz w:val="24"/>
                <w:szCs w:val="24"/>
                <w:lang w:eastAsia="ru-RU"/>
              </w:rPr>
            </w:pPr>
            <w:r w:rsidRPr="007F6E65">
              <w:rPr>
                <w:b/>
                <w:bCs/>
                <w:color w:val="auto"/>
                <w:sz w:val="24"/>
                <w:szCs w:val="24"/>
                <w:lang w:eastAsia="ru-RU"/>
              </w:rPr>
              <w:t> </w:t>
            </w:r>
          </w:p>
        </w:tc>
        <w:tc>
          <w:tcPr>
            <w:tcW w:w="5103" w:type="dxa"/>
            <w:tcBorders>
              <w:top w:val="nil"/>
              <w:left w:val="nil"/>
              <w:bottom w:val="single" w:sz="4" w:space="0" w:color="auto"/>
              <w:right w:val="single" w:sz="4" w:space="0" w:color="auto"/>
            </w:tcBorders>
            <w:shd w:val="clear" w:color="auto" w:fill="80D219" w:themeFill="accent3" w:themeFillShade="BF"/>
            <w:vAlign w:val="center"/>
            <w:hideMark/>
          </w:tcPr>
          <w:p w14:paraId="481E3B5A" w14:textId="77777777" w:rsidR="00EC6EFC" w:rsidRPr="007F6E65" w:rsidRDefault="00EC6EFC" w:rsidP="008E68AB">
            <w:pPr>
              <w:widowControl/>
              <w:ind w:firstLine="0"/>
              <w:jc w:val="left"/>
              <w:rPr>
                <w:b/>
                <w:bCs/>
                <w:color w:val="auto"/>
                <w:sz w:val="24"/>
                <w:szCs w:val="24"/>
                <w:lang w:eastAsia="ru-RU"/>
              </w:rPr>
            </w:pPr>
            <w:r w:rsidRPr="007F6E65">
              <w:rPr>
                <w:b/>
                <w:bCs/>
                <w:color w:val="auto"/>
                <w:sz w:val="24"/>
                <w:szCs w:val="24"/>
                <w:lang w:eastAsia="ru-RU"/>
              </w:rPr>
              <w:t>Всего по ГП</w:t>
            </w:r>
          </w:p>
        </w:tc>
        <w:tc>
          <w:tcPr>
            <w:tcW w:w="1418" w:type="dxa"/>
            <w:tcBorders>
              <w:top w:val="nil"/>
              <w:left w:val="nil"/>
              <w:bottom w:val="single" w:sz="4" w:space="0" w:color="auto"/>
              <w:right w:val="single" w:sz="4" w:space="0" w:color="auto"/>
            </w:tcBorders>
            <w:shd w:val="clear" w:color="auto" w:fill="80D219" w:themeFill="accent3" w:themeFillShade="BF"/>
            <w:vAlign w:val="center"/>
          </w:tcPr>
          <w:p w14:paraId="4AD7C948" w14:textId="77777777" w:rsidR="00EC6EFC" w:rsidRPr="007F6E65" w:rsidRDefault="00DC5476" w:rsidP="008E68AB">
            <w:pPr>
              <w:widowControl/>
              <w:ind w:firstLine="0"/>
              <w:jc w:val="center"/>
              <w:rPr>
                <w:b/>
                <w:bCs/>
                <w:color w:val="auto"/>
                <w:sz w:val="24"/>
                <w:szCs w:val="24"/>
                <w:lang w:eastAsia="ru-RU"/>
              </w:rPr>
            </w:pPr>
            <w:r w:rsidRPr="007F6E65">
              <w:rPr>
                <w:b/>
                <w:bCs/>
                <w:color w:val="auto"/>
                <w:sz w:val="24"/>
                <w:szCs w:val="24"/>
                <w:lang w:eastAsia="ru-RU"/>
              </w:rPr>
              <w:t>68 863,8</w:t>
            </w:r>
          </w:p>
        </w:tc>
        <w:tc>
          <w:tcPr>
            <w:tcW w:w="1417" w:type="dxa"/>
            <w:tcBorders>
              <w:top w:val="nil"/>
              <w:left w:val="nil"/>
              <w:bottom w:val="single" w:sz="4" w:space="0" w:color="auto"/>
              <w:right w:val="single" w:sz="4" w:space="0" w:color="auto"/>
            </w:tcBorders>
            <w:shd w:val="clear" w:color="auto" w:fill="80D219" w:themeFill="accent3" w:themeFillShade="BF"/>
            <w:vAlign w:val="center"/>
          </w:tcPr>
          <w:p w14:paraId="5351A3F9" w14:textId="77777777" w:rsidR="00EC6EFC" w:rsidRPr="007F6E65" w:rsidRDefault="00DC5476" w:rsidP="008E68AB">
            <w:pPr>
              <w:widowControl/>
              <w:ind w:firstLine="0"/>
              <w:jc w:val="center"/>
              <w:rPr>
                <w:b/>
                <w:bCs/>
                <w:color w:val="auto"/>
                <w:sz w:val="24"/>
                <w:szCs w:val="24"/>
                <w:lang w:eastAsia="ru-RU"/>
              </w:rPr>
            </w:pPr>
            <w:r w:rsidRPr="007F6E65">
              <w:rPr>
                <w:b/>
                <w:bCs/>
                <w:color w:val="auto"/>
                <w:sz w:val="24"/>
                <w:szCs w:val="24"/>
                <w:lang w:eastAsia="ru-RU"/>
              </w:rPr>
              <w:t>66 738,8</w:t>
            </w:r>
          </w:p>
        </w:tc>
        <w:tc>
          <w:tcPr>
            <w:tcW w:w="1843" w:type="dxa"/>
            <w:tcBorders>
              <w:top w:val="nil"/>
              <w:left w:val="nil"/>
              <w:bottom w:val="single" w:sz="4" w:space="0" w:color="auto"/>
              <w:right w:val="single" w:sz="4" w:space="0" w:color="auto"/>
            </w:tcBorders>
            <w:shd w:val="clear" w:color="auto" w:fill="80D219" w:themeFill="accent3" w:themeFillShade="BF"/>
            <w:noWrap/>
            <w:vAlign w:val="center"/>
          </w:tcPr>
          <w:p w14:paraId="7E0C78F8" w14:textId="77777777" w:rsidR="00EC6EFC" w:rsidRPr="007F6E65" w:rsidRDefault="00DC5476" w:rsidP="008E68AB">
            <w:pPr>
              <w:widowControl/>
              <w:ind w:firstLine="0"/>
              <w:jc w:val="center"/>
              <w:rPr>
                <w:b/>
                <w:bCs/>
                <w:color w:val="auto"/>
                <w:sz w:val="24"/>
                <w:szCs w:val="24"/>
                <w:lang w:eastAsia="ru-RU"/>
              </w:rPr>
            </w:pPr>
            <w:r w:rsidRPr="007F6E65">
              <w:rPr>
                <w:b/>
                <w:bCs/>
                <w:color w:val="auto"/>
                <w:sz w:val="24"/>
                <w:szCs w:val="24"/>
                <w:lang w:eastAsia="ru-RU"/>
              </w:rPr>
              <w:t>96,9</w:t>
            </w:r>
          </w:p>
        </w:tc>
      </w:tr>
      <w:tr w:rsidR="007F6E65" w:rsidRPr="007F6E65" w14:paraId="0D20963B"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0C326"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B41E6" w14:textId="42B91912"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здравоохранения в Кабардино-Балкарской Республике</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2BFE20"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11 412,0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C10F34"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11 342,8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12837"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99,4</w:t>
            </w:r>
          </w:p>
        </w:tc>
      </w:tr>
      <w:tr w:rsidR="007F6E65" w:rsidRPr="007F6E65" w14:paraId="4B973B72"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01D84"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920C0" w14:textId="421C8156"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образования в Кабардино-Балкарской Республике</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9A50C0"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17 622,5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1897EA"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17 460,0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8AE65"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99,1</w:t>
            </w:r>
          </w:p>
        </w:tc>
      </w:tr>
      <w:tr w:rsidR="007F6E65" w:rsidRPr="007F6E65" w14:paraId="2C3C13AC"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06DB1"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CDAA4" w14:textId="2A1CA2D8"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Социальная поддержка населения Кабардино-Балкарской Республики</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2CC062"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16 186,0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DD64B8"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15 905,1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6D96B9"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98,3</w:t>
            </w:r>
          </w:p>
        </w:tc>
      </w:tr>
      <w:tr w:rsidR="007F6E65" w:rsidRPr="007F6E65" w14:paraId="78E321B6"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B6682"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4577" w14:textId="3B5154BA"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Доступная среда в Кабардино-Балкарской Республике</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DE7EF"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B77F7D"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292B5"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100,0</w:t>
            </w:r>
          </w:p>
        </w:tc>
      </w:tr>
      <w:tr w:rsidR="007F6E65" w:rsidRPr="007F6E65" w14:paraId="007EBA76"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13BFA"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5</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2AB6BF36" w14:textId="32BF281C"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Обеспечение жильем и коммунальными услугами населения Кабардино-Балкарской Республики</w:t>
            </w:r>
            <w:r>
              <w:rPr>
                <w:color w:val="auto"/>
                <w:sz w:val="24"/>
                <w:szCs w:val="24"/>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D248D8"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3 117,8</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41523A"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2 320,2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1FC20AF"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74,4</w:t>
            </w:r>
          </w:p>
        </w:tc>
      </w:tr>
      <w:tr w:rsidR="007F6E65" w:rsidRPr="007F6E65" w14:paraId="0907E025"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C3FA7D"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6</w:t>
            </w:r>
          </w:p>
        </w:tc>
        <w:tc>
          <w:tcPr>
            <w:tcW w:w="5103" w:type="dxa"/>
            <w:tcBorders>
              <w:top w:val="nil"/>
              <w:left w:val="nil"/>
              <w:bottom w:val="single" w:sz="4" w:space="0" w:color="auto"/>
              <w:right w:val="single" w:sz="4" w:space="0" w:color="auto"/>
            </w:tcBorders>
            <w:shd w:val="clear" w:color="auto" w:fill="auto"/>
            <w:vAlign w:val="center"/>
            <w:hideMark/>
          </w:tcPr>
          <w:p w14:paraId="316D5B0A" w14:textId="2D1F1255"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Содействие занятости населения Кабардино-Балкарской Республики</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4B4A5481"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422,6</w:t>
            </w:r>
          </w:p>
        </w:tc>
        <w:tc>
          <w:tcPr>
            <w:tcW w:w="1417" w:type="dxa"/>
            <w:tcBorders>
              <w:top w:val="nil"/>
              <w:left w:val="nil"/>
              <w:bottom w:val="single" w:sz="4" w:space="0" w:color="auto"/>
              <w:right w:val="single" w:sz="4" w:space="0" w:color="auto"/>
            </w:tcBorders>
            <w:shd w:val="clear" w:color="auto" w:fill="auto"/>
            <w:vAlign w:val="center"/>
          </w:tcPr>
          <w:p w14:paraId="7D98AE17"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414,2</w:t>
            </w:r>
          </w:p>
        </w:tc>
        <w:tc>
          <w:tcPr>
            <w:tcW w:w="1843" w:type="dxa"/>
            <w:tcBorders>
              <w:top w:val="nil"/>
              <w:left w:val="nil"/>
              <w:bottom w:val="single" w:sz="4" w:space="0" w:color="auto"/>
              <w:right w:val="single" w:sz="4" w:space="0" w:color="auto"/>
            </w:tcBorders>
            <w:shd w:val="clear" w:color="auto" w:fill="auto"/>
            <w:noWrap/>
            <w:vAlign w:val="center"/>
          </w:tcPr>
          <w:p w14:paraId="655BACFA"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98,0</w:t>
            </w:r>
          </w:p>
        </w:tc>
      </w:tr>
      <w:tr w:rsidR="007F6E65" w:rsidRPr="007F6E65" w14:paraId="64BF7CE8"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2E9F72"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7</w:t>
            </w:r>
          </w:p>
        </w:tc>
        <w:tc>
          <w:tcPr>
            <w:tcW w:w="5103" w:type="dxa"/>
            <w:tcBorders>
              <w:top w:val="nil"/>
              <w:left w:val="nil"/>
              <w:bottom w:val="single" w:sz="4" w:space="0" w:color="auto"/>
              <w:right w:val="single" w:sz="4" w:space="0" w:color="auto"/>
            </w:tcBorders>
            <w:shd w:val="clear" w:color="auto" w:fill="auto"/>
            <w:vAlign w:val="center"/>
            <w:hideMark/>
          </w:tcPr>
          <w:p w14:paraId="2DA78E24" w14:textId="506897E0"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Профилактика правонарушений и укрепление общественного порядка и общественной безопасности в Кабардино-Балкарской Республике</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1004B7A0"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6,3</w:t>
            </w:r>
          </w:p>
        </w:tc>
        <w:tc>
          <w:tcPr>
            <w:tcW w:w="1417" w:type="dxa"/>
            <w:tcBorders>
              <w:top w:val="nil"/>
              <w:left w:val="nil"/>
              <w:bottom w:val="single" w:sz="4" w:space="0" w:color="auto"/>
              <w:right w:val="single" w:sz="4" w:space="0" w:color="auto"/>
            </w:tcBorders>
            <w:shd w:val="clear" w:color="auto" w:fill="auto"/>
            <w:vAlign w:val="center"/>
          </w:tcPr>
          <w:p w14:paraId="20051F9D"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5,8</w:t>
            </w:r>
          </w:p>
        </w:tc>
        <w:tc>
          <w:tcPr>
            <w:tcW w:w="1843" w:type="dxa"/>
            <w:tcBorders>
              <w:top w:val="nil"/>
              <w:left w:val="nil"/>
              <w:bottom w:val="single" w:sz="4" w:space="0" w:color="auto"/>
              <w:right w:val="single" w:sz="4" w:space="0" w:color="auto"/>
            </w:tcBorders>
            <w:shd w:val="clear" w:color="auto" w:fill="auto"/>
            <w:noWrap/>
            <w:vAlign w:val="center"/>
          </w:tcPr>
          <w:p w14:paraId="7F9A7D22"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91,4</w:t>
            </w:r>
          </w:p>
        </w:tc>
      </w:tr>
      <w:tr w:rsidR="007F6E65" w:rsidRPr="007F6E65" w14:paraId="0BF58830"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27BE5A"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8</w:t>
            </w:r>
          </w:p>
        </w:tc>
        <w:tc>
          <w:tcPr>
            <w:tcW w:w="5103" w:type="dxa"/>
            <w:tcBorders>
              <w:top w:val="nil"/>
              <w:left w:val="nil"/>
              <w:bottom w:val="single" w:sz="4" w:space="0" w:color="auto"/>
              <w:right w:val="single" w:sz="4" w:space="0" w:color="auto"/>
            </w:tcBorders>
            <w:shd w:val="clear" w:color="auto" w:fill="auto"/>
            <w:vAlign w:val="center"/>
            <w:hideMark/>
          </w:tcPr>
          <w:p w14:paraId="0CBE5605" w14:textId="56513F9D"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Защита населения и территории Кабардино-Балкарской Республики от чрезвычайных ситуаций природного и техногенного характера, обеспечение пожарной безопасности и безопасности людей на водных объектах</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7CF6B0B0"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516,3</w:t>
            </w:r>
          </w:p>
        </w:tc>
        <w:tc>
          <w:tcPr>
            <w:tcW w:w="1417" w:type="dxa"/>
            <w:tcBorders>
              <w:top w:val="nil"/>
              <w:left w:val="nil"/>
              <w:bottom w:val="single" w:sz="4" w:space="0" w:color="auto"/>
              <w:right w:val="single" w:sz="4" w:space="0" w:color="auto"/>
            </w:tcBorders>
            <w:shd w:val="clear" w:color="auto" w:fill="auto"/>
            <w:vAlign w:val="center"/>
          </w:tcPr>
          <w:p w14:paraId="1EE55CF4"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513,6</w:t>
            </w:r>
          </w:p>
        </w:tc>
        <w:tc>
          <w:tcPr>
            <w:tcW w:w="1843" w:type="dxa"/>
            <w:tcBorders>
              <w:top w:val="nil"/>
              <w:left w:val="nil"/>
              <w:bottom w:val="single" w:sz="4" w:space="0" w:color="auto"/>
              <w:right w:val="single" w:sz="4" w:space="0" w:color="auto"/>
            </w:tcBorders>
            <w:shd w:val="clear" w:color="auto" w:fill="auto"/>
            <w:noWrap/>
            <w:vAlign w:val="center"/>
          </w:tcPr>
          <w:p w14:paraId="602BD0C9"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99,5</w:t>
            </w:r>
          </w:p>
        </w:tc>
      </w:tr>
      <w:tr w:rsidR="007F6E65" w:rsidRPr="007F6E65" w14:paraId="6C916456"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7652C1"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9</w:t>
            </w:r>
          </w:p>
        </w:tc>
        <w:tc>
          <w:tcPr>
            <w:tcW w:w="5103" w:type="dxa"/>
            <w:tcBorders>
              <w:top w:val="nil"/>
              <w:left w:val="nil"/>
              <w:bottom w:val="single" w:sz="4" w:space="0" w:color="auto"/>
              <w:right w:val="single" w:sz="4" w:space="0" w:color="auto"/>
            </w:tcBorders>
            <w:shd w:val="clear" w:color="auto" w:fill="auto"/>
            <w:vAlign w:val="center"/>
            <w:hideMark/>
          </w:tcPr>
          <w:p w14:paraId="0751B499" w14:textId="22DB4618"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Культура Кабардино-Балкарии</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6489F612"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1 193,8</w:t>
            </w:r>
          </w:p>
        </w:tc>
        <w:tc>
          <w:tcPr>
            <w:tcW w:w="1417" w:type="dxa"/>
            <w:tcBorders>
              <w:top w:val="nil"/>
              <w:left w:val="nil"/>
              <w:bottom w:val="single" w:sz="4" w:space="0" w:color="auto"/>
              <w:right w:val="single" w:sz="4" w:space="0" w:color="auto"/>
            </w:tcBorders>
            <w:shd w:val="clear" w:color="auto" w:fill="auto"/>
            <w:vAlign w:val="center"/>
          </w:tcPr>
          <w:p w14:paraId="1BB1FBFD"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1 164,0</w:t>
            </w:r>
          </w:p>
        </w:tc>
        <w:tc>
          <w:tcPr>
            <w:tcW w:w="1843" w:type="dxa"/>
            <w:tcBorders>
              <w:top w:val="nil"/>
              <w:left w:val="nil"/>
              <w:bottom w:val="single" w:sz="4" w:space="0" w:color="auto"/>
              <w:right w:val="single" w:sz="4" w:space="0" w:color="auto"/>
            </w:tcBorders>
            <w:shd w:val="clear" w:color="auto" w:fill="auto"/>
            <w:noWrap/>
            <w:vAlign w:val="center"/>
          </w:tcPr>
          <w:p w14:paraId="161CDE85"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97,5</w:t>
            </w:r>
          </w:p>
        </w:tc>
      </w:tr>
      <w:tr w:rsidR="007F6E65" w:rsidRPr="007F6E65" w14:paraId="71DEA111"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C33726"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10</w:t>
            </w:r>
          </w:p>
        </w:tc>
        <w:tc>
          <w:tcPr>
            <w:tcW w:w="5103" w:type="dxa"/>
            <w:tcBorders>
              <w:top w:val="nil"/>
              <w:left w:val="nil"/>
              <w:bottom w:val="single" w:sz="4" w:space="0" w:color="auto"/>
              <w:right w:val="single" w:sz="4" w:space="0" w:color="auto"/>
            </w:tcBorders>
            <w:shd w:val="clear" w:color="auto" w:fill="auto"/>
            <w:vAlign w:val="center"/>
            <w:hideMark/>
          </w:tcPr>
          <w:p w14:paraId="7C2762AD" w14:textId="480CE004"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Охрана окружающей среды, воспроизводство и использование природных ресурсов в Кабардино-Балкарской Республике</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0E0177B1"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271,5</w:t>
            </w:r>
          </w:p>
        </w:tc>
        <w:tc>
          <w:tcPr>
            <w:tcW w:w="1417" w:type="dxa"/>
            <w:tcBorders>
              <w:top w:val="nil"/>
              <w:left w:val="nil"/>
              <w:bottom w:val="single" w:sz="4" w:space="0" w:color="auto"/>
              <w:right w:val="single" w:sz="4" w:space="0" w:color="auto"/>
            </w:tcBorders>
            <w:shd w:val="clear" w:color="auto" w:fill="auto"/>
            <w:vAlign w:val="center"/>
          </w:tcPr>
          <w:p w14:paraId="69598A0E"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265,8</w:t>
            </w:r>
          </w:p>
        </w:tc>
        <w:tc>
          <w:tcPr>
            <w:tcW w:w="1843" w:type="dxa"/>
            <w:tcBorders>
              <w:top w:val="nil"/>
              <w:left w:val="nil"/>
              <w:bottom w:val="single" w:sz="4" w:space="0" w:color="auto"/>
              <w:right w:val="single" w:sz="4" w:space="0" w:color="auto"/>
            </w:tcBorders>
            <w:shd w:val="clear" w:color="auto" w:fill="auto"/>
            <w:noWrap/>
            <w:vAlign w:val="center"/>
          </w:tcPr>
          <w:p w14:paraId="2B12233D"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97,9</w:t>
            </w:r>
          </w:p>
        </w:tc>
      </w:tr>
      <w:tr w:rsidR="007F6E65" w:rsidRPr="007F6E65" w14:paraId="63130C28"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D5F514"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11</w:t>
            </w:r>
          </w:p>
        </w:tc>
        <w:tc>
          <w:tcPr>
            <w:tcW w:w="5103" w:type="dxa"/>
            <w:tcBorders>
              <w:top w:val="nil"/>
              <w:left w:val="nil"/>
              <w:bottom w:val="single" w:sz="4" w:space="0" w:color="auto"/>
              <w:right w:val="single" w:sz="4" w:space="0" w:color="auto"/>
            </w:tcBorders>
            <w:shd w:val="clear" w:color="auto" w:fill="auto"/>
            <w:vAlign w:val="center"/>
            <w:hideMark/>
          </w:tcPr>
          <w:p w14:paraId="1F27A2F6" w14:textId="3104F8E5"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физической культуры и спорта в Кабардино-Балкарской Республике</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4EA36EAA"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1 216,5</w:t>
            </w:r>
          </w:p>
        </w:tc>
        <w:tc>
          <w:tcPr>
            <w:tcW w:w="1417" w:type="dxa"/>
            <w:tcBorders>
              <w:top w:val="nil"/>
              <w:left w:val="nil"/>
              <w:bottom w:val="single" w:sz="4" w:space="0" w:color="auto"/>
              <w:right w:val="single" w:sz="4" w:space="0" w:color="auto"/>
            </w:tcBorders>
            <w:shd w:val="clear" w:color="auto" w:fill="auto"/>
            <w:vAlign w:val="center"/>
          </w:tcPr>
          <w:p w14:paraId="6ED94B8B"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1 196,8</w:t>
            </w:r>
          </w:p>
        </w:tc>
        <w:tc>
          <w:tcPr>
            <w:tcW w:w="1843" w:type="dxa"/>
            <w:tcBorders>
              <w:top w:val="nil"/>
              <w:left w:val="nil"/>
              <w:bottom w:val="single" w:sz="4" w:space="0" w:color="auto"/>
              <w:right w:val="single" w:sz="4" w:space="0" w:color="auto"/>
            </w:tcBorders>
            <w:shd w:val="clear" w:color="auto" w:fill="auto"/>
            <w:noWrap/>
            <w:vAlign w:val="center"/>
          </w:tcPr>
          <w:p w14:paraId="213400E5"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98,4</w:t>
            </w:r>
          </w:p>
        </w:tc>
      </w:tr>
      <w:tr w:rsidR="007F6E65" w:rsidRPr="007F6E65" w14:paraId="14B7CC99"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658DC"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BD335" w14:textId="240323DD" w:rsidR="00EC6EFC" w:rsidRPr="007F6E65" w:rsidRDefault="006B3DF7" w:rsidP="008E68AB">
            <w:pPr>
              <w:widowControl/>
              <w:ind w:firstLine="0"/>
              <w:jc w:val="left"/>
              <w:rPr>
                <w:color w:val="auto"/>
                <w:sz w:val="24"/>
                <w:szCs w:val="24"/>
                <w:lang w:eastAsia="ru-RU"/>
              </w:rPr>
            </w:pPr>
            <w:r>
              <w:rPr>
                <w:color w:val="auto"/>
                <w:sz w:val="24"/>
                <w:szCs w:val="24"/>
                <w:lang w:eastAsia="ru-RU"/>
              </w:rPr>
              <w:t>«</w:t>
            </w:r>
            <w:r w:rsidR="00EC6EFC" w:rsidRPr="007F6E65">
              <w:rPr>
                <w:color w:val="auto"/>
                <w:sz w:val="24"/>
                <w:szCs w:val="24"/>
                <w:lang w:eastAsia="ru-RU"/>
              </w:rPr>
              <w:t>Экономическое раз</w:t>
            </w:r>
            <w:r w:rsidR="005126AE" w:rsidRPr="007F6E65">
              <w:rPr>
                <w:color w:val="auto"/>
                <w:sz w:val="24"/>
                <w:szCs w:val="24"/>
                <w:lang w:eastAsia="ru-RU"/>
              </w:rPr>
              <w:t>витие и инновационная экономика</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23F4B"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1 230,3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72EC13"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1 223,3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767D9"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99,4</w:t>
            </w:r>
          </w:p>
        </w:tc>
      </w:tr>
      <w:tr w:rsidR="007F6E65" w:rsidRPr="007F6E65" w14:paraId="1C26C012"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0B81C"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13</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6A1402A8" w14:textId="34612DAE"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промышленности и торговли в Кабардино-Балкарской Республике</w:t>
            </w:r>
            <w:r>
              <w:rPr>
                <w:color w:val="auto"/>
                <w:sz w:val="24"/>
                <w:szCs w:val="24"/>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B6C3DF"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579,6</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84F783"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578,8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182A97"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99,9</w:t>
            </w:r>
          </w:p>
        </w:tc>
      </w:tr>
      <w:tr w:rsidR="007F6E65" w:rsidRPr="007F6E65" w14:paraId="680BDCA7"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A32485"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14</w:t>
            </w:r>
          </w:p>
        </w:tc>
        <w:tc>
          <w:tcPr>
            <w:tcW w:w="5103" w:type="dxa"/>
            <w:tcBorders>
              <w:top w:val="nil"/>
              <w:left w:val="nil"/>
              <w:bottom w:val="single" w:sz="4" w:space="0" w:color="auto"/>
              <w:right w:val="single" w:sz="4" w:space="0" w:color="auto"/>
            </w:tcBorders>
            <w:shd w:val="clear" w:color="auto" w:fill="auto"/>
            <w:vAlign w:val="center"/>
            <w:hideMark/>
          </w:tcPr>
          <w:p w14:paraId="2EBCBBB6" w14:textId="335365D8"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Информационное общество</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197A1434"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539,9</w:t>
            </w:r>
          </w:p>
        </w:tc>
        <w:tc>
          <w:tcPr>
            <w:tcW w:w="1417" w:type="dxa"/>
            <w:tcBorders>
              <w:top w:val="nil"/>
              <w:left w:val="nil"/>
              <w:bottom w:val="single" w:sz="4" w:space="0" w:color="auto"/>
              <w:right w:val="single" w:sz="4" w:space="0" w:color="auto"/>
            </w:tcBorders>
            <w:shd w:val="clear" w:color="auto" w:fill="auto"/>
            <w:vAlign w:val="center"/>
          </w:tcPr>
          <w:p w14:paraId="7B65D59F"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524,5</w:t>
            </w:r>
          </w:p>
        </w:tc>
        <w:tc>
          <w:tcPr>
            <w:tcW w:w="1843" w:type="dxa"/>
            <w:tcBorders>
              <w:top w:val="nil"/>
              <w:left w:val="nil"/>
              <w:bottom w:val="single" w:sz="4" w:space="0" w:color="auto"/>
              <w:right w:val="single" w:sz="4" w:space="0" w:color="auto"/>
            </w:tcBorders>
            <w:shd w:val="clear" w:color="auto" w:fill="auto"/>
            <w:noWrap/>
            <w:vAlign w:val="center"/>
          </w:tcPr>
          <w:p w14:paraId="0CC12096"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97,2</w:t>
            </w:r>
          </w:p>
        </w:tc>
      </w:tr>
      <w:tr w:rsidR="007F6E65" w:rsidRPr="007F6E65" w14:paraId="4A0ECF34"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1CDB6B"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15</w:t>
            </w:r>
          </w:p>
        </w:tc>
        <w:tc>
          <w:tcPr>
            <w:tcW w:w="5103" w:type="dxa"/>
            <w:tcBorders>
              <w:top w:val="nil"/>
              <w:left w:val="nil"/>
              <w:bottom w:val="single" w:sz="4" w:space="0" w:color="auto"/>
              <w:right w:val="single" w:sz="4" w:space="0" w:color="auto"/>
            </w:tcBorders>
            <w:shd w:val="clear" w:color="auto" w:fill="auto"/>
            <w:vAlign w:val="center"/>
            <w:hideMark/>
          </w:tcPr>
          <w:p w14:paraId="301A6F2A" w14:textId="51A92CCF"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транспортной системы в Кабардино-Балкарской Республике</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01276931"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7 255,0</w:t>
            </w:r>
          </w:p>
        </w:tc>
        <w:tc>
          <w:tcPr>
            <w:tcW w:w="1417" w:type="dxa"/>
            <w:tcBorders>
              <w:top w:val="nil"/>
              <w:left w:val="nil"/>
              <w:bottom w:val="single" w:sz="4" w:space="0" w:color="auto"/>
              <w:right w:val="single" w:sz="4" w:space="0" w:color="auto"/>
            </w:tcBorders>
            <w:shd w:val="clear" w:color="auto" w:fill="auto"/>
            <w:vAlign w:val="center"/>
          </w:tcPr>
          <w:p w14:paraId="5FFB227D"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6 548,0</w:t>
            </w:r>
          </w:p>
        </w:tc>
        <w:tc>
          <w:tcPr>
            <w:tcW w:w="1843" w:type="dxa"/>
            <w:tcBorders>
              <w:top w:val="nil"/>
              <w:left w:val="nil"/>
              <w:bottom w:val="single" w:sz="4" w:space="0" w:color="auto"/>
              <w:right w:val="single" w:sz="4" w:space="0" w:color="auto"/>
            </w:tcBorders>
            <w:shd w:val="clear" w:color="auto" w:fill="auto"/>
            <w:noWrap/>
            <w:vAlign w:val="center"/>
          </w:tcPr>
          <w:p w14:paraId="4066FD43"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90,3</w:t>
            </w:r>
          </w:p>
        </w:tc>
      </w:tr>
      <w:tr w:rsidR="007F6E65" w:rsidRPr="007F6E65" w14:paraId="2A1675A7"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2FCBE4"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16</w:t>
            </w:r>
          </w:p>
        </w:tc>
        <w:tc>
          <w:tcPr>
            <w:tcW w:w="5103" w:type="dxa"/>
            <w:tcBorders>
              <w:top w:val="nil"/>
              <w:left w:val="nil"/>
              <w:bottom w:val="single" w:sz="4" w:space="0" w:color="auto"/>
              <w:right w:val="single" w:sz="4" w:space="0" w:color="auto"/>
            </w:tcBorders>
            <w:shd w:val="clear" w:color="auto" w:fill="auto"/>
            <w:vAlign w:val="center"/>
            <w:hideMark/>
          </w:tcPr>
          <w:p w14:paraId="05ADC70B" w14:textId="3A88939B"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сельского хозяйства и регулирование рынков сельскохозяйственной продукции, сырья и продовольствия в Кабардино-Балкарской Республике</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76B9A2F8"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4 363,5</w:t>
            </w:r>
          </w:p>
        </w:tc>
        <w:tc>
          <w:tcPr>
            <w:tcW w:w="1417" w:type="dxa"/>
            <w:tcBorders>
              <w:top w:val="nil"/>
              <w:left w:val="nil"/>
              <w:bottom w:val="single" w:sz="4" w:space="0" w:color="auto"/>
              <w:right w:val="single" w:sz="4" w:space="0" w:color="auto"/>
            </w:tcBorders>
            <w:shd w:val="clear" w:color="auto" w:fill="auto"/>
            <w:vAlign w:val="center"/>
          </w:tcPr>
          <w:p w14:paraId="4AAE0A37"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4 355,0</w:t>
            </w:r>
          </w:p>
        </w:tc>
        <w:tc>
          <w:tcPr>
            <w:tcW w:w="1843" w:type="dxa"/>
            <w:tcBorders>
              <w:top w:val="nil"/>
              <w:left w:val="nil"/>
              <w:bottom w:val="single" w:sz="4" w:space="0" w:color="auto"/>
              <w:right w:val="single" w:sz="4" w:space="0" w:color="auto"/>
            </w:tcBorders>
            <w:shd w:val="clear" w:color="auto" w:fill="auto"/>
            <w:noWrap/>
            <w:vAlign w:val="center"/>
          </w:tcPr>
          <w:p w14:paraId="11CABF38"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99,8</w:t>
            </w:r>
          </w:p>
        </w:tc>
      </w:tr>
      <w:tr w:rsidR="007F6E65" w:rsidRPr="007F6E65" w14:paraId="749845FC"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AC44E3"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17</w:t>
            </w:r>
          </w:p>
        </w:tc>
        <w:tc>
          <w:tcPr>
            <w:tcW w:w="5103" w:type="dxa"/>
            <w:tcBorders>
              <w:top w:val="nil"/>
              <w:left w:val="nil"/>
              <w:bottom w:val="single" w:sz="4" w:space="0" w:color="auto"/>
              <w:right w:val="single" w:sz="4" w:space="0" w:color="auto"/>
            </w:tcBorders>
            <w:shd w:val="clear" w:color="auto" w:fill="auto"/>
            <w:vAlign w:val="center"/>
            <w:hideMark/>
          </w:tcPr>
          <w:p w14:paraId="7DDB7B4C" w14:textId="4E20EEEB"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лесного хозяйства в Кабардино-Балкарской Республике</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681613B5"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194,2</w:t>
            </w:r>
          </w:p>
        </w:tc>
        <w:tc>
          <w:tcPr>
            <w:tcW w:w="1417" w:type="dxa"/>
            <w:tcBorders>
              <w:top w:val="nil"/>
              <w:left w:val="nil"/>
              <w:bottom w:val="single" w:sz="4" w:space="0" w:color="auto"/>
              <w:right w:val="single" w:sz="4" w:space="0" w:color="auto"/>
            </w:tcBorders>
            <w:shd w:val="clear" w:color="auto" w:fill="auto"/>
            <w:vAlign w:val="center"/>
          </w:tcPr>
          <w:p w14:paraId="31FF05C2"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194,0</w:t>
            </w:r>
          </w:p>
        </w:tc>
        <w:tc>
          <w:tcPr>
            <w:tcW w:w="1843" w:type="dxa"/>
            <w:tcBorders>
              <w:top w:val="nil"/>
              <w:left w:val="nil"/>
              <w:bottom w:val="single" w:sz="4" w:space="0" w:color="auto"/>
              <w:right w:val="single" w:sz="4" w:space="0" w:color="auto"/>
            </w:tcBorders>
            <w:shd w:val="clear" w:color="auto" w:fill="auto"/>
            <w:noWrap/>
            <w:vAlign w:val="center"/>
          </w:tcPr>
          <w:p w14:paraId="1F8CB8BF"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99,9</w:t>
            </w:r>
          </w:p>
        </w:tc>
      </w:tr>
      <w:tr w:rsidR="007F6E65" w:rsidRPr="007F6E65" w14:paraId="7A3853AB"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C1C325"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18</w:t>
            </w:r>
          </w:p>
        </w:tc>
        <w:tc>
          <w:tcPr>
            <w:tcW w:w="5103" w:type="dxa"/>
            <w:tcBorders>
              <w:top w:val="nil"/>
              <w:left w:val="nil"/>
              <w:bottom w:val="single" w:sz="4" w:space="0" w:color="auto"/>
              <w:right w:val="single" w:sz="4" w:space="0" w:color="auto"/>
            </w:tcBorders>
            <w:shd w:val="clear" w:color="auto" w:fill="auto"/>
            <w:vAlign w:val="center"/>
            <w:hideMark/>
          </w:tcPr>
          <w:p w14:paraId="746819CF" w14:textId="665DDF10" w:rsidR="00EC6EFC" w:rsidRPr="007F6E65" w:rsidRDefault="006B3DF7" w:rsidP="008E68AB">
            <w:pPr>
              <w:widowControl/>
              <w:ind w:firstLine="0"/>
              <w:rPr>
                <w:color w:val="auto"/>
                <w:sz w:val="24"/>
                <w:szCs w:val="24"/>
                <w:lang w:eastAsia="ru-RU"/>
              </w:rPr>
            </w:pPr>
            <w:r>
              <w:rPr>
                <w:color w:val="auto"/>
                <w:sz w:val="24"/>
                <w:szCs w:val="24"/>
                <w:lang w:eastAsia="ru-RU"/>
              </w:rPr>
              <w:t>«</w:t>
            </w:r>
            <w:proofErr w:type="spellStart"/>
            <w:r w:rsidR="00EC6EFC" w:rsidRPr="007F6E65">
              <w:rPr>
                <w:color w:val="auto"/>
                <w:sz w:val="24"/>
                <w:szCs w:val="24"/>
                <w:lang w:eastAsia="ru-RU"/>
              </w:rPr>
              <w:t>Энергоэффективность</w:t>
            </w:r>
            <w:proofErr w:type="spellEnd"/>
            <w:r w:rsidR="00EC6EFC" w:rsidRPr="007F6E65">
              <w:rPr>
                <w:color w:val="auto"/>
                <w:sz w:val="24"/>
                <w:szCs w:val="24"/>
                <w:lang w:eastAsia="ru-RU"/>
              </w:rPr>
              <w:t xml:space="preserve"> и развитие энергетики в Кабардино-Балкарской Республике</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58B32351"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74,3</w:t>
            </w:r>
          </w:p>
        </w:tc>
        <w:tc>
          <w:tcPr>
            <w:tcW w:w="1417" w:type="dxa"/>
            <w:tcBorders>
              <w:top w:val="nil"/>
              <w:left w:val="nil"/>
              <w:bottom w:val="single" w:sz="4" w:space="0" w:color="auto"/>
              <w:right w:val="single" w:sz="4" w:space="0" w:color="auto"/>
            </w:tcBorders>
            <w:shd w:val="clear" w:color="auto" w:fill="auto"/>
            <w:vAlign w:val="center"/>
          </w:tcPr>
          <w:p w14:paraId="6B5EC3D9"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74,3</w:t>
            </w:r>
          </w:p>
        </w:tc>
        <w:tc>
          <w:tcPr>
            <w:tcW w:w="1843" w:type="dxa"/>
            <w:tcBorders>
              <w:top w:val="nil"/>
              <w:left w:val="nil"/>
              <w:bottom w:val="single" w:sz="4" w:space="0" w:color="auto"/>
              <w:right w:val="single" w:sz="4" w:space="0" w:color="auto"/>
            </w:tcBorders>
            <w:shd w:val="clear" w:color="auto" w:fill="auto"/>
            <w:noWrap/>
            <w:vAlign w:val="center"/>
          </w:tcPr>
          <w:p w14:paraId="2D8C4B7A" w14:textId="77777777" w:rsidR="00EC6EFC" w:rsidRPr="007F6E65" w:rsidRDefault="00DC5476" w:rsidP="008E68AB">
            <w:pPr>
              <w:widowControl/>
              <w:ind w:firstLine="0"/>
              <w:jc w:val="center"/>
              <w:rPr>
                <w:color w:val="auto"/>
                <w:sz w:val="24"/>
                <w:szCs w:val="24"/>
                <w:lang w:eastAsia="ru-RU"/>
              </w:rPr>
            </w:pPr>
            <w:r w:rsidRPr="007F6E65">
              <w:rPr>
                <w:color w:val="auto"/>
                <w:sz w:val="24"/>
                <w:szCs w:val="24"/>
                <w:lang w:eastAsia="ru-RU"/>
              </w:rPr>
              <w:t>100,0</w:t>
            </w:r>
          </w:p>
        </w:tc>
      </w:tr>
      <w:tr w:rsidR="007F6E65" w:rsidRPr="007F6E65" w14:paraId="1340480F"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EECAD8"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19</w:t>
            </w:r>
          </w:p>
        </w:tc>
        <w:tc>
          <w:tcPr>
            <w:tcW w:w="5103" w:type="dxa"/>
            <w:tcBorders>
              <w:top w:val="nil"/>
              <w:left w:val="nil"/>
              <w:bottom w:val="single" w:sz="4" w:space="0" w:color="auto"/>
              <w:right w:val="single" w:sz="4" w:space="0" w:color="auto"/>
            </w:tcBorders>
            <w:shd w:val="clear" w:color="auto" w:fill="auto"/>
            <w:vAlign w:val="center"/>
            <w:hideMark/>
          </w:tcPr>
          <w:p w14:paraId="2CE8A6E6" w14:textId="1D5E44FE"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Управление государственным имуществом Кабардино-Балкарской Республики</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745784A4" w14:textId="77777777" w:rsidR="00EC6EFC" w:rsidRPr="007F6E65" w:rsidRDefault="00DC5476" w:rsidP="008E68AB">
            <w:pPr>
              <w:widowControl/>
              <w:ind w:firstLine="0"/>
              <w:jc w:val="center"/>
              <w:rPr>
                <w:color w:val="auto"/>
                <w:sz w:val="22"/>
                <w:szCs w:val="22"/>
                <w:lang w:eastAsia="ru-RU"/>
              </w:rPr>
            </w:pPr>
            <w:r w:rsidRPr="007F6E65">
              <w:rPr>
                <w:color w:val="auto"/>
                <w:sz w:val="22"/>
                <w:szCs w:val="22"/>
                <w:lang w:eastAsia="ru-RU"/>
              </w:rPr>
              <w:t>126,2</w:t>
            </w:r>
          </w:p>
        </w:tc>
        <w:tc>
          <w:tcPr>
            <w:tcW w:w="1417" w:type="dxa"/>
            <w:tcBorders>
              <w:top w:val="nil"/>
              <w:left w:val="nil"/>
              <w:bottom w:val="single" w:sz="4" w:space="0" w:color="auto"/>
              <w:right w:val="single" w:sz="4" w:space="0" w:color="auto"/>
            </w:tcBorders>
            <w:shd w:val="clear" w:color="auto" w:fill="auto"/>
            <w:vAlign w:val="center"/>
          </w:tcPr>
          <w:p w14:paraId="5C888588"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124,5</w:t>
            </w:r>
          </w:p>
        </w:tc>
        <w:tc>
          <w:tcPr>
            <w:tcW w:w="1843" w:type="dxa"/>
            <w:tcBorders>
              <w:top w:val="nil"/>
              <w:left w:val="nil"/>
              <w:bottom w:val="single" w:sz="4" w:space="0" w:color="auto"/>
              <w:right w:val="single" w:sz="4" w:space="0" w:color="auto"/>
            </w:tcBorders>
            <w:shd w:val="clear" w:color="auto" w:fill="auto"/>
            <w:noWrap/>
            <w:vAlign w:val="center"/>
          </w:tcPr>
          <w:p w14:paraId="7C779948" w14:textId="77777777" w:rsidR="00EC6EFC" w:rsidRPr="007F6E65" w:rsidRDefault="007F6E65" w:rsidP="008E68AB">
            <w:pPr>
              <w:widowControl/>
              <w:ind w:firstLine="0"/>
              <w:jc w:val="center"/>
              <w:rPr>
                <w:color w:val="auto"/>
                <w:sz w:val="24"/>
                <w:szCs w:val="24"/>
                <w:lang w:eastAsia="ru-RU"/>
              </w:rPr>
            </w:pPr>
            <w:r w:rsidRPr="007F6E65">
              <w:rPr>
                <w:color w:val="auto"/>
                <w:sz w:val="24"/>
                <w:szCs w:val="24"/>
                <w:lang w:eastAsia="ru-RU"/>
              </w:rPr>
              <w:t>98,6</w:t>
            </w:r>
          </w:p>
        </w:tc>
      </w:tr>
      <w:tr w:rsidR="007F6E65" w:rsidRPr="007F6E65" w14:paraId="1D741216" w14:textId="77777777" w:rsidTr="00DC547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192651"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20</w:t>
            </w:r>
          </w:p>
        </w:tc>
        <w:tc>
          <w:tcPr>
            <w:tcW w:w="5103" w:type="dxa"/>
            <w:tcBorders>
              <w:top w:val="nil"/>
              <w:left w:val="nil"/>
              <w:bottom w:val="single" w:sz="4" w:space="0" w:color="auto"/>
              <w:right w:val="single" w:sz="4" w:space="0" w:color="auto"/>
            </w:tcBorders>
            <w:shd w:val="clear" w:color="auto" w:fill="auto"/>
            <w:vAlign w:val="center"/>
            <w:hideMark/>
          </w:tcPr>
          <w:p w14:paraId="73DFB41C" w14:textId="7A192457"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Управление государственными финансами, государственным долгом и межбюджетными отношениями в Кабардино-Балкарской Республике</w:t>
            </w:r>
            <w:r>
              <w:rPr>
                <w:color w:val="auto"/>
                <w:sz w:val="24"/>
                <w:szCs w:val="24"/>
                <w:lang w:eastAsia="ru-RU"/>
              </w:rPr>
              <w:t>»</w:t>
            </w:r>
          </w:p>
        </w:tc>
        <w:tc>
          <w:tcPr>
            <w:tcW w:w="1418" w:type="dxa"/>
            <w:tcBorders>
              <w:top w:val="nil"/>
              <w:left w:val="nil"/>
              <w:bottom w:val="single" w:sz="4" w:space="0" w:color="auto"/>
              <w:right w:val="single" w:sz="4" w:space="0" w:color="auto"/>
            </w:tcBorders>
            <w:shd w:val="clear" w:color="auto" w:fill="auto"/>
            <w:vAlign w:val="center"/>
          </w:tcPr>
          <w:p w14:paraId="680D8956"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960,9</w:t>
            </w:r>
          </w:p>
        </w:tc>
        <w:tc>
          <w:tcPr>
            <w:tcW w:w="1417" w:type="dxa"/>
            <w:tcBorders>
              <w:top w:val="nil"/>
              <w:left w:val="nil"/>
              <w:bottom w:val="single" w:sz="4" w:space="0" w:color="auto"/>
              <w:right w:val="single" w:sz="4" w:space="0" w:color="auto"/>
            </w:tcBorders>
            <w:shd w:val="clear" w:color="auto" w:fill="auto"/>
            <w:vAlign w:val="center"/>
          </w:tcPr>
          <w:p w14:paraId="6A5A891F"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954,5</w:t>
            </w:r>
          </w:p>
        </w:tc>
        <w:tc>
          <w:tcPr>
            <w:tcW w:w="1843" w:type="dxa"/>
            <w:tcBorders>
              <w:top w:val="nil"/>
              <w:left w:val="nil"/>
              <w:bottom w:val="single" w:sz="4" w:space="0" w:color="auto"/>
              <w:right w:val="single" w:sz="4" w:space="0" w:color="auto"/>
            </w:tcBorders>
            <w:shd w:val="clear" w:color="auto" w:fill="auto"/>
            <w:noWrap/>
            <w:vAlign w:val="center"/>
          </w:tcPr>
          <w:p w14:paraId="2E4B6525" w14:textId="77777777" w:rsidR="00EC6EFC" w:rsidRPr="007F6E65" w:rsidRDefault="007F6E65" w:rsidP="008E68AB">
            <w:pPr>
              <w:widowControl/>
              <w:ind w:firstLine="0"/>
              <w:jc w:val="center"/>
              <w:rPr>
                <w:color w:val="auto"/>
                <w:sz w:val="24"/>
                <w:szCs w:val="24"/>
                <w:lang w:eastAsia="ru-RU"/>
              </w:rPr>
            </w:pPr>
            <w:r w:rsidRPr="007F6E65">
              <w:rPr>
                <w:color w:val="auto"/>
                <w:sz w:val="24"/>
                <w:szCs w:val="24"/>
                <w:lang w:eastAsia="ru-RU"/>
              </w:rPr>
              <w:t>99,3</w:t>
            </w:r>
          </w:p>
        </w:tc>
      </w:tr>
      <w:tr w:rsidR="007F6E65" w:rsidRPr="007F6E65" w14:paraId="6521ACA0"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6A113" w14:textId="77777777" w:rsidR="007F6E65" w:rsidRPr="007F6E65" w:rsidRDefault="007F6E65" w:rsidP="008E68AB">
            <w:pPr>
              <w:widowControl/>
              <w:ind w:firstLine="0"/>
              <w:jc w:val="center"/>
              <w:rPr>
                <w:color w:val="auto"/>
                <w:sz w:val="24"/>
                <w:szCs w:val="24"/>
                <w:lang w:eastAsia="ru-RU"/>
              </w:rPr>
            </w:pPr>
            <w:r>
              <w:rPr>
                <w:color w:val="auto"/>
                <w:sz w:val="24"/>
                <w:szCs w:val="24"/>
                <w:lang w:eastAsia="ru-RU"/>
              </w:rPr>
              <w:t>21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2BE0988" w14:textId="0088FC76" w:rsidR="007F6E65" w:rsidRPr="007F6E65" w:rsidRDefault="006B3DF7" w:rsidP="008E68AB">
            <w:pPr>
              <w:widowControl/>
              <w:ind w:firstLine="0"/>
              <w:rPr>
                <w:color w:val="auto"/>
                <w:sz w:val="24"/>
                <w:szCs w:val="24"/>
                <w:lang w:eastAsia="ru-RU"/>
              </w:rPr>
            </w:pPr>
            <w:r>
              <w:rPr>
                <w:color w:val="auto"/>
                <w:sz w:val="24"/>
                <w:szCs w:val="24"/>
                <w:lang w:eastAsia="ru-RU"/>
              </w:rPr>
              <w:t>«</w:t>
            </w:r>
            <w:r w:rsidR="007F6E65" w:rsidRPr="007F6E65">
              <w:rPr>
                <w:color w:val="auto"/>
                <w:sz w:val="24"/>
                <w:szCs w:val="24"/>
                <w:lang w:eastAsia="ru-RU"/>
              </w:rPr>
              <w:t>Реализация государственной национальной политики и общественных проектов в Кабардино-Балкарской Республике</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805FA7" w14:textId="77777777" w:rsidR="007F6E65" w:rsidRPr="007F6E65" w:rsidRDefault="007F6E65" w:rsidP="008E68AB">
            <w:pPr>
              <w:widowControl/>
              <w:ind w:firstLine="0"/>
              <w:jc w:val="center"/>
              <w:rPr>
                <w:color w:val="auto"/>
                <w:sz w:val="22"/>
                <w:szCs w:val="22"/>
                <w:lang w:eastAsia="ru-RU"/>
              </w:rPr>
            </w:pPr>
            <w:r>
              <w:rPr>
                <w:color w:val="auto"/>
                <w:sz w:val="22"/>
                <w:szCs w:val="22"/>
                <w:lang w:eastAsia="ru-RU"/>
              </w:rPr>
              <w:t>75,6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25AD1" w14:textId="77777777" w:rsidR="007F6E65" w:rsidRPr="007F6E65" w:rsidRDefault="007F6E65" w:rsidP="008E68AB">
            <w:pPr>
              <w:widowControl/>
              <w:ind w:firstLine="0"/>
              <w:jc w:val="center"/>
              <w:rPr>
                <w:color w:val="auto"/>
                <w:sz w:val="22"/>
                <w:szCs w:val="22"/>
                <w:lang w:eastAsia="ru-RU"/>
              </w:rPr>
            </w:pPr>
            <w:r>
              <w:rPr>
                <w:color w:val="auto"/>
                <w:sz w:val="22"/>
                <w:szCs w:val="22"/>
                <w:lang w:eastAsia="ru-RU"/>
              </w:rPr>
              <w:t>75,1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2D2E6" w14:textId="77777777" w:rsidR="007F6E65" w:rsidRPr="007F6E65" w:rsidRDefault="007F6E65" w:rsidP="008E68AB">
            <w:pPr>
              <w:widowControl/>
              <w:ind w:firstLine="0"/>
              <w:jc w:val="center"/>
              <w:rPr>
                <w:color w:val="auto"/>
                <w:sz w:val="24"/>
                <w:szCs w:val="24"/>
                <w:lang w:eastAsia="ru-RU"/>
              </w:rPr>
            </w:pPr>
            <w:r>
              <w:rPr>
                <w:color w:val="auto"/>
                <w:sz w:val="24"/>
                <w:szCs w:val="24"/>
                <w:lang w:eastAsia="ru-RU"/>
              </w:rPr>
              <w:t>99,3</w:t>
            </w:r>
          </w:p>
        </w:tc>
      </w:tr>
      <w:tr w:rsidR="007F6E65" w:rsidRPr="007F6E65" w14:paraId="6EE12B8A"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865B1"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22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222E7" w14:textId="6EFFD839"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Комплексное развитие сельских территорий Кабардино-Балкарской Республики</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51A51A"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606,7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379E3A"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606,7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DF15D" w14:textId="77777777" w:rsidR="00EC6EFC" w:rsidRPr="007F6E65" w:rsidRDefault="007F6E65" w:rsidP="008E68AB">
            <w:pPr>
              <w:widowControl/>
              <w:ind w:firstLine="0"/>
              <w:jc w:val="center"/>
              <w:rPr>
                <w:color w:val="auto"/>
                <w:sz w:val="24"/>
                <w:szCs w:val="24"/>
                <w:lang w:eastAsia="ru-RU"/>
              </w:rPr>
            </w:pPr>
            <w:r w:rsidRPr="007F6E65">
              <w:rPr>
                <w:color w:val="auto"/>
                <w:sz w:val="24"/>
                <w:szCs w:val="24"/>
                <w:lang w:eastAsia="ru-RU"/>
              </w:rPr>
              <w:t>100,0</w:t>
            </w:r>
          </w:p>
        </w:tc>
      </w:tr>
      <w:tr w:rsidR="007F6E65" w:rsidRPr="007F6E65" w14:paraId="169D2B58"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03429"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23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DF05F" w14:textId="4A66A880"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туристско-рекреационного комплекса Кабардино-Балкарской Республики</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B406F"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210,5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53A695"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210,0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A8E2D" w14:textId="77777777" w:rsidR="00EC6EFC" w:rsidRPr="007F6E65" w:rsidRDefault="007F6E65" w:rsidP="008E68AB">
            <w:pPr>
              <w:widowControl/>
              <w:ind w:firstLine="0"/>
              <w:jc w:val="center"/>
              <w:rPr>
                <w:color w:val="auto"/>
                <w:sz w:val="24"/>
                <w:szCs w:val="24"/>
                <w:lang w:eastAsia="ru-RU"/>
              </w:rPr>
            </w:pPr>
            <w:r w:rsidRPr="007F6E65">
              <w:rPr>
                <w:color w:val="auto"/>
                <w:sz w:val="24"/>
                <w:szCs w:val="24"/>
                <w:lang w:eastAsia="ru-RU"/>
              </w:rPr>
              <w:t>99,8</w:t>
            </w:r>
          </w:p>
        </w:tc>
      </w:tr>
      <w:tr w:rsidR="007F6E65" w:rsidRPr="007F6E65" w14:paraId="108F0511"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47E07"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388B8" w14:textId="7113C55A"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Развитие молодежной политики в Кабардино-Балкарской Республике</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90BAD5"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305,1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5C5BDD"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304,9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D0900" w14:textId="77777777" w:rsidR="00EC6EFC" w:rsidRPr="007F6E65" w:rsidRDefault="007F6E65" w:rsidP="008E68AB">
            <w:pPr>
              <w:widowControl/>
              <w:ind w:firstLine="0"/>
              <w:jc w:val="center"/>
              <w:rPr>
                <w:color w:val="auto"/>
                <w:sz w:val="24"/>
                <w:szCs w:val="24"/>
                <w:lang w:eastAsia="ru-RU"/>
              </w:rPr>
            </w:pPr>
            <w:r w:rsidRPr="007F6E65">
              <w:rPr>
                <w:color w:val="auto"/>
                <w:sz w:val="24"/>
                <w:szCs w:val="24"/>
                <w:lang w:eastAsia="ru-RU"/>
              </w:rPr>
              <w:t>100,0</w:t>
            </w:r>
          </w:p>
        </w:tc>
      </w:tr>
      <w:tr w:rsidR="007F6E65" w:rsidRPr="007F6E65" w14:paraId="08AC861D"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21C44"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25</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6C3344C" w14:textId="5E767451"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Формирование современной городской среды</w:t>
            </w:r>
            <w:r>
              <w:rPr>
                <w:color w:val="auto"/>
                <w:sz w:val="24"/>
                <w:szCs w:val="24"/>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BA080D"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347,5</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D3964A"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347,5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397E3C" w14:textId="77777777" w:rsidR="00EC6EFC" w:rsidRPr="007F6E65" w:rsidRDefault="007F6E65" w:rsidP="008E68AB">
            <w:pPr>
              <w:widowControl/>
              <w:ind w:firstLine="0"/>
              <w:jc w:val="center"/>
              <w:rPr>
                <w:color w:val="auto"/>
                <w:sz w:val="24"/>
                <w:szCs w:val="24"/>
                <w:lang w:eastAsia="ru-RU"/>
              </w:rPr>
            </w:pPr>
            <w:r w:rsidRPr="007F6E65">
              <w:rPr>
                <w:color w:val="auto"/>
                <w:sz w:val="24"/>
                <w:szCs w:val="24"/>
                <w:lang w:eastAsia="ru-RU"/>
              </w:rPr>
              <w:t>100,0</w:t>
            </w:r>
          </w:p>
        </w:tc>
      </w:tr>
      <w:tr w:rsidR="007F6E65" w:rsidRPr="007F6E65" w14:paraId="16FE2CAB" w14:textId="77777777" w:rsidTr="00DC547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B07E"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26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C730" w14:textId="5872C895" w:rsidR="00EC6EFC" w:rsidRPr="007F6E65" w:rsidRDefault="006B3DF7" w:rsidP="008E68AB">
            <w:pPr>
              <w:widowControl/>
              <w:ind w:firstLine="0"/>
              <w:rPr>
                <w:color w:val="auto"/>
                <w:sz w:val="24"/>
                <w:szCs w:val="24"/>
                <w:lang w:eastAsia="ru-RU"/>
              </w:rPr>
            </w:pPr>
            <w:r>
              <w:rPr>
                <w:color w:val="auto"/>
                <w:sz w:val="24"/>
                <w:szCs w:val="24"/>
                <w:lang w:eastAsia="ru-RU"/>
              </w:rPr>
              <w:t>«</w:t>
            </w:r>
            <w:r w:rsidR="00EC6EFC" w:rsidRPr="007F6E65">
              <w:rPr>
                <w:color w:val="auto"/>
                <w:sz w:val="24"/>
                <w:szCs w:val="24"/>
                <w:lang w:eastAsia="ru-RU"/>
              </w:rPr>
              <w:t>Профилактика терроризма и экстремизма в Кабардино-Балкарской Республике</w:t>
            </w:r>
            <w:r>
              <w:rPr>
                <w:color w:val="auto"/>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72481D"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456BE8" w14:textId="77777777" w:rsidR="00EC6EFC" w:rsidRPr="007F6E65" w:rsidRDefault="007F6E65" w:rsidP="008E68AB">
            <w:pPr>
              <w:widowControl/>
              <w:ind w:firstLine="0"/>
              <w:jc w:val="center"/>
              <w:rPr>
                <w:color w:val="auto"/>
                <w:sz w:val="22"/>
                <w:szCs w:val="22"/>
                <w:lang w:eastAsia="ru-RU"/>
              </w:rPr>
            </w:pPr>
            <w:r w:rsidRPr="007F6E65">
              <w:rPr>
                <w:color w:val="auto"/>
                <w:sz w:val="22"/>
                <w:szCs w:val="22"/>
                <w:lang w:eastAsia="ru-RU"/>
              </w:rPr>
              <w:t>9,2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98848" w14:textId="77777777" w:rsidR="00EC6EFC" w:rsidRPr="007F6E65" w:rsidRDefault="007F6E65" w:rsidP="008E68AB">
            <w:pPr>
              <w:widowControl/>
              <w:ind w:firstLine="0"/>
              <w:jc w:val="center"/>
              <w:rPr>
                <w:color w:val="auto"/>
                <w:sz w:val="24"/>
                <w:szCs w:val="24"/>
                <w:lang w:eastAsia="ru-RU"/>
              </w:rPr>
            </w:pPr>
            <w:r w:rsidRPr="007F6E65">
              <w:rPr>
                <w:color w:val="auto"/>
                <w:sz w:val="24"/>
                <w:szCs w:val="24"/>
                <w:lang w:eastAsia="ru-RU"/>
              </w:rPr>
              <w:t>100,0</w:t>
            </w:r>
          </w:p>
        </w:tc>
      </w:tr>
      <w:tr w:rsidR="007F6E65" w:rsidRPr="007F6E65" w14:paraId="6333A77D" w14:textId="77777777" w:rsidTr="003B7752">
        <w:trPr>
          <w:trHeight w:val="47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44EEC"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4936B" w14:textId="77777777" w:rsidR="00EC6EFC" w:rsidRPr="007F6E65" w:rsidRDefault="00EC6EFC" w:rsidP="008E68AB">
            <w:pPr>
              <w:widowControl/>
              <w:ind w:firstLine="0"/>
              <w:rPr>
                <w:b/>
                <w:bCs/>
                <w:color w:val="auto"/>
                <w:sz w:val="24"/>
                <w:szCs w:val="24"/>
                <w:lang w:eastAsia="ru-RU"/>
              </w:rPr>
            </w:pPr>
            <w:r w:rsidRPr="007F6E65">
              <w:rPr>
                <w:b/>
                <w:bCs/>
                <w:color w:val="auto"/>
                <w:sz w:val="24"/>
                <w:szCs w:val="24"/>
                <w:lang w:eastAsia="ru-RU"/>
              </w:rPr>
              <w:t>Непрограммные расходы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A847FD" w14:textId="77777777" w:rsidR="00EC6EFC" w:rsidRPr="007F6E65" w:rsidRDefault="007F6E65" w:rsidP="008E68AB">
            <w:pPr>
              <w:widowControl/>
              <w:ind w:firstLine="0"/>
              <w:jc w:val="center"/>
              <w:rPr>
                <w:b/>
                <w:bCs/>
                <w:color w:val="auto"/>
                <w:sz w:val="22"/>
                <w:szCs w:val="22"/>
                <w:lang w:eastAsia="ru-RU"/>
              </w:rPr>
            </w:pPr>
            <w:r w:rsidRPr="007F6E65">
              <w:rPr>
                <w:b/>
                <w:bCs/>
                <w:color w:val="auto"/>
                <w:sz w:val="22"/>
                <w:szCs w:val="22"/>
                <w:lang w:eastAsia="ru-RU"/>
              </w:rPr>
              <w:t>2 499,7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7FC3" w14:textId="77777777" w:rsidR="00EC6EFC" w:rsidRPr="007F6E65" w:rsidRDefault="007F6E65" w:rsidP="008E68AB">
            <w:pPr>
              <w:widowControl/>
              <w:ind w:firstLine="0"/>
              <w:jc w:val="center"/>
              <w:rPr>
                <w:b/>
                <w:bCs/>
                <w:color w:val="auto"/>
                <w:sz w:val="22"/>
                <w:szCs w:val="22"/>
                <w:lang w:eastAsia="ru-RU"/>
              </w:rPr>
            </w:pPr>
            <w:r w:rsidRPr="007F6E65">
              <w:rPr>
                <w:b/>
                <w:bCs/>
                <w:color w:val="auto"/>
                <w:sz w:val="22"/>
                <w:szCs w:val="22"/>
                <w:lang w:eastAsia="ru-RU"/>
              </w:rPr>
              <w:t>2 387,3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84749" w14:textId="77777777" w:rsidR="00EC6EFC" w:rsidRPr="007F6E65" w:rsidRDefault="007F6E65" w:rsidP="008E68AB">
            <w:pPr>
              <w:widowControl/>
              <w:ind w:firstLine="0"/>
              <w:jc w:val="center"/>
              <w:rPr>
                <w:b/>
                <w:bCs/>
                <w:color w:val="auto"/>
                <w:sz w:val="24"/>
                <w:szCs w:val="24"/>
                <w:lang w:eastAsia="ru-RU"/>
              </w:rPr>
            </w:pPr>
            <w:r w:rsidRPr="007F6E65">
              <w:rPr>
                <w:b/>
                <w:bCs/>
                <w:color w:val="auto"/>
                <w:sz w:val="24"/>
                <w:szCs w:val="24"/>
                <w:lang w:eastAsia="ru-RU"/>
              </w:rPr>
              <w:t>95,5</w:t>
            </w:r>
          </w:p>
        </w:tc>
      </w:tr>
      <w:tr w:rsidR="007F6E65" w:rsidRPr="007F6E65" w14:paraId="50074684" w14:textId="77777777" w:rsidTr="003B7752">
        <w:trPr>
          <w:trHeight w:val="55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D5CDF" w14:textId="77777777" w:rsidR="00EC6EFC" w:rsidRPr="007F6E65" w:rsidRDefault="00EC6EFC" w:rsidP="008E68AB">
            <w:pPr>
              <w:widowControl/>
              <w:ind w:firstLine="0"/>
              <w:jc w:val="center"/>
              <w:rPr>
                <w:color w:val="auto"/>
                <w:sz w:val="24"/>
                <w:szCs w:val="24"/>
                <w:lang w:eastAsia="ru-RU"/>
              </w:rPr>
            </w:pPr>
            <w:r w:rsidRPr="007F6E65">
              <w:rPr>
                <w:color w:val="auto"/>
                <w:sz w:val="24"/>
                <w:szCs w:val="24"/>
                <w:lang w:eastAsia="ru-RU"/>
              </w:rPr>
              <w:t>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0B785" w14:textId="77777777" w:rsidR="00EC6EFC" w:rsidRPr="007F6E65" w:rsidRDefault="00EC6EFC" w:rsidP="008E68AB">
            <w:pPr>
              <w:widowControl/>
              <w:ind w:firstLine="0"/>
              <w:rPr>
                <w:b/>
                <w:bCs/>
                <w:color w:val="auto"/>
                <w:sz w:val="24"/>
                <w:szCs w:val="24"/>
                <w:lang w:eastAsia="ru-RU"/>
              </w:rPr>
            </w:pPr>
            <w:r w:rsidRPr="007F6E65">
              <w:rPr>
                <w:b/>
                <w:bCs/>
                <w:color w:val="auto"/>
                <w:sz w:val="24"/>
                <w:szCs w:val="24"/>
                <w:lang w:eastAsia="ru-RU"/>
              </w:rPr>
              <w:t>Всего по республиканскому бюджету КБР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1D415C" w14:textId="7D79883E" w:rsidR="00EC6EFC" w:rsidRPr="007F6E65" w:rsidRDefault="007F6E65" w:rsidP="008E68AB">
            <w:pPr>
              <w:widowControl/>
              <w:ind w:firstLine="0"/>
              <w:jc w:val="center"/>
              <w:rPr>
                <w:b/>
                <w:bCs/>
                <w:color w:val="auto"/>
                <w:sz w:val="22"/>
                <w:szCs w:val="22"/>
                <w:lang w:eastAsia="ru-RU"/>
              </w:rPr>
            </w:pPr>
            <w:r w:rsidRPr="007F6E65">
              <w:rPr>
                <w:b/>
                <w:bCs/>
                <w:color w:val="auto"/>
                <w:sz w:val="22"/>
                <w:szCs w:val="22"/>
                <w:lang w:eastAsia="ru-RU"/>
              </w:rPr>
              <w:t>71</w:t>
            </w:r>
            <w:r w:rsidR="003B7752">
              <w:rPr>
                <w:b/>
                <w:bCs/>
                <w:color w:val="auto"/>
                <w:sz w:val="22"/>
                <w:szCs w:val="22"/>
                <w:lang w:eastAsia="ru-RU"/>
              </w:rPr>
              <w:t xml:space="preserve"> </w:t>
            </w:r>
            <w:r w:rsidRPr="007F6E65">
              <w:rPr>
                <w:b/>
                <w:bCs/>
                <w:color w:val="auto"/>
                <w:sz w:val="22"/>
                <w:szCs w:val="22"/>
                <w:lang w:eastAsia="ru-RU"/>
              </w:rPr>
              <w:t>363,5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612A4F" w14:textId="77777777" w:rsidR="00EC6EFC" w:rsidRPr="007F6E65" w:rsidRDefault="007F6E65" w:rsidP="008E68AB">
            <w:pPr>
              <w:widowControl/>
              <w:ind w:firstLine="0"/>
              <w:jc w:val="center"/>
              <w:rPr>
                <w:b/>
                <w:bCs/>
                <w:color w:val="auto"/>
                <w:sz w:val="22"/>
                <w:szCs w:val="22"/>
                <w:lang w:eastAsia="ru-RU"/>
              </w:rPr>
            </w:pPr>
            <w:r w:rsidRPr="007F6E65">
              <w:rPr>
                <w:b/>
                <w:bCs/>
                <w:color w:val="auto"/>
                <w:sz w:val="22"/>
                <w:szCs w:val="22"/>
                <w:lang w:eastAsia="ru-RU"/>
              </w:rPr>
              <w:t>69 126,0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0E1E7" w14:textId="77777777" w:rsidR="00EC6EFC" w:rsidRPr="007F6E65" w:rsidRDefault="007F6E65" w:rsidP="008E68AB">
            <w:pPr>
              <w:widowControl/>
              <w:ind w:firstLine="0"/>
              <w:jc w:val="center"/>
              <w:rPr>
                <w:b/>
                <w:bCs/>
                <w:color w:val="auto"/>
                <w:sz w:val="24"/>
                <w:szCs w:val="24"/>
                <w:lang w:eastAsia="ru-RU"/>
              </w:rPr>
            </w:pPr>
            <w:r w:rsidRPr="007F6E65">
              <w:rPr>
                <w:b/>
                <w:bCs/>
                <w:color w:val="auto"/>
                <w:sz w:val="24"/>
                <w:szCs w:val="24"/>
                <w:lang w:eastAsia="ru-RU"/>
              </w:rPr>
              <w:t>96,9</w:t>
            </w:r>
          </w:p>
        </w:tc>
      </w:tr>
    </w:tbl>
    <w:p w14:paraId="42290980" w14:textId="77777777" w:rsidR="00EC6EFC" w:rsidRDefault="00EC6EFC" w:rsidP="006B3DF7">
      <w:pPr>
        <w:pStyle w:val="1"/>
        <w:numPr>
          <w:ilvl w:val="0"/>
          <w:numId w:val="0"/>
        </w:numPr>
        <w:spacing w:before="0" w:after="0"/>
        <w:ind w:firstLine="709"/>
        <w:rPr>
          <w:color w:val="FF0000"/>
        </w:rPr>
      </w:pPr>
    </w:p>
    <w:p w14:paraId="3B5E3B48" w14:textId="167EA713" w:rsidR="005E4079" w:rsidRDefault="005E4079" w:rsidP="006B3DF7">
      <w:pPr>
        <w:jc w:val="center"/>
        <w:rPr>
          <w:b/>
          <w:bCs/>
          <w:color w:val="auto"/>
          <w:lang w:eastAsia="ru-RU"/>
        </w:rPr>
      </w:pPr>
      <w:r w:rsidRPr="00676763">
        <w:rPr>
          <w:b/>
          <w:bCs/>
          <w:color w:val="auto"/>
          <w:lang w:eastAsia="ru-RU"/>
        </w:rPr>
        <w:t>Сведения об исполнении национальных проектов за 2025 год</w:t>
      </w:r>
    </w:p>
    <w:p w14:paraId="29151372" w14:textId="77777777" w:rsidR="005E4079" w:rsidRPr="00676763" w:rsidRDefault="005E4079" w:rsidP="006B3DF7">
      <w:pPr>
        <w:jc w:val="center"/>
        <w:rPr>
          <w:b/>
          <w:bCs/>
          <w:color w:val="auto"/>
          <w:lang w:eastAsia="ru-RU"/>
        </w:rPr>
      </w:pPr>
    </w:p>
    <w:p w14:paraId="2897D189" w14:textId="4AD62038" w:rsidR="00F811F4" w:rsidRPr="00C014DC" w:rsidRDefault="00F811F4" w:rsidP="006B3DF7">
      <w:pPr>
        <w:rPr>
          <w:color w:val="FF0000"/>
        </w:rPr>
      </w:pPr>
      <w:r w:rsidRPr="00542B65">
        <w:t xml:space="preserve">Кассовое исполнение региональных проектов </w:t>
      </w:r>
      <w:r w:rsidR="00A52728" w:rsidRPr="00542B65">
        <w:t>за 202</w:t>
      </w:r>
      <w:r w:rsidR="00542B65" w:rsidRPr="00542B65">
        <w:t>5</w:t>
      </w:r>
      <w:r w:rsidR="00A52728" w:rsidRPr="00542B65">
        <w:t xml:space="preserve"> год</w:t>
      </w:r>
      <w:r w:rsidRPr="00542B65">
        <w:t xml:space="preserve"> составило </w:t>
      </w:r>
      <w:r w:rsidR="006E3F8C" w:rsidRPr="00542B65">
        <w:br/>
      </w:r>
      <w:r w:rsidR="006A241A">
        <w:t>10 733,1</w:t>
      </w:r>
      <w:r w:rsidRPr="00542B65">
        <w:t xml:space="preserve"> млн рублей или</w:t>
      </w:r>
      <w:r w:rsidRPr="00C014DC">
        <w:rPr>
          <w:color w:val="FF0000"/>
        </w:rPr>
        <w:t xml:space="preserve"> </w:t>
      </w:r>
      <w:r w:rsidR="00E51D28" w:rsidRPr="006A241A">
        <w:t>9</w:t>
      </w:r>
      <w:r w:rsidR="005A4001" w:rsidRPr="006A241A">
        <w:t>9</w:t>
      </w:r>
      <w:r w:rsidR="00E26801" w:rsidRPr="006A241A">
        <w:t>,</w:t>
      </w:r>
      <w:r w:rsidR="006A241A" w:rsidRPr="006A241A">
        <w:t xml:space="preserve">6 </w:t>
      </w:r>
      <w:r w:rsidRPr="006A241A">
        <w:t xml:space="preserve">% от плановых назначений, установленных уточненной бюджетной росписью. Доля расходов на региональные проекты в общем объеме исполненных расходов за </w:t>
      </w:r>
      <w:r w:rsidR="0012006B" w:rsidRPr="006A241A">
        <w:t>202</w:t>
      </w:r>
      <w:r w:rsidR="006A241A" w:rsidRPr="006A241A">
        <w:t>5</w:t>
      </w:r>
      <w:r w:rsidR="0012006B" w:rsidRPr="006A241A">
        <w:t xml:space="preserve"> год</w:t>
      </w:r>
      <w:r w:rsidRPr="006A241A">
        <w:t xml:space="preserve"> составляет </w:t>
      </w:r>
      <w:r w:rsidR="006A241A" w:rsidRPr="006A241A">
        <w:t>29</w:t>
      </w:r>
      <w:r w:rsidR="008E68AB">
        <w:t xml:space="preserve"> </w:t>
      </w:r>
      <w:r w:rsidRPr="006A241A">
        <w:t>%.</w:t>
      </w:r>
      <w:r w:rsidRPr="00C014DC">
        <w:rPr>
          <w:color w:val="FF0000"/>
        </w:rPr>
        <w:t xml:space="preserve"> </w:t>
      </w:r>
    </w:p>
    <w:p w14:paraId="634E356E" w14:textId="77777777" w:rsidR="00CB25D6" w:rsidRPr="00676763" w:rsidRDefault="00CB25D6" w:rsidP="006B3DF7">
      <w:pPr>
        <w:widowControl/>
        <w:jc w:val="right"/>
        <w:rPr>
          <w:color w:val="auto"/>
          <w:sz w:val="22"/>
          <w:szCs w:val="22"/>
          <w:lang w:eastAsia="ru-RU"/>
        </w:rPr>
      </w:pPr>
      <w:r w:rsidRPr="00676763">
        <w:rPr>
          <w:color w:val="auto"/>
          <w:sz w:val="22"/>
          <w:szCs w:val="22"/>
          <w:lang w:eastAsia="ru-RU"/>
        </w:rPr>
        <w:t>(млн рублей)</w:t>
      </w:r>
    </w:p>
    <w:tbl>
      <w:tblPr>
        <w:tblW w:w="10491" w:type="dxa"/>
        <w:tblInd w:w="108" w:type="dxa"/>
        <w:tblLayout w:type="fixed"/>
        <w:tblLook w:val="04A0" w:firstRow="1" w:lastRow="0" w:firstColumn="1" w:lastColumn="0" w:noHBand="0" w:noVBand="1"/>
      </w:tblPr>
      <w:tblGrid>
        <w:gridCol w:w="2386"/>
        <w:gridCol w:w="982"/>
        <w:gridCol w:w="983"/>
        <w:gridCol w:w="841"/>
        <w:gridCol w:w="982"/>
        <w:gridCol w:w="949"/>
        <w:gridCol w:w="842"/>
        <w:gridCol w:w="842"/>
        <w:gridCol w:w="841"/>
        <w:gridCol w:w="843"/>
      </w:tblGrid>
      <w:tr w:rsidR="00C014DC" w:rsidRPr="00D665F2" w14:paraId="52657ADD" w14:textId="77777777" w:rsidTr="008E68AB">
        <w:trPr>
          <w:trHeight w:val="299"/>
          <w:tblHeader/>
        </w:trPr>
        <w:tc>
          <w:tcPr>
            <w:tcW w:w="2386" w:type="dxa"/>
            <w:vMerge w:val="restart"/>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4A64B3CC"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Наименование</w:t>
            </w:r>
          </w:p>
        </w:tc>
        <w:tc>
          <w:tcPr>
            <w:tcW w:w="2806" w:type="dxa"/>
            <w:gridSpan w:val="3"/>
            <w:tcBorders>
              <w:top w:val="single" w:sz="4" w:space="0" w:color="auto"/>
              <w:left w:val="nil"/>
              <w:bottom w:val="single" w:sz="4" w:space="0" w:color="auto"/>
              <w:right w:val="single" w:sz="4" w:space="0" w:color="auto"/>
            </w:tcBorders>
            <w:shd w:val="clear" w:color="auto" w:fill="DBF6B9" w:themeFill="accent3" w:themeFillTint="66"/>
            <w:noWrap/>
            <w:vAlign w:val="center"/>
            <w:hideMark/>
          </w:tcPr>
          <w:p w14:paraId="14527619"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План</w:t>
            </w:r>
          </w:p>
        </w:tc>
        <w:tc>
          <w:tcPr>
            <w:tcW w:w="2773" w:type="dxa"/>
            <w:gridSpan w:val="3"/>
            <w:tcBorders>
              <w:top w:val="single" w:sz="4" w:space="0" w:color="auto"/>
              <w:left w:val="nil"/>
              <w:bottom w:val="single" w:sz="4" w:space="0" w:color="auto"/>
              <w:right w:val="single" w:sz="4" w:space="0" w:color="auto"/>
            </w:tcBorders>
            <w:shd w:val="clear" w:color="auto" w:fill="DBF6B9" w:themeFill="accent3" w:themeFillTint="66"/>
            <w:noWrap/>
            <w:vAlign w:val="center"/>
            <w:hideMark/>
          </w:tcPr>
          <w:p w14:paraId="3A896085"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Факт</w:t>
            </w:r>
          </w:p>
        </w:tc>
        <w:tc>
          <w:tcPr>
            <w:tcW w:w="2526" w:type="dxa"/>
            <w:gridSpan w:val="3"/>
            <w:tcBorders>
              <w:top w:val="single" w:sz="4" w:space="0" w:color="auto"/>
              <w:left w:val="nil"/>
              <w:bottom w:val="single" w:sz="4" w:space="0" w:color="auto"/>
              <w:right w:val="single" w:sz="4" w:space="0" w:color="auto"/>
            </w:tcBorders>
            <w:shd w:val="clear" w:color="auto" w:fill="DBF6B9" w:themeFill="accent3" w:themeFillTint="66"/>
            <w:noWrap/>
            <w:vAlign w:val="center"/>
            <w:hideMark/>
          </w:tcPr>
          <w:p w14:paraId="43489413"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 исполнения</w:t>
            </w:r>
          </w:p>
        </w:tc>
      </w:tr>
      <w:tr w:rsidR="00C014DC" w:rsidRPr="00D665F2" w14:paraId="1B4F1C30" w14:textId="77777777" w:rsidTr="008E68AB">
        <w:trPr>
          <w:trHeight w:val="299"/>
          <w:tblHeader/>
        </w:trPr>
        <w:tc>
          <w:tcPr>
            <w:tcW w:w="2386" w:type="dxa"/>
            <w:vMerge/>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hideMark/>
          </w:tcPr>
          <w:p w14:paraId="1A274196" w14:textId="77777777" w:rsidR="00726F5B" w:rsidRPr="00D665F2" w:rsidRDefault="00726F5B" w:rsidP="008E68AB">
            <w:pPr>
              <w:widowControl/>
              <w:ind w:firstLine="0"/>
              <w:jc w:val="left"/>
              <w:rPr>
                <w:b/>
                <w:bCs/>
                <w:color w:val="auto"/>
                <w:sz w:val="20"/>
                <w:szCs w:val="20"/>
                <w:lang w:eastAsia="ru-RU"/>
              </w:rPr>
            </w:pPr>
          </w:p>
        </w:tc>
        <w:tc>
          <w:tcPr>
            <w:tcW w:w="982" w:type="dxa"/>
            <w:tcBorders>
              <w:top w:val="nil"/>
              <w:left w:val="nil"/>
              <w:bottom w:val="single" w:sz="4" w:space="0" w:color="auto"/>
              <w:right w:val="single" w:sz="4" w:space="0" w:color="auto"/>
            </w:tcBorders>
            <w:shd w:val="clear" w:color="auto" w:fill="DBF6B9" w:themeFill="accent3" w:themeFillTint="66"/>
            <w:vAlign w:val="center"/>
            <w:hideMark/>
          </w:tcPr>
          <w:p w14:paraId="6F0BCE0A"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 xml:space="preserve">Всего </w:t>
            </w:r>
          </w:p>
        </w:tc>
        <w:tc>
          <w:tcPr>
            <w:tcW w:w="983" w:type="dxa"/>
            <w:tcBorders>
              <w:top w:val="nil"/>
              <w:left w:val="nil"/>
              <w:bottom w:val="single" w:sz="4" w:space="0" w:color="auto"/>
              <w:right w:val="single" w:sz="4" w:space="0" w:color="auto"/>
            </w:tcBorders>
            <w:shd w:val="clear" w:color="auto" w:fill="DBF6B9" w:themeFill="accent3" w:themeFillTint="66"/>
            <w:vAlign w:val="center"/>
            <w:hideMark/>
          </w:tcPr>
          <w:p w14:paraId="32EC3877"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ФБ</w:t>
            </w:r>
          </w:p>
        </w:tc>
        <w:tc>
          <w:tcPr>
            <w:tcW w:w="841" w:type="dxa"/>
            <w:tcBorders>
              <w:top w:val="nil"/>
              <w:left w:val="nil"/>
              <w:bottom w:val="single" w:sz="4" w:space="0" w:color="auto"/>
              <w:right w:val="single" w:sz="4" w:space="0" w:color="auto"/>
            </w:tcBorders>
            <w:shd w:val="clear" w:color="auto" w:fill="DBF6B9" w:themeFill="accent3" w:themeFillTint="66"/>
            <w:vAlign w:val="center"/>
            <w:hideMark/>
          </w:tcPr>
          <w:p w14:paraId="2B3EF730"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РБ</w:t>
            </w:r>
          </w:p>
        </w:tc>
        <w:tc>
          <w:tcPr>
            <w:tcW w:w="982" w:type="dxa"/>
            <w:tcBorders>
              <w:top w:val="nil"/>
              <w:left w:val="nil"/>
              <w:bottom w:val="single" w:sz="4" w:space="0" w:color="auto"/>
              <w:right w:val="single" w:sz="4" w:space="0" w:color="auto"/>
            </w:tcBorders>
            <w:shd w:val="clear" w:color="auto" w:fill="DBF6B9" w:themeFill="accent3" w:themeFillTint="66"/>
            <w:vAlign w:val="center"/>
            <w:hideMark/>
          </w:tcPr>
          <w:p w14:paraId="299DAAA1"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 xml:space="preserve">Всего </w:t>
            </w:r>
          </w:p>
        </w:tc>
        <w:tc>
          <w:tcPr>
            <w:tcW w:w="949" w:type="dxa"/>
            <w:tcBorders>
              <w:top w:val="nil"/>
              <w:left w:val="nil"/>
              <w:bottom w:val="single" w:sz="4" w:space="0" w:color="auto"/>
              <w:right w:val="single" w:sz="4" w:space="0" w:color="auto"/>
            </w:tcBorders>
            <w:shd w:val="clear" w:color="auto" w:fill="DBF6B9" w:themeFill="accent3" w:themeFillTint="66"/>
            <w:vAlign w:val="center"/>
            <w:hideMark/>
          </w:tcPr>
          <w:p w14:paraId="20A7B330"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ФБ</w:t>
            </w:r>
          </w:p>
        </w:tc>
        <w:tc>
          <w:tcPr>
            <w:tcW w:w="842" w:type="dxa"/>
            <w:tcBorders>
              <w:top w:val="nil"/>
              <w:left w:val="nil"/>
              <w:bottom w:val="single" w:sz="4" w:space="0" w:color="auto"/>
              <w:right w:val="single" w:sz="4" w:space="0" w:color="auto"/>
            </w:tcBorders>
            <w:shd w:val="clear" w:color="auto" w:fill="DBF6B9" w:themeFill="accent3" w:themeFillTint="66"/>
            <w:vAlign w:val="center"/>
            <w:hideMark/>
          </w:tcPr>
          <w:p w14:paraId="5C9203F7"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РБ</w:t>
            </w:r>
          </w:p>
        </w:tc>
        <w:tc>
          <w:tcPr>
            <w:tcW w:w="842" w:type="dxa"/>
            <w:tcBorders>
              <w:top w:val="nil"/>
              <w:left w:val="nil"/>
              <w:bottom w:val="single" w:sz="4" w:space="0" w:color="auto"/>
              <w:right w:val="single" w:sz="4" w:space="0" w:color="auto"/>
            </w:tcBorders>
            <w:shd w:val="clear" w:color="auto" w:fill="DBF6B9" w:themeFill="accent3" w:themeFillTint="66"/>
            <w:vAlign w:val="center"/>
            <w:hideMark/>
          </w:tcPr>
          <w:p w14:paraId="68AEF82A"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 xml:space="preserve">Всего </w:t>
            </w:r>
          </w:p>
        </w:tc>
        <w:tc>
          <w:tcPr>
            <w:tcW w:w="841" w:type="dxa"/>
            <w:tcBorders>
              <w:top w:val="nil"/>
              <w:left w:val="nil"/>
              <w:bottom w:val="single" w:sz="4" w:space="0" w:color="auto"/>
              <w:right w:val="single" w:sz="4" w:space="0" w:color="auto"/>
            </w:tcBorders>
            <w:shd w:val="clear" w:color="auto" w:fill="DBF6B9" w:themeFill="accent3" w:themeFillTint="66"/>
            <w:vAlign w:val="center"/>
            <w:hideMark/>
          </w:tcPr>
          <w:p w14:paraId="1B735081"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ФБ</w:t>
            </w:r>
          </w:p>
        </w:tc>
        <w:tc>
          <w:tcPr>
            <w:tcW w:w="843" w:type="dxa"/>
            <w:tcBorders>
              <w:top w:val="nil"/>
              <w:left w:val="nil"/>
              <w:bottom w:val="single" w:sz="4" w:space="0" w:color="auto"/>
              <w:right w:val="single" w:sz="4" w:space="0" w:color="auto"/>
            </w:tcBorders>
            <w:shd w:val="clear" w:color="auto" w:fill="DBF6B9" w:themeFill="accent3" w:themeFillTint="66"/>
            <w:vAlign w:val="center"/>
            <w:hideMark/>
          </w:tcPr>
          <w:p w14:paraId="31E43842" w14:textId="77777777" w:rsidR="00726F5B" w:rsidRPr="00D665F2" w:rsidRDefault="00726F5B" w:rsidP="008E68AB">
            <w:pPr>
              <w:widowControl/>
              <w:ind w:firstLine="0"/>
              <w:jc w:val="center"/>
              <w:rPr>
                <w:b/>
                <w:bCs/>
                <w:color w:val="auto"/>
                <w:sz w:val="20"/>
                <w:szCs w:val="20"/>
                <w:lang w:eastAsia="ru-RU"/>
              </w:rPr>
            </w:pPr>
            <w:r w:rsidRPr="00D665F2">
              <w:rPr>
                <w:b/>
                <w:bCs/>
                <w:color w:val="auto"/>
                <w:sz w:val="20"/>
                <w:szCs w:val="20"/>
                <w:lang w:eastAsia="ru-RU"/>
              </w:rPr>
              <w:t>РБ</w:t>
            </w:r>
          </w:p>
        </w:tc>
      </w:tr>
      <w:tr w:rsidR="006A241A" w:rsidRPr="00D665F2" w14:paraId="260DAD87" w14:textId="77777777" w:rsidTr="008E68AB">
        <w:trPr>
          <w:trHeight w:val="299"/>
        </w:trPr>
        <w:tc>
          <w:tcPr>
            <w:tcW w:w="2386" w:type="dxa"/>
            <w:tcBorders>
              <w:top w:val="nil"/>
              <w:left w:val="single" w:sz="4" w:space="0" w:color="auto"/>
              <w:bottom w:val="single" w:sz="4" w:space="0" w:color="auto"/>
              <w:right w:val="single" w:sz="4" w:space="0" w:color="auto"/>
            </w:tcBorders>
            <w:shd w:val="clear" w:color="auto" w:fill="80D219" w:themeFill="accent3" w:themeFillShade="BF"/>
            <w:vAlign w:val="center"/>
            <w:hideMark/>
          </w:tcPr>
          <w:p w14:paraId="44F9199B" w14:textId="77777777" w:rsidR="006A241A" w:rsidRPr="00D665F2" w:rsidRDefault="006A241A" w:rsidP="008E68AB">
            <w:pPr>
              <w:widowControl/>
              <w:ind w:firstLine="0"/>
              <w:jc w:val="left"/>
              <w:rPr>
                <w:b/>
                <w:bCs/>
                <w:color w:val="FF0000"/>
                <w:sz w:val="20"/>
                <w:szCs w:val="20"/>
                <w:lang w:eastAsia="ru-RU"/>
              </w:rPr>
            </w:pPr>
            <w:r w:rsidRPr="00D665F2">
              <w:rPr>
                <w:b/>
                <w:bCs/>
                <w:color w:val="auto"/>
                <w:sz w:val="20"/>
                <w:szCs w:val="20"/>
                <w:lang w:eastAsia="ru-RU"/>
              </w:rPr>
              <w:t>ВСЕГО</w:t>
            </w:r>
          </w:p>
        </w:tc>
        <w:tc>
          <w:tcPr>
            <w:tcW w:w="982" w:type="dxa"/>
            <w:tcBorders>
              <w:top w:val="nil"/>
              <w:left w:val="nil"/>
              <w:bottom w:val="single" w:sz="4" w:space="0" w:color="auto"/>
              <w:right w:val="single" w:sz="4" w:space="0" w:color="auto"/>
            </w:tcBorders>
            <w:shd w:val="clear" w:color="auto" w:fill="80D219" w:themeFill="accent3" w:themeFillShade="BF"/>
            <w:noWrap/>
            <w:vAlign w:val="center"/>
            <w:hideMark/>
          </w:tcPr>
          <w:p w14:paraId="235823AE" w14:textId="726D29FB" w:rsidR="006A241A" w:rsidRPr="006A241A" w:rsidRDefault="006A241A" w:rsidP="008E68AB">
            <w:pPr>
              <w:widowControl/>
              <w:ind w:firstLine="0"/>
              <w:jc w:val="center"/>
              <w:rPr>
                <w:b/>
                <w:color w:val="FF0000"/>
                <w:sz w:val="18"/>
                <w:szCs w:val="18"/>
                <w:lang w:eastAsia="ru-RU"/>
              </w:rPr>
            </w:pPr>
            <w:r w:rsidRPr="006A241A">
              <w:rPr>
                <w:b/>
                <w:bCs/>
                <w:iCs/>
                <w:color w:val="000000"/>
                <w:sz w:val="18"/>
                <w:szCs w:val="18"/>
              </w:rPr>
              <w:t>10 771,1</w:t>
            </w:r>
          </w:p>
        </w:tc>
        <w:tc>
          <w:tcPr>
            <w:tcW w:w="983" w:type="dxa"/>
            <w:tcBorders>
              <w:top w:val="nil"/>
              <w:left w:val="nil"/>
              <w:bottom w:val="single" w:sz="4" w:space="0" w:color="auto"/>
              <w:right w:val="single" w:sz="4" w:space="0" w:color="auto"/>
            </w:tcBorders>
            <w:shd w:val="clear" w:color="auto" w:fill="80D219" w:themeFill="accent3" w:themeFillShade="BF"/>
            <w:noWrap/>
            <w:vAlign w:val="center"/>
            <w:hideMark/>
          </w:tcPr>
          <w:p w14:paraId="075D91EC" w14:textId="06C0F68A" w:rsidR="006A241A" w:rsidRPr="006A241A" w:rsidRDefault="006A241A" w:rsidP="008E68AB">
            <w:pPr>
              <w:widowControl/>
              <w:ind w:firstLine="0"/>
              <w:rPr>
                <w:b/>
                <w:color w:val="FF0000"/>
                <w:sz w:val="18"/>
                <w:szCs w:val="18"/>
                <w:lang w:eastAsia="ru-RU"/>
              </w:rPr>
            </w:pPr>
            <w:r w:rsidRPr="006A241A">
              <w:rPr>
                <w:b/>
                <w:bCs/>
                <w:iCs/>
                <w:color w:val="000000"/>
                <w:sz w:val="18"/>
                <w:szCs w:val="18"/>
              </w:rPr>
              <w:t>7 631,7</w:t>
            </w:r>
          </w:p>
        </w:tc>
        <w:tc>
          <w:tcPr>
            <w:tcW w:w="841" w:type="dxa"/>
            <w:tcBorders>
              <w:top w:val="nil"/>
              <w:left w:val="nil"/>
              <w:bottom w:val="single" w:sz="4" w:space="0" w:color="auto"/>
              <w:right w:val="single" w:sz="4" w:space="0" w:color="auto"/>
            </w:tcBorders>
            <w:shd w:val="clear" w:color="auto" w:fill="80D219" w:themeFill="accent3" w:themeFillShade="BF"/>
            <w:noWrap/>
            <w:vAlign w:val="center"/>
            <w:hideMark/>
          </w:tcPr>
          <w:p w14:paraId="2BB3B7B1" w14:textId="37D234F5" w:rsidR="006A241A" w:rsidRPr="006A241A" w:rsidRDefault="006A241A" w:rsidP="008E68AB">
            <w:pPr>
              <w:widowControl/>
              <w:ind w:firstLine="0"/>
              <w:jc w:val="center"/>
              <w:rPr>
                <w:b/>
                <w:color w:val="FF0000"/>
                <w:sz w:val="18"/>
                <w:szCs w:val="18"/>
                <w:lang w:eastAsia="ru-RU"/>
              </w:rPr>
            </w:pPr>
            <w:r w:rsidRPr="006A241A">
              <w:rPr>
                <w:b/>
                <w:bCs/>
                <w:iCs/>
                <w:color w:val="000000"/>
                <w:sz w:val="18"/>
                <w:szCs w:val="18"/>
              </w:rPr>
              <w:t>3 139,5</w:t>
            </w:r>
          </w:p>
        </w:tc>
        <w:tc>
          <w:tcPr>
            <w:tcW w:w="982" w:type="dxa"/>
            <w:tcBorders>
              <w:top w:val="nil"/>
              <w:left w:val="nil"/>
              <w:bottom w:val="single" w:sz="4" w:space="0" w:color="auto"/>
              <w:right w:val="single" w:sz="4" w:space="0" w:color="auto"/>
            </w:tcBorders>
            <w:shd w:val="clear" w:color="auto" w:fill="80D219" w:themeFill="accent3" w:themeFillShade="BF"/>
            <w:noWrap/>
            <w:vAlign w:val="center"/>
            <w:hideMark/>
          </w:tcPr>
          <w:p w14:paraId="289ADA8B" w14:textId="2611CA42" w:rsidR="006A241A" w:rsidRPr="006A241A" w:rsidRDefault="006A241A" w:rsidP="008E68AB">
            <w:pPr>
              <w:widowControl/>
              <w:ind w:firstLine="0"/>
              <w:jc w:val="center"/>
              <w:rPr>
                <w:b/>
                <w:color w:val="FF0000"/>
                <w:sz w:val="18"/>
                <w:szCs w:val="18"/>
                <w:lang w:eastAsia="ru-RU"/>
              </w:rPr>
            </w:pPr>
            <w:r w:rsidRPr="006A241A">
              <w:rPr>
                <w:b/>
                <w:bCs/>
                <w:iCs/>
                <w:sz w:val="18"/>
                <w:szCs w:val="18"/>
              </w:rPr>
              <w:t>10 733,1</w:t>
            </w:r>
          </w:p>
        </w:tc>
        <w:tc>
          <w:tcPr>
            <w:tcW w:w="949" w:type="dxa"/>
            <w:tcBorders>
              <w:top w:val="nil"/>
              <w:left w:val="nil"/>
              <w:bottom w:val="single" w:sz="4" w:space="0" w:color="auto"/>
              <w:right w:val="single" w:sz="4" w:space="0" w:color="auto"/>
            </w:tcBorders>
            <w:shd w:val="clear" w:color="auto" w:fill="80D219" w:themeFill="accent3" w:themeFillShade="BF"/>
            <w:noWrap/>
            <w:vAlign w:val="center"/>
            <w:hideMark/>
          </w:tcPr>
          <w:p w14:paraId="57BEC6C9" w14:textId="0AE4B126" w:rsidR="006A241A" w:rsidRPr="006A241A" w:rsidRDefault="006A241A" w:rsidP="008E68AB">
            <w:pPr>
              <w:widowControl/>
              <w:ind w:firstLine="0"/>
              <w:jc w:val="center"/>
              <w:rPr>
                <w:b/>
                <w:color w:val="FF0000"/>
                <w:sz w:val="18"/>
                <w:szCs w:val="18"/>
                <w:lang w:eastAsia="ru-RU"/>
              </w:rPr>
            </w:pPr>
            <w:r w:rsidRPr="006A241A">
              <w:rPr>
                <w:b/>
                <w:bCs/>
                <w:iCs/>
                <w:sz w:val="18"/>
                <w:szCs w:val="18"/>
              </w:rPr>
              <w:t>7 621,7</w:t>
            </w:r>
          </w:p>
        </w:tc>
        <w:tc>
          <w:tcPr>
            <w:tcW w:w="842" w:type="dxa"/>
            <w:tcBorders>
              <w:top w:val="nil"/>
              <w:left w:val="nil"/>
              <w:bottom w:val="single" w:sz="4" w:space="0" w:color="auto"/>
              <w:right w:val="single" w:sz="4" w:space="0" w:color="auto"/>
            </w:tcBorders>
            <w:shd w:val="clear" w:color="auto" w:fill="80D219" w:themeFill="accent3" w:themeFillShade="BF"/>
            <w:noWrap/>
            <w:vAlign w:val="center"/>
            <w:hideMark/>
          </w:tcPr>
          <w:p w14:paraId="4CDCE104" w14:textId="20E60FF9" w:rsidR="006A241A" w:rsidRPr="006A241A" w:rsidRDefault="006A241A" w:rsidP="008E68AB">
            <w:pPr>
              <w:widowControl/>
              <w:ind w:firstLine="0"/>
              <w:jc w:val="center"/>
              <w:rPr>
                <w:b/>
                <w:color w:val="FF0000"/>
                <w:sz w:val="18"/>
                <w:szCs w:val="18"/>
                <w:lang w:eastAsia="ru-RU"/>
              </w:rPr>
            </w:pPr>
            <w:r w:rsidRPr="006A241A">
              <w:rPr>
                <w:b/>
                <w:bCs/>
                <w:iCs/>
                <w:sz w:val="18"/>
                <w:szCs w:val="18"/>
              </w:rPr>
              <w:t>3 111,4</w:t>
            </w:r>
          </w:p>
        </w:tc>
        <w:tc>
          <w:tcPr>
            <w:tcW w:w="842" w:type="dxa"/>
            <w:tcBorders>
              <w:top w:val="nil"/>
              <w:left w:val="nil"/>
              <w:bottom w:val="single" w:sz="4" w:space="0" w:color="auto"/>
              <w:right w:val="single" w:sz="4" w:space="0" w:color="auto"/>
            </w:tcBorders>
            <w:shd w:val="clear" w:color="auto" w:fill="80D219" w:themeFill="accent3" w:themeFillShade="BF"/>
            <w:noWrap/>
            <w:vAlign w:val="center"/>
            <w:hideMark/>
          </w:tcPr>
          <w:p w14:paraId="50B121AE" w14:textId="77777777" w:rsidR="006A241A" w:rsidRPr="006A241A" w:rsidRDefault="006A241A" w:rsidP="008E68AB">
            <w:pPr>
              <w:widowControl/>
              <w:ind w:firstLine="0"/>
              <w:jc w:val="center"/>
              <w:rPr>
                <w:b/>
                <w:bCs/>
                <w:color w:val="FF0000"/>
                <w:sz w:val="20"/>
                <w:szCs w:val="20"/>
                <w:lang w:eastAsia="ru-RU"/>
              </w:rPr>
            </w:pPr>
            <w:r w:rsidRPr="006A241A">
              <w:rPr>
                <w:b/>
                <w:sz w:val="20"/>
                <w:szCs w:val="20"/>
              </w:rPr>
              <w:t>100%</w:t>
            </w:r>
          </w:p>
        </w:tc>
        <w:tc>
          <w:tcPr>
            <w:tcW w:w="841" w:type="dxa"/>
            <w:tcBorders>
              <w:top w:val="nil"/>
              <w:left w:val="nil"/>
              <w:bottom w:val="single" w:sz="4" w:space="0" w:color="auto"/>
              <w:right w:val="single" w:sz="4" w:space="0" w:color="auto"/>
            </w:tcBorders>
            <w:shd w:val="clear" w:color="auto" w:fill="80D219" w:themeFill="accent3" w:themeFillShade="BF"/>
            <w:noWrap/>
            <w:vAlign w:val="center"/>
            <w:hideMark/>
          </w:tcPr>
          <w:p w14:paraId="3665F823" w14:textId="77777777" w:rsidR="006A241A" w:rsidRPr="006A241A" w:rsidRDefault="006A241A" w:rsidP="008E68AB">
            <w:pPr>
              <w:widowControl/>
              <w:ind w:firstLine="0"/>
              <w:jc w:val="center"/>
              <w:rPr>
                <w:b/>
                <w:bCs/>
                <w:color w:val="FF0000"/>
                <w:sz w:val="20"/>
                <w:szCs w:val="20"/>
                <w:lang w:eastAsia="ru-RU"/>
              </w:rPr>
            </w:pPr>
            <w:r w:rsidRPr="006A241A">
              <w:rPr>
                <w:b/>
                <w:sz w:val="20"/>
                <w:szCs w:val="20"/>
              </w:rPr>
              <w:t>100%</w:t>
            </w:r>
          </w:p>
        </w:tc>
        <w:tc>
          <w:tcPr>
            <w:tcW w:w="843" w:type="dxa"/>
            <w:tcBorders>
              <w:top w:val="nil"/>
              <w:left w:val="nil"/>
              <w:bottom w:val="single" w:sz="4" w:space="0" w:color="auto"/>
              <w:right w:val="single" w:sz="4" w:space="0" w:color="auto"/>
            </w:tcBorders>
            <w:shd w:val="clear" w:color="auto" w:fill="80D219" w:themeFill="accent3" w:themeFillShade="BF"/>
            <w:noWrap/>
            <w:vAlign w:val="center"/>
            <w:hideMark/>
          </w:tcPr>
          <w:p w14:paraId="00ED2E16" w14:textId="77777777" w:rsidR="006A241A" w:rsidRPr="006A241A" w:rsidRDefault="006A241A" w:rsidP="008E68AB">
            <w:pPr>
              <w:widowControl/>
              <w:ind w:firstLine="0"/>
              <w:jc w:val="center"/>
              <w:rPr>
                <w:b/>
                <w:bCs/>
                <w:color w:val="FF0000"/>
                <w:sz w:val="20"/>
                <w:szCs w:val="20"/>
                <w:lang w:eastAsia="ru-RU"/>
              </w:rPr>
            </w:pPr>
            <w:r w:rsidRPr="006A241A">
              <w:rPr>
                <w:b/>
                <w:sz w:val="20"/>
                <w:szCs w:val="20"/>
              </w:rPr>
              <w:t>99%</w:t>
            </w:r>
          </w:p>
        </w:tc>
      </w:tr>
      <w:tr w:rsidR="000B0C16" w:rsidRPr="00D665F2" w14:paraId="171EBDBD" w14:textId="77777777" w:rsidTr="008E68AB">
        <w:trPr>
          <w:trHeight w:val="583"/>
        </w:trPr>
        <w:tc>
          <w:tcPr>
            <w:tcW w:w="2386" w:type="dxa"/>
            <w:tcBorders>
              <w:top w:val="nil"/>
              <w:left w:val="single" w:sz="4" w:space="0" w:color="auto"/>
              <w:bottom w:val="single" w:sz="4" w:space="0" w:color="auto"/>
              <w:right w:val="single" w:sz="4" w:space="0" w:color="auto"/>
            </w:tcBorders>
            <w:shd w:val="clear" w:color="auto" w:fill="DBF6B9" w:themeFill="accent3" w:themeFillTint="66"/>
            <w:vAlign w:val="center"/>
          </w:tcPr>
          <w:p w14:paraId="75C6DBF9" w14:textId="67AF7C0F" w:rsidR="000B0C16" w:rsidRPr="00D665F2" w:rsidRDefault="006B3DF7" w:rsidP="008E68AB">
            <w:pPr>
              <w:widowControl/>
              <w:ind w:firstLine="0"/>
              <w:jc w:val="left"/>
              <w:rPr>
                <w:b/>
                <w:bCs/>
                <w:color w:val="FF0000"/>
                <w:sz w:val="18"/>
                <w:szCs w:val="18"/>
                <w:lang w:eastAsia="ru-RU"/>
              </w:rPr>
            </w:pPr>
            <w:r>
              <w:rPr>
                <w:color w:val="333333"/>
                <w:sz w:val="18"/>
                <w:szCs w:val="18"/>
              </w:rPr>
              <w:t>«</w:t>
            </w:r>
            <w:r w:rsidR="000B0C16" w:rsidRPr="00D665F2">
              <w:rPr>
                <w:color w:val="333333"/>
                <w:sz w:val="18"/>
                <w:szCs w:val="18"/>
              </w:rPr>
              <w:t>Продолжительная и активная жизнь</w:t>
            </w:r>
            <w:r>
              <w:rPr>
                <w:color w:val="333333"/>
                <w:sz w:val="18"/>
                <w:szCs w:val="18"/>
              </w:rPr>
              <w:t>»</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68F1D32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1 108,2</w:t>
            </w:r>
          </w:p>
        </w:tc>
        <w:tc>
          <w:tcPr>
            <w:tcW w:w="983" w:type="dxa"/>
            <w:tcBorders>
              <w:top w:val="nil"/>
              <w:left w:val="nil"/>
              <w:bottom w:val="single" w:sz="4" w:space="0" w:color="auto"/>
              <w:right w:val="single" w:sz="4" w:space="0" w:color="auto"/>
            </w:tcBorders>
            <w:shd w:val="clear" w:color="auto" w:fill="DBF6B9" w:themeFill="accent3" w:themeFillTint="66"/>
            <w:noWrap/>
            <w:vAlign w:val="center"/>
          </w:tcPr>
          <w:p w14:paraId="203F8DB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1 011,6</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412C5E93"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96,7</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5E3516F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1 098,9</w:t>
            </w:r>
          </w:p>
        </w:tc>
        <w:tc>
          <w:tcPr>
            <w:tcW w:w="949" w:type="dxa"/>
            <w:tcBorders>
              <w:top w:val="nil"/>
              <w:left w:val="nil"/>
              <w:bottom w:val="single" w:sz="4" w:space="0" w:color="auto"/>
              <w:right w:val="single" w:sz="4" w:space="0" w:color="auto"/>
            </w:tcBorders>
            <w:shd w:val="clear" w:color="auto" w:fill="DBF6B9" w:themeFill="accent3" w:themeFillTint="66"/>
            <w:noWrap/>
            <w:vAlign w:val="center"/>
          </w:tcPr>
          <w:p w14:paraId="35BF4C0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1 002,6</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06D4DF9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96,4</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2F929A65"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99%</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2639D5CE"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99%</w:t>
            </w:r>
          </w:p>
        </w:tc>
        <w:tc>
          <w:tcPr>
            <w:tcW w:w="843" w:type="dxa"/>
            <w:tcBorders>
              <w:top w:val="nil"/>
              <w:left w:val="nil"/>
              <w:bottom w:val="single" w:sz="4" w:space="0" w:color="auto"/>
              <w:right w:val="single" w:sz="4" w:space="0" w:color="auto"/>
            </w:tcBorders>
            <w:shd w:val="clear" w:color="auto" w:fill="DBF6B9" w:themeFill="accent3" w:themeFillTint="66"/>
            <w:noWrap/>
            <w:vAlign w:val="center"/>
          </w:tcPr>
          <w:p w14:paraId="13CC13C2"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5CBE3F93" w14:textId="77777777" w:rsidTr="008E68AB">
        <w:trPr>
          <w:trHeight w:val="688"/>
        </w:trPr>
        <w:tc>
          <w:tcPr>
            <w:tcW w:w="2386" w:type="dxa"/>
            <w:tcBorders>
              <w:top w:val="nil"/>
              <w:left w:val="single" w:sz="4" w:space="0" w:color="auto"/>
              <w:bottom w:val="single" w:sz="4" w:space="0" w:color="auto"/>
              <w:right w:val="single" w:sz="4" w:space="0" w:color="auto"/>
            </w:tcBorders>
            <w:shd w:val="clear" w:color="auto" w:fill="auto"/>
            <w:vAlign w:val="center"/>
          </w:tcPr>
          <w:p w14:paraId="1161C159" w14:textId="49E7ADD3"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Модернизация первичного звена здравоохранения</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6E4323F5"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600,9</w:t>
            </w:r>
          </w:p>
        </w:tc>
        <w:tc>
          <w:tcPr>
            <w:tcW w:w="983" w:type="dxa"/>
            <w:tcBorders>
              <w:top w:val="nil"/>
              <w:left w:val="nil"/>
              <w:bottom w:val="single" w:sz="4" w:space="0" w:color="auto"/>
              <w:right w:val="single" w:sz="4" w:space="0" w:color="auto"/>
            </w:tcBorders>
            <w:shd w:val="clear" w:color="auto" w:fill="auto"/>
            <w:noWrap/>
            <w:vAlign w:val="center"/>
          </w:tcPr>
          <w:p w14:paraId="20C769C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513,9</w:t>
            </w:r>
          </w:p>
        </w:tc>
        <w:tc>
          <w:tcPr>
            <w:tcW w:w="841" w:type="dxa"/>
            <w:tcBorders>
              <w:top w:val="nil"/>
              <w:left w:val="nil"/>
              <w:bottom w:val="single" w:sz="4" w:space="0" w:color="auto"/>
              <w:right w:val="single" w:sz="4" w:space="0" w:color="auto"/>
            </w:tcBorders>
            <w:shd w:val="clear" w:color="auto" w:fill="auto"/>
            <w:noWrap/>
            <w:vAlign w:val="center"/>
          </w:tcPr>
          <w:p w14:paraId="1D32208F"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87,1</w:t>
            </w:r>
          </w:p>
        </w:tc>
        <w:tc>
          <w:tcPr>
            <w:tcW w:w="982" w:type="dxa"/>
            <w:tcBorders>
              <w:top w:val="nil"/>
              <w:left w:val="nil"/>
              <w:bottom w:val="single" w:sz="4" w:space="0" w:color="auto"/>
              <w:right w:val="single" w:sz="4" w:space="0" w:color="auto"/>
            </w:tcBorders>
            <w:shd w:val="clear" w:color="auto" w:fill="auto"/>
            <w:noWrap/>
            <w:vAlign w:val="center"/>
          </w:tcPr>
          <w:p w14:paraId="2717CDF1"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591,6</w:t>
            </w:r>
          </w:p>
        </w:tc>
        <w:tc>
          <w:tcPr>
            <w:tcW w:w="949" w:type="dxa"/>
            <w:tcBorders>
              <w:top w:val="nil"/>
              <w:left w:val="nil"/>
              <w:bottom w:val="single" w:sz="4" w:space="0" w:color="auto"/>
              <w:right w:val="single" w:sz="4" w:space="0" w:color="auto"/>
            </w:tcBorders>
            <w:shd w:val="clear" w:color="auto" w:fill="auto"/>
            <w:noWrap/>
            <w:vAlign w:val="center"/>
          </w:tcPr>
          <w:p w14:paraId="57444EA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504,9</w:t>
            </w:r>
          </w:p>
        </w:tc>
        <w:tc>
          <w:tcPr>
            <w:tcW w:w="842" w:type="dxa"/>
            <w:tcBorders>
              <w:top w:val="nil"/>
              <w:left w:val="nil"/>
              <w:bottom w:val="single" w:sz="4" w:space="0" w:color="auto"/>
              <w:right w:val="single" w:sz="4" w:space="0" w:color="auto"/>
            </w:tcBorders>
            <w:shd w:val="clear" w:color="auto" w:fill="auto"/>
            <w:noWrap/>
            <w:vAlign w:val="center"/>
          </w:tcPr>
          <w:p w14:paraId="728AF832"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86,7</w:t>
            </w:r>
          </w:p>
        </w:tc>
        <w:tc>
          <w:tcPr>
            <w:tcW w:w="842" w:type="dxa"/>
            <w:tcBorders>
              <w:top w:val="nil"/>
              <w:left w:val="nil"/>
              <w:bottom w:val="single" w:sz="4" w:space="0" w:color="auto"/>
              <w:right w:val="single" w:sz="4" w:space="0" w:color="auto"/>
            </w:tcBorders>
            <w:shd w:val="clear" w:color="auto" w:fill="auto"/>
            <w:noWrap/>
            <w:vAlign w:val="center"/>
          </w:tcPr>
          <w:p w14:paraId="58607C97"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98%</w:t>
            </w:r>
          </w:p>
        </w:tc>
        <w:tc>
          <w:tcPr>
            <w:tcW w:w="841" w:type="dxa"/>
            <w:tcBorders>
              <w:top w:val="nil"/>
              <w:left w:val="nil"/>
              <w:bottom w:val="single" w:sz="4" w:space="0" w:color="auto"/>
              <w:right w:val="single" w:sz="4" w:space="0" w:color="auto"/>
            </w:tcBorders>
            <w:shd w:val="clear" w:color="auto" w:fill="auto"/>
            <w:noWrap/>
            <w:vAlign w:val="center"/>
          </w:tcPr>
          <w:p w14:paraId="08989263"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98%</w:t>
            </w:r>
          </w:p>
        </w:tc>
        <w:tc>
          <w:tcPr>
            <w:tcW w:w="843" w:type="dxa"/>
            <w:tcBorders>
              <w:top w:val="nil"/>
              <w:left w:val="nil"/>
              <w:bottom w:val="single" w:sz="4" w:space="0" w:color="auto"/>
              <w:right w:val="single" w:sz="4" w:space="0" w:color="auto"/>
            </w:tcBorders>
            <w:shd w:val="clear" w:color="auto" w:fill="auto"/>
            <w:noWrap/>
            <w:vAlign w:val="center"/>
          </w:tcPr>
          <w:p w14:paraId="60349829"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7C9545CE" w14:textId="77777777" w:rsidTr="008E68AB">
        <w:trPr>
          <w:trHeight w:val="523"/>
        </w:trPr>
        <w:tc>
          <w:tcPr>
            <w:tcW w:w="2386" w:type="dxa"/>
            <w:tcBorders>
              <w:top w:val="nil"/>
              <w:left w:val="single" w:sz="4" w:space="0" w:color="auto"/>
              <w:bottom w:val="single" w:sz="4" w:space="0" w:color="auto"/>
              <w:right w:val="single" w:sz="4" w:space="0" w:color="auto"/>
            </w:tcBorders>
            <w:shd w:val="clear" w:color="auto" w:fill="auto"/>
            <w:vAlign w:val="center"/>
          </w:tcPr>
          <w:p w14:paraId="0999CCB6" w14:textId="67A53141"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Борьба с сердечно-сосудистыми заболеваниями</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6C4F219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68,5</w:t>
            </w:r>
          </w:p>
        </w:tc>
        <w:tc>
          <w:tcPr>
            <w:tcW w:w="983" w:type="dxa"/>
            <w:tcBorders>
              <w:top w:val="nil"/>
              <w:left w:val="nil"/>
              <w:bottom w:val="single" w:sz="4" w:space="0" w:color="auto"/>
              <w:right w:val="single" w:sz="4" w:space="0" w:color="auto"/>
            </w:tcBorders>
            <w:shd w:val="clear" w:color="auto" w:fill="auto"/>
            <w:noWrap/>
            <w:vAlign w:val="center"/>
          </w:tcPr>
          <w:p w14:paraId="32C8253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67,9</w:t>
            </w:r>
          </w:p>
        </w:tc>
        <w:tc>
          <w:tcPr>
            <w:tcW w:w="841" w:type="dxa"/>
            <w:tcBorders>
              <w:top w:val="nil"/>
              <w:left w:val="nil"/>
              <w:bottom w:val="single" w:sz="4" w:space="0" w:color="auto"/>
              <w:right w:val="single" w:sz="4" w:space="0" w:color="auto"/>
            </w:tcBorders>
            <w:shd w:val="clear" w:color="auto" w:fill="auto"/>
            <w:noWrap/>
            <w:vAlign w:val="center"/>
          </w:tcPr>
          <w:p w14:paraId="4347E7E0"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0,7</w:t>
            </w:r>
          </w:p>
        </w:tc>
        <w:tc>
          <w:tcPr>
            <w:tcW w:w="982" w:type="dxa"/>
            <w:tcBorders>
              <w:top w:val="nil"/>
              <w:left w:val="nil"/>
              <w:bottom w:val="single" w:sz="4" w:space="0" w:color="auto"/>
              <w:right w:val="single" w:sz="4" w:space="0" w:color="auto"/>
            </w:tcBorders>
            <w:shd w:val="clear" w:color="auto" w:fill="auto"/>
            <w:noWrap/>
            <w:vAlign w:val="center"/>
          </w:tcPr>
          <w:p w14:paraId="389747C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68,5</w:t>
            </w:r>
          </w:p>
        </w:tc>
        <w:tc>
          <w:tcPr>
            <w:tcW w:w="949" w:type="dxa"/>
            <w:tcBorders>
              <w:top w:val="nil"/>
              <w:left w:val="nil"/>
              <w:bottom w:val="single" w:sz="4" w:space="0" w:color="auto"/>
              <w:right w:val="single" w:sz="4" w:space="0" w:color="auto"/>
            </w:tcBorders>
            <w:shd w:val="clear" w:color="auto" w:fill="auto"/>
            <w:noWrap/>
            <w:vAlign w:val="center"/>
          </w:tcPr>
          <w:p w14:paraId="1EA8869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67,9</w:t>
            </w:r>
          </w:p>
        </w:tc>
        <w:tc>
          <w:tcPr>
            <w:tcW w:w="842" w:type="dxa"/>
            <w:tcBorders>
              <w:top w:val="nil"/>
              <w:left w:val="nil"/>
              <w:bottom w:val="single" w:sz="4" w:space="0" w:color="auto"/>
              <w:right w:val="single" w:sz="4" w:space="0" w:color="auto"/>
            </w:tcBorders>
            <w:shd w:val="clear" w:color="auto" w:fill="auto"/>
            <w:noWrap/>
            <w:vAlign w:val="center"/>
          </w:tcPr>
          <w:p w14:paraId="4241042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0,7</w:t>
            </w:r>
          </w:p>
        </w:tc>
        <w:tc>
          <w:tcPr>
            <w:tcW w:w="842" w:type="dxa"/>
            <w:tcBorders>
              <w:top w:val="nil"/>
              <w:left w:val="nil"/>
              <w:bottom w:val="single" w:sz="4" w:space="0" w:color="auto"/>
              <w:right w:val="single" w:sz="4" w:space="0" w:color="auto"/>
            </w:tcBorders>
            <w:shd w:val="clear" w:color="auto" w:fill="auto"/>
            <w:noWrap/>
            <w:vAlign w:val="center"/>
          </w:tcPr>
          <w:p w14:paraId="53496B8A"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42AF7462"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6010B8FA"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32AEA584" w14:textId="77777777" w:rsidTr="008E68AB">
        <w:trPr>
          <w:trHeight w:val="211"/>
        </w:trPr>
        <w:tc>
          <w:tcPr>
            <w:tcW w:w="2386" w:type="dxa"/>
            <w:tcBorders>
              <w:top w:val="nil"/>
              <w:left w:val="single" w:sz="4" w:space="0" w:color="auto"/>
              <w:bottom w:val="single" w:sz="4" w:space="0" w:color="auto"/>
              <w:right w:val="single" w:sz="4" w:space="0" w:color="auto"/>
            </w:tcBorders>
            <w:shd w:val="clear" w:color="auto" w:fill="auto"/>
            <w:vAlign w:val="center"/>
          </w:tcPr>
          <w:p w14:paraId="05A3DAC3" w14:textId="5ABA075C"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Борьба с сахарным диабетом</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7A0C261B"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46,4</w:t>
            </w:r>
          </w:p>
        </w:tc>
        <w:tc>
          <w:tcPr>
            <w:tcW w:w="983" w:type="dxa"/>
            <w:tcBorders>
              <w:top w:val="nil"/>
              <w:left w:val="nil"/>
              <w:bottom w:val="single" w:sz="4" w:space="0" w:color="auto"/>
              <w:right w:val="single" w:sz="4" w:space="0" w:color="auto"/>
            </w:tcBorders>
            <w:shd w:val="clear" w:color="auto" w:fill="auto"/>
            <w:noWrap/>
            <w:vAlign w:val="center"/>
          </w:tcPr>
          <w:p w14:paraId="3F1ECDA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45,9</w:t>
            </w:r>
          </w:p>
        </w:tc>
        <w:tc>
          <w:tcPr>
            <w:tcW w:w="841" w:type="dxa"/>
            <w:tcBorders>
              <w:top w:val="nil"/>
              <w:left w:val="nil"/>
              <w:bottom w:val="single" w:sz="4" w:space="0" w:color="auto"/>
              <w:right w:val="single" w:sz="4" w:space="0" w:color="auto"/>
            </w:tcBorders>
            <w:shd w:val="clear" w:color="auto" w:fill="auto"/>
            <w:noWrap/>
            <w:vAlign w:val="center"/>
          </w:tcPr>
          <w:p w14:paraId="1BC42C4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0,5</w:t>
            </w:r>
          </w:p>
        </w:tc>
        <w:tc>
          <w:tcPr>
            <w:tcW w:w="982" w:type="dxa"/>
            <w:tcBorders>
              <w:top w:val="nil"/>
              <w:left w:val="nil"/>
              <w:bottom w:val="single" w:sz="4" w:space="0" w:color="auto"/>
              <w:right w:val="single" w:sz="4" w:space="0" w:color="auto"/>
            </w:tcBorders>
            <w:shd w:val="clear" w:color="auto" w:fill="auto"/>
            <w:noWrap/>
            <w:vAlign w:val="center"/>
          </w:tcPr>
          <w:p w14:paraId="4FE27003"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46,4</w:t>
            </w:r>
          </w:p>
        </w:tc>
        <w:tc>
          <w:tcPr>
            <w:tcW w:w="949" w:type="dxa"/>
            <w:tcBorders>
              <w:top w:val="nil"/>
              <w:left w:val="nil"/>
              <w:bottom w:val="single" w:sz="4" w:space="0" w:color="auto"/>
              <w:right w:val="single" w:sz="4" w:space="0" w:color="auto"/>
            </w:tcBorders>
            <w:shd w:val="clear" w:color="auto" w:fill="auto"/>
            <w:noWrap/>
            <w:vAlign w:val="center"/>
          </w:tcPr>
          <w:p w14:paraId="3CEFF7F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45,9</w:t>
            </w:r>
          </w:p>
        </w:tc>
        <w:tc>
          <w:tcPr>
            <w:tcW w:w="842" w:type="dxa"/>
            <w:tcBorders>
              <w:top w:val="nil"/>
              <w:left w:val="nil"/>
              <w:bottom w:val="single" w:sz="4" w:space="0" w:color="auto"/>
              <w:right w:val="single" w:sz="4" w:space="0" w:color="auto"/>
            </w:tcBorders>
            <w:shd w:val="clear" w:color="auto" w:fill="auto"/>
            <w:noWrap/>
            <w:vAlign w:val="center"/>
          </w:tcPr>
          <w:p w14:paraId="5D0950AB"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0,5</w:t>
            </w:r>
          </w:p>
        </w:tc>
        <w:tc>
          <w:tcPr>
            <w:tcW w:w="842" w:type="dxa"/>
            <w:tcBorders>
              <w:top w:val="nil"/>
              <w:left w:val="nil"/>
              <w:bottom w:val="single" w:sz="4" w:space="0" w:color="auto"/>
              <w:right w:val="single" w:sz="4" w:space="0" w:color="auto"/>
            </w:tcBorders>
            <w:shd w:val="clear" w:color="auto" w:fill="auto"/>
            <w:noWrap/>
            <w:vAlign w:val="center"/>
          </w:tcPr>
          <w:p w14:paraId="49688CF5"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4AF46EDE"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1E4E08A7"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5E050892" w14:textId="77777777" w:rsidTr="008E68AB">
        <w:trPr>
          <w:trHeight w:val="613"/>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7110914A" w14:textId="0740D0C6" w:rsidR="000B0C16" w:rsidRPr="00D665F2" w:rsidRDefault="000B0C16" w:rsidP="008E68AB">
            <w:pPr>
              <w:widowControl/>
              <w:ind w:firstLine="0"/>
              <w:jc w:val="left"/>
              <w:rPr>
                <w:b/>
                <w:bCs/>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Борьба с гепатитом С и минимизация рисков распространения данного заболевания</w:t>
            </w:r>
            <w:r w:rsidR="006B3DF7">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2CA02"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7,9</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C679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F2D40"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0,1</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7D3D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7,9</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6553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7,8</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FF9B8"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0,1</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BE068"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CEA72"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AEA23"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4577720" w14:textId="77777777" w:rsidTr="008E68AB">
        <w:trPr>
          <w:trHeight w:val="508"/>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0226AA4D" w14:textId="72D7DFBF"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Совершенствование экстренной медицинской помощи</w:t>
            </w:r>
            <w:r w:rsidR="006B3DF7">
              <w:rPr>
                <w:color w:val="333333"/>
                <w:sz w:val="18"/>
                <w:szCs w:val="18"/>
              </w:rPr>
              <w:t>»</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205FF69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323,0</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1C847FB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319,7</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22244D13"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3,2</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65AD9137"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323,0</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4EA8D77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319,7</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3E5F3DC2"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3,2</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66D11E88"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7F8D2630"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64FEF705"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746B8BC4" w14:textId="77777777" w:rsidTr="008E68AB">
        <w:trPr>
          <w:trHeight w:val="508"/>
        </w:trPr>
        <w:tc>
          <w:tcPr>
            <w:tcW w:w="2386" w:type="dxa"/>
            <w:tcBorders>
              <w:top w:val="nil"/>
              <w:left w:val="single" w:sz="4" w:space="0" w:color="auto"/>
              <w:bottom w:val="single" w:sz="4" w:space="0" w:color="auto"/>
              <w:right w:val="single" w:sz="4" w:space="0" w:color="auto"/>
            </w:tcBorders>
            <w:shd w:val="clear" w:color="auto" w:fill="auto"/>
            <w:vAlign w:val="center"/>
          </w:tcPr>
          <w:p w14:paraId="4A81C736" w14:textId="679B7AFE"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Оптимальная для восстановления здоровья медицинская реабилитация</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6FC4527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59,7</w:t>
            </w:r>
          </w:p>
        </w:tc>
        <w:tc>
          <w:tcPr>
            <w:tcW w:w="983" w:type="dxa"/>
            <w:tcBorders>
              <w:top w:val="nil"/>
              <w:left w:val="nil"/>
              <w:bottom w:val="single" w:sz="4" w:space="0" w:color="auto"/>
              <w:right w:val="single" w:sz="4" w:space="0" w:color="auto"/>
            </w:tcBorders>
            <w:shd w:val="clear" w:color="auto" w:fill="auto"/>
            <w:noWrap/>
            <w:vAlign w:val="center"/>
          </w:tcPr>
          <w:p w14:paraId="599D402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54,5</w:t>
            </w:r>
          </w:p>
        </w:tc>
        <w:tc>
          <w:tcPr>
            <w:tcW w:w="841" w:type="dxa"/>
            <w:tcBorders>
              <w:top w:val="nil"/>
              <w:left w:val="nil"/>
              <w:bottom w:val="single" w:sz="4" w:space="0" w:color="auto"/>
              <w:right w:val="single" w:sz="4" w:space="0" w:color="auto"/>
            </w:tcBorders>
            <w:shd w:val="clear" w:color="auto" w:fill="auto"/>
            <w:noWrap/>
            <w:vAlign w:val="center"/>
          </w:tcPr>
          <w:p w14:paraId="00B3019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5,2</w:t>
            </w:r>
          </w:p>
        </w:tc>
        <w:tc>
          <w:tcPr>
            <w:tcW w:w="982" w:type="dxa"/>
            <w:tcBorders>
              <w:top w:val="nil"/>
              <w:left w:val="nil"/>
              <w:bottom w:val="single" w:sz="4" w:space="0" w:color="auto"/>
              <w:right w:val="single" w:sz="4" w:space="0" w:color="auto"/>
            </w:tcBorders>
            <w:shd w:val="clear" w:color="auto" w:fill="auto"/>
            <w:noWrap/>
            <w:vAlign w:val="center"/>
          </w:tcPr>
          <w:p w14:paraId="6E50ED7F"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59,7</w:t>
            </w:r>
          </w:p>
        </w:tc>
        <w:tc>
          <w:tcPr>
            <w:tcW w:w="949" w:type="dxa"/>
            <w:tcBorders>
              <w:top w:val="nil"/>
              <w:left w:val="nil"/>
              <w:bottom w:val="single" w:sz="4" w:space="0" w:color="auto"/>
              <w:right w:val="single" w:sz="4" w:space="0" w:color="auto"/>
            </w:tcBorders>
            <w:shd w:val="clear" w:color="auto" w:fill="auto"/>
            <w:noWrap/>
            <w:vAlign w:val="center"/>
          </w:tcPr>
          <w:p w14:paraId="31B413B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54,5</w:t>
            </w:r>
          </w:p>
        </w:tc>
        <w:tc>
          <w:tcPr>
            <w:tcW w:w="842" w:type="dxa"/>
            <w:tcBorders>
              <w:top w:val="nil"/>
              <w:left w:val="nil"/>
              <w:bottom w:val="single" w:sz="4" w:space="0" w:color="auto"/>
              <w:right w:val="single" w:sz="4" w:space="0" w:color="auto"/>
            </w:tcBorders>
            <w:shd w:val="clear" w:color="auto" w:fill="auto"/>
            <w:noWrap/>
            <w:vAlign w:val="center"/>
          </w:tcPr>
          <w:p w14:paraId="6464BB6D"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5,2</w:t>
            </w:r>
          </w:p>
        </w:tc>
        <w:tc>
          <w:tcPr>
            <w:tcW w:w="842" w:type="dxa"/>
            <w:tcBorders>
              <w:top w:val="nil"/>
              <w:left w:val="nil"/>
              <w:bottom w:val="single" w:sz="4" w:space="0" w:color="auto"/>
              <w:right w:val="single" w:sz="4" w:space="0" w:color="auto"/>
            </w:tcBorders>
            <w:shd w:val="clear" w:color="auto" w:fill="auto"/>
            <w:noWrap/>
            <w:vAlign w:val="center"/>
          </w:tcPr>
          <w:p w14:paraId="0777390A"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03D3F274"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7508F9FE"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442C601E" w14:textId="77777777" w:rsidTr="008E68AB">
        <w:trPr>
          <w:trHeight w:val="449"/>
        </w:trPr>
        <w:tc>
          <w:tcPr>
            <w:tcW w:w="2386" w:type="dxa"/>
            <w:tcBorders>
              <w:top w:val="nil"/>
              <w:left w:val="single" w:sz="4" w:space="0" w:color="auto"/>
              <w:bottom w:val="single" w:sz="4" w:space="0" w:color="auto"/>
              <w:right w:val="single" w:sz="4" w:space="0" w:color="auto"/>
            </w:tcBorders>
            <w:shd w:val="clear" w:color="auto" w:fill="auto"/>
            <w:vAlign w:val="center"/>
          </w:tcPr>
          <w:p w14:paraId="5CDDE034" w14:textId="2AC5CCF1"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Здоровье для каждого</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46EF0A6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1,8</w:t>
            </w:r>
          </w:p>
        </w:tc>
        <w:tc>
          <w:tcPr>
            <w:tcW w:w="983" w:type="dxa"/>
            <w:tcBorders>
              <w:top w:val="nil"/>
              <w:left w:val="nil"/>
              <w:bottom w:val="single" w:sz="4" w:space="0" w:color="auto"/>
              <w:right w:val="single" w:sz="4" w:space="0" w:color="auto"/>
            </w:tcBorders>
            <w:shd w:val="clear" w:color="auto" w:fill="auto"/>
            <w:noWrap/>
            <w:vAlign w:val="center"/>
          </w:tcPr>
          <w:p w14:paraId="5B6FC1C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1,8</w:t>
            </w:r>
          </w:p>
        </w:tc>
        <w:tc>
          <w:tcPr>
            <w:tcW w:w="841" w:type="dxa"/>
            <w:tcBorders>
              <w:top w:val="nil"/>
              <w:left w:val="nil"/>
              <w:bottom w:val="single" w:sz="4" w:space="0" w:color="auto"/>
              <w:right w:val="single" w:sz="4" w:space="0" w:color="auto"/>
            </w:tcBorders>
            <w:shd w:val="clear" w:color="auto" w:fill="auto"/>
            <w:noWrap/>
            <w:vAlign w:val="center"/>
          </w:tcPr>
          <w:p w14:paraId="6969C263"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0,0</w:t>
            </w:r>
          </w:p>
        </w:tc>
        <w:tc>
          <w:tcPr>
            <w:tcW w:w="982" w:type="dxa"/>
            <w:tcBorders>
              <w:top w:val="nil"/>
              <w:left w:val="nil"/>
              <w:bottom w:val="single" w:sz="4" w:space="0" w:color="auto"/>
              <w:right w:val="single" w:sz="4" w:space="0" w:color="auto"/>
            </w:tcBorders>
            <w:shd w:val="clear" w:color="auto" w:fill="auto"/>
            <w:noWrap/>
            <w:vAlign w:val="center"/>
          </w:tcPr>
          <w:p w14:paraId="19533AA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1,8</w:t>
            </w:r>
          </w:p>
        </w:tc>
        <w:tc>
          <w:tcPr>
            <w:tcW w:w="949" w:type="dxa"/>
            <w:tcBorders>
              <w:top w:val="nil"/>
              <w:left w:val="nil"/>
              <w:bottom w:val="single" w:sz="4" w:space="0" w:color="auto"/>
              <w:right w:val="single" w:sz="4" w:space="0" w:color="auto"/>
            </w:tcBorders>
            <w:shd w:val="clear" w:color="auto" w:fill="auto"/>
            <w:noWrap/>
            <w:vAlign w:val="center"/>
          </w:tcPr>
          <w:p w14:paraId="28FE586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1,8</w:t>
            </w:r>
          </w:p>
        </w:tc>
        <w:tc>
          <w:tcPr>
            <w:tcW w:w="842" w:type="dxa"/>
            <w:tcBorders>
              <w:top w:val="nil"/>
              <w:left w:val="nil"/>
              <w:bottom w:val="single" w:sz="4" w:space="0" w:color="auto"/>
              <w:right w:val="single" w:sz="4" w:space="0" w:color="auto"/>
            </w:tcBorders>
            <w:shd w:val="clear" w:color="auto" w:fill="auto"/>
            <w:noWrap/>
            <w:vAlign w:val="center"/>
          </w:tcPr>
          <w:p w14:paraId="40928704"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0,0</w:t>
            </w:r>
          </w:p>
        </w:tc>
        <w:tc>
          <w:tcPr>
            <w:tcW w:w="842" w:type="dxa"/>
            <w:tcBorders>
              <w:top w:val="nil"/>
              <w:left w:val="nil"/>
              <w:bottom w:val="single" w:sz="4" w:space="0" w:color="auto"/>
              <w:right w:val="single" w:sz="4" w:space="0" w:color="auto"/>
            </w:tcBorders>
            <w:shd w:val="clear" w:color="auto" w:fill="auto"/>
            <w:noWrap/>
            <w:vAlign w:val="center"/>
          </w:tcPr>
          <w:p w14:paraId="50527A3F"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07289BE8"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3BF1BEAA"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76C36124" w14:textId="77777777" w:rsidTr="008E68AB">
        <w:trPr>
          <w:trHeight w:val="979"/>
        </w:trPr>
        <w:tc>
          <w:tcPr>
            <w:tcW w:w="2386" w:type="dxa"/>
            <w:tcBorders>
              <w:top w:val="nil"/>
              <w:left w:val="single" w:sz="4" w:space="0" w:color="auto"/>
              <w:bottom w:val="single" w:sz="4" w:space="0" w:color="auto"/>
              <w:right w:val="single" w:sz="4" w:space="0" w:color="auto"/>
            </w:tcBorders>
            <w:shd w:val="clear" w:color="auto" w:fill="DBF6B9" w:themeFill="accent3" w:themeFillTint="66"/>
            <w:vAlign w:val="center"/>
          </w:tcPr>
          <w:p w14:paraId="75702900" w14:textId="396FA871" w:rsidR="000B0C16" w:rsidRPr="00D665F2" w:rsidRDefault="006B3DF7" w:rsidP="008E68AB">
            <w:pPr>
              <w:widowControl/>
              <w:ind w:firstLine="0"/>
              <w:jc w:val="left"/>
              <w:rPr>
                <w:color w:val="333333"/>
                <w:sz w:val="18"/>
                <w:szCs w:val="18"/>
              </w:rPr>
            </w:pPr>
            <w:r>
              <w:rPr>
                <w:color w:val="333333"/>
                <w:sz w:val="18"/>
                <w:szCs w:val="18"/>
              </w:rPr>
              <w:t>«</w:t>
            </w:r>
            <w:r w:rsidR="000B0C16" w:rsidRPr="00D665F2">
              <w:rPr>
                <w:color w:val="333333"/>
                <w:sz w:val="18"/>
                <w:szCs w:val="18"/>
              </w:rPr>
              <w:t>Технологическое обеспечение продовольственной безопасности</w:t>
            </w:r>
            <w:r>
              <w:rPr>
                <w:color w:val="333333"/>
                <w:sz w:val="18"/>
                <w:szCs w:val="18"/>
              </w:rPr>
              <w:t>»</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6AE1D77D" w14:textId="77777777" w:rsidR="000B0C16" w:rsidRPr="006A241A" w:rsidRDefault="000B0C16" w:rsidP="008E68AB">
            <w:pPr>
              <w:widowControl/>
              <w:ind w:firstLine="0"/>
              <w:jc w:val="center"/>
              <w:rPr>
                <w:color w:val="333333"/>
                <w:sz w:val="18"/>
                <w:szCs w:val="18"/>
              </w:rPr>
            </w:pPr>
            <w:r w:rsidRPr="006A241A">
              <w:rPr>
                <w:color w:val="333333"/>
                <w:sz w:val="18"/>
                <w:szCs w:val="18"/>
              </w:rPr>
              <w:t>524,0</w:t>
            </w:r>
          </w:p>
        </w:tc>
        <w:tc>
          <w:tcPr>
            <w:tcW w:w="983" w:type="dxa"/>
            <w:tcBorders>
              <w:top w:val="nil"/>
              <w:left w:val="nil"/>
              <w:bottom w:val="single" w:sz="4" w:space="0" w:color="auto"/>
              <w:right w:val="single" w:sz="4" w:space="0" w:color="auto"/>
            </w:tcBorders>
            <w:shd w:val="clear" w:color="auto" w:fill="DBF6B9" w:themeFill="accent3" w:themeFillTint="66"/>
            <w:noWrap/>
            <w:vAlign w:val="center"/>
          </w:tcPr>
          <w:p w14:paraId="7514C53A" w14:textId="77777777" w:rsidR="000B0C16" w:rsidRPr="006A241A" w:rsidRDefault="000B0C16" w:rsidP="008E68AB">
            <w:pPr>
              <w:widowControl/>
              <w:ind w:firstLine="0"/>
              <w:jc w:val="center"/>
              <w:rPr>
                <w:color w:val="333333"/>
                <w:sz w:val="18"/>
                <w:szCs w:val="18"/>
              </w:rPr>
            </w:pPr>
            <w:r w:rsidRPr="006A241A">
              <w:rPr>
                <w:color w:val="333333"/>
                <w:sz w:val="18"/>
                <w:szCs w:val="18"/>
              </w:rPr>
              <w:t>518,8</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38DF34C9" w14:textId="77777777" w:rsidR="000B0C16" w:rsidRPr="006A241A" w:rsidRDefault="000B0C16" w:rsidP="008E68AB">
            <w:pPr>
              <w:widowControl/>
              <w:ind w:firstLine="0"/>
              <w:jc w:val="center"/>
              <w:rPr>
                <w:color w:val="333333"/>
                <w:sz w:val="18"/>
                <w:szCs w:val="18"/>
              </w:rPr>
            </w:pPr>
            <w:r w:rsidRPr="006A241A">
              <w:rPr>
                <w:color w:val="333333"/>
                <w:sz w:val="18"/>
                <w:szCs w:val="18"/>
              </w:rPr>
              <w:t>5,2</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65F8E074" w14:textId="77777777" w:rsidR="000B0C16" w:rsidRPr="006A241A" w:rsidRDefault="000B0C16" w:rsidP="008E68AB">
            <w:pPr>
              <w:widowControl/>
              <w:ind w:firstLine="0"/>
              <w:jc w:val="center"/>
              <w:rPr>
                <w:color w:val="333333"/>
                <w:sz w:val="18"/>
                <w:szCs w:val="18"/>
              </w:rPr>
            </w:pPr>
            <w:r w:rsidRPr="006A241A">
              <w:rPr>
                <w:color w:val="333333"/>
                <w:sz w:val="18"/>
                <w:szCs w:val="18"/>
              </w:rPr>
              <w:t>524,0</w:t>
            </w:r>
          </w:p>
        </w:tc>
        <w:tc>
          <w:tcPr>
            <w:tcW w:w="949" w:type="dxa"/>
            <w:tcBorders>
              <w:top w:val="nil"/>
              <w:left w:val="nil"/>
              <w:bottom w:val="single" w:sz="4" w:space="0" w:color="auto"/>
              <w:right w:val="single" w:sz="4" w:space="0" w:color="auto"/>
            </w:tcBorders>
            <w:shd w:val="clear" w:color="auto" w:fill="DBF6B9" w:themeFill="accent3" w:themeFillTint="66"/>
            <w:noWrap/>
            <w:vAlign w:val="center"/>
          </w:tcPr>
          <w:p w14:paraId="17C7AF64" w14:textId="77777777" w:rsidR="000B0C16" w:rsidRPr="006A241A" w:rsidRDefault="000B0C16" w:rsidP="008E68AB">
            <w:pPr>
              <w:widowControl/>
              <w:ind w:firstLine="0"/>
              <w:jc w:val="center"/>
              <w:rPr>
                <w:color w:val="333333"/>
                <w:sz w:val="18"/>
                <w:szCs w:val="18"/>
              </w:rPr>
            </w:pPr>
            <w:r w:rsidRPr="006A241A">
              <w:rPr>
                <w:color w:val="333333"/>
                <w:sz w:val="18"/>
                <w:szCs w:val="18"/>
              </w:rPr>
              <w:t>518,8</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62A03C5C" w14:textId="77777777" w:rsidR="000B0C16" w:rsidRPr="006A241A" w:rsidRDefault="000B0C16" w:rsidP="008E68AB">
            <w:pPr>
              <w:widowControl/>
              <w:ind w:firstLine="0"/>
              <w:jc w:val="center"/>
              <w:rPr>
                <w:color w:val="333333"/>
                <w:sz w:val="18"/>
                <w:szCs w:val="18"/>
              </w:rPr>
            </w:pPr>
            <w:r w:rsidRPr="006A241A">
              <w:rPr>
                <w:color w:val="333333"/>
                <w:sz w:val="18"/>
                <w:szCs w:val="18"/>
              </w:rPr>
              <w:t>5,2</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383875A1" w14:textId="77777777" w:rsidR="000B0C16" w:rsidRPr="006A241A" w:rsidRDefault="000B0C16" w:rsidP="008E68AB">
            <w:pPr>
              <w:widowControl/>
              <w:ind w:firstLine="0"/>
              <w:jc w:val="center"/>
              <w:rPr>
                <w:color w:val="333333"/>
                <w:sz w:val="18"/>
                <w:szCs w:val="18"/>
              </w:rPr>
            </w:pPr>
            <w:r w:rsidRPr="006A241A">
              <w:rPr>
                <w:color w:val="333333"/>
                <w:sz w:val="18"/>
                <w:szCs w:val="18"/>
              </w:rPr>
              <w:t>100%</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69058404" w14:textId="77777777" w:rsidR="000B0C16" w:rsidRPr="006A241A" w:rsidRDefault="000B0C16" w:rsidP="008E68AB">
            <w:pPr>
              <w:widowControl/>
              <w:ind w:firstLine="0"/>
              <w:jc w:val="center"/>
              <w:rPr>
                <w:color w:val="333333"/>
                <w:sz w:val="18"/>
                <w:szCs w:val="18"/>
              </w:rPr>
            </w:pPr>
            <w:r w:rsidRPr="006A241A">
              <w:rPr>
                <w:color w:val="333333"/>
                <w:sz w:val="18"/>
                <w:szCs w:val="18"/>
              </w:rPr>
              <w:t>100%</w:t>
            </w:r>
          </w:p>
        </w:tc>
        <w:tc>
          <w:tcPr>
            <w:tcW w:w="843" w:type="dxa"/>
            <w:tcBorders>
              <w:top w:val="nil"/>
              <w:left w:val="nil"/>
              <w:bottom w:val="single" w:sz="4" w:space="0" w:color="auto"/>
              <w:right w:val="single" w:sz="4" w:space="0" w:color="auto"/>
            </w:tcBorders>
            <w:shd w:val="clear" w:color="auto" w:fill="DBF6B9" w:themeFill="accent3" w:themeFillTint="66"/>
            <w:noWrap/>
            <w:vAlign w:val="center"/>
          </w:tcPr>
          <w:p w14:paraId="13A68830" w14:textId="77777777" w:rsidR="000B0C16" w:rsidRPr="006A241A" w:rsidRDefault="000B0C16" w:rsidP="008E68AB">
            <w:pPr>
              <w:widowControl/>
              <w:ind w:firstLine="0"/>
              <w:jc w:val="center"/>
              <w:rPr>
                <w:color w:val="333333"/>
                <w:sz w:val="18"/>
                <w:szCs w:val="18"/>
              </w:rPr>
            </w:pPr>
            <w:r w:rsidRPr="006A241A">
              <w:rPr>
                <w:color w:val="333333"/>
                <w:sz w:val="18"/>
                <w:szCs w:val="18"/>
              </w:rPr>
              <w:t>100%</w:t>
            </w:r>
          </w:p>
        </w:tc>
      </w:tr>
      <w:tr w:rsidR="000B0C16" w:rsidRPr="00D665F2" w14:paraId="0A455CBA" w14:textId="77777777" w:rsidTr="008E68AB">
        <w:trPr>
          <w:trHeight w:val="582"/>
        </w:trPr>
        <w:tc>
          <w:tcPr>
            <w:tcW w:w="2386" w:type="dxa"/>
            <w:tcBorders>
              <w:top w:val="nil"/>
              <w:left w:val="single" w:sz="4" w:space="0" w:color="auto"/>
              <w:bottom w:val="single" w:sz="4" w:space="0" w:color="auto"/>
              <w:right w:val="single" w:sz="4" w:space="0" w:color="auto"/>
            </w:tcBorders>
            <w:shd w:val="clear" w:color="auto" w:fill="auto"/>
            <w:vAlign w:val="center"/>
          </w:tcPr>
          <w:p w14:paraId="40729BC3" w14:textId="4C688BBA"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Кадры в агропромышленном комплексе</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07CE6115"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524,0</w:t>
            </w:r>
          </w:p>
        </w:tc>
        <w:tc>
          <w:tcPr>
            <w:tcW w:w="983" w:type="dxa"/>
            <w:tcBorders>
              <w:top w:val="nil"/>
              <w:left w:val="nil"/>
              <w:bottom w:val="single" w:sz="4" w:space="0" w:color="auto"/>
              <w:right w:val="single" w:sz="4" w:space="0" w:color="auto"/>
            </w:tcBorders>
            <w:shd w:val="clear" w:color="auto" w:fill="auto"/>
            <w:noWrap/>
            <w:vAlign w:val="center"/>
          </w:tcPr>
          <w:p w14:paraId="136F22E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518,8</w:t>
            </w:r>
          </w:p>
        </w:tc>
        <w:tc>
          <w:tcPr>
            <w:tcW w:w="841" w:type="dxa"/>
            <w:tcBorders>
              <w:top w:val="nil"/>
              <w:left w:val="nil"/>
              <w:bottom w:val="single" w:sz="4" w:space="0" w:color="auto"/>
              <w:right w:val="single" w:sz="4" w:space="0" w:color="auto"/>
            </w:tcBorders>
            <w:shd w:val="clear" w:color="auto" w:fill="auto"/>
            <w:noWrap/>
            <w:vAlign w:val="center"/>
          </w:tcPr>
          <w:p w14:paraId="299B655E"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5,2</w:t>
            </w:r>
          </w:p>
        </w:tc>
        <w:tc>
          <w:tcPr>
            <w:tcW w:w="982" w:type="dxa"/>
            <w:tcBorders>
              <w:top w:val="nil"/>
              <w:left w:val="nil"/>
              <w:bottom w:val="single" w:sz="4" w:space="0" w:color="auto"/>
              <w:right w:val="single" w:sz="4" w:space="0" w:color="auto"/>
            </w:tcBorders>
            <w:shd w:val="clear" w:color="auto" w:fill="auto"/>
            <w:noWrap/>
            <w:vAlign w:val="center"/>
          </w:tcPr>
          <w:p w14:paraId="498C9260"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524,0</w:t>
            </w:r>
          </w:p>
        </w:tc>
        <w:tc>
          <w:tcPr>
            <w:tcW w:w="949" w:type="dxa"/>
            <w:tcBorders>
              <w:top w:val="nil"/>
              <w:left w:val="nil"/>
              <w:bottom w:val="single" w:sz="4" w:space="0" w:color="auto"/>
              <w:right w:val="single" w:sz="4" w:space="0" w:color="auto"/>
            </w:tcBorders>
            <w:shd w:val="clear" w:color="auto" w:fill="auto"/>
            <w:noWrap/>
            <w:vAlign w:val="center"/>
          </w:tcPr>
          <w:p w14:paraId="30D854C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518,8</w:t>
            </w:r>
          </w:p>
        </w:tc>
        <w:tc>
          <w:tcPr>
            <w:tcW w:w="842" w:type="dxa"/>
            <w:tcBorders>
              <w:top w:val="nil"/>
              <w:left w:val="nil"/>
              <w:bottom w:val="single" w:sz="4" w:space="0" w:color="auto"/>
              <w:right w:val="single" w:sz="4" w:space="0" w:color="auto"/>
            </w:tcBorders>
            <w:shd w:val="clear" w:color="auto" w:fill="auto"/>
            <w:noWrap/>
            <w:vAlign w:val="center"/>
          </w:tcPr>
          <w:p w14:paraId="763A13D6"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5,2</w:t>
            </w:r>
          </w:p>
        </w:tc>
        <w:tc>
          <w:tcPr>
            <w:tcW w:w="842" w:type="dxa"/>
            <w:tcBorders>
              <w:top w:val="nil"/>
              <w:left w:val="nil"/>
              <w:bottom w:val="single" w:sz="4" w:space="0" w:color="auto"/>
              <w:right w:val="single" w:sz="4" w:space="0" w:color="auto"/>
            </w:tcBorders>
            <w:shd w:val="clear" w:color="auto" w:fill="auto"/>
            <w:noWrap/>
            <w:vAlign w:val="center"/>
          </w:tcPr>
          <w:p w14:paraId="2D17F101"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0A857B5F"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3DDAB458"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6A65B2EE" w14:textId="77777777" w:rsidTr="008E68AB">
        <w:trPr>
          <w:trHeight w:val="508"/>
        </w:trPr>
        <w:tc>
          <w:tcPr>
            <w:tcW w:w="2386" w:type="dxa"/>
            <w:tcBorders>
              <w:top w:val="nil"/>
              <w:left w:val="single" w:sz="4" w:space="0" w:color="auto"/>
              <w:bottom w:val="single" w:sz="4" w:space="0" w:color="auto"/>
              <w:right w:val="single" w:sz="4" w:space="0" w:color="auto"/>
            </w:tcBorders>
            <w:shd w:val="clear" w:color="auto" w:fill="DBF6B9" w:themeFill="accent3" w:themeFillTint="66"/>
            <w:vAlign w:val="center"/>
          </w:tcPr>
          <w:p w14:paraId="22030D5C" w14:textId="6FE88143" w:rsidR="000B0C16" w:rsidRPr="00D665F2" w:rsidRDefault="006B3DF7" w:rsidP="008E68AB">
            <w:pPr>
              <w:widowControl/>
              <w:ind w:firstLine="0"/>
              <w:jc w:val="left"/>
              <w:rPr>
                <w:b/>
                <w:bCs/>
                <w:color w:val="FF0000"/>
                <w:sz w:val="18"/>
                <w:szCs w:val="18"/>
                <w:lang w:eastAsia="ru-RU"/>
              </w:rPr>
            </w:pPr>
            <w:r>
              <w:rPr>
                <w:color w:val="333333"/>
                <w:sz w:val="18"/>
                <w:szCs w:val="18"/>
              </w:rPr>
              <w:t>«</w:t>
            </w:r>
            <w:r w:rsidR="000B0C16" w:rsidRPr="00D665F2">
              <w:rPr>
                <w:color w:val="333333"/>
                <w:sz w:val="18"/>
                <w:szCs w:val="18"/>
              </w:rPr>
              <w:t>Инфраструктура для жизни</w:t>
            </w:r>
            <w:r>
              <w:rPr>
                <w:color w:val="333333"/>
                <w:sz w:val="18"/>
                <w:szCs w:val="18"/>
              </w:rPr>
              <w:t>»</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6A24485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4 456,0</w:t>
            </w:r>
          </w:p>
        </w:tc>
        <w:tc>
          <w:tcPr>
            <w:tcW w:w="983" w:type="dxa"/>
            <w:tcBorders>
              <w:top w:val="nil"/>
              <w:left w:val="nil"/>
              <w:bottom w:val="single" w:sz="4" w:space="0" w:color="auto"/>
              <w:right w:val="single" w:sz="4" w:space="0" w:color="auto"/>
            </w:tcBorders>
            <w:shd w:val="clear" w:color="auto" w:fill="DBF6B9" w:themeFill="accent3" w:themeFillTint="66"/>
            <w:noWrap/>
            <w:vAlign w:val="center"/>
          </w:tcPr>
          <w:p w14:paraId="0CF7AA6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2 178,4</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14516D9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2 277,7</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12E50AF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4 428,3</w:t>
            </w:r>
          </w:p>
        </w:tc>
        <w:tc>
          <w:tcPr>
            <w:tcW w:w="949" w:type="dxa"/>
            <w:tcBorders>
              <w:top w:val="nil"/>
              <w:left w:val="nil"/>
              <w:bottom w:val="single" w:sz="4" w:space="0" w:color="auto"/>
              <w:right w:val="single" w:sz="4" w:space="0" w:color="auto"/>
            </w:tcBorders>
            <w:shd w:val="clear" w:color="auto" w:fill="DBF6B9" w:themeFill="accent3" w:themeFillTint="66"/>
            <w:noWrap/>
            <w:vAlign w:val="center"/>
          </w:tcPr>
          <w:p w14:paraId="77E2CE3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2 178,4</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530F0DEB"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2 249,9</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0395D1B5"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99%</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259ABE5C"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DBF6B9" w:themeFill="accent3" w:themeFillTint="66"/>
            <w:noWrap/>
            <w:vAlign w:val="center"/>
          </w:tcPr>
          <w:p w14:paraId="3C858C57"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99%</w:t>
            </w:r>
          </w:p>
        </w:tc>
      </w:tr>
      <w:tr w:rsidR="000B0C16" w:rsidRPr="00D665F2" w14:paraId="31BBF6E7" w14:textId="77777777" w:rsidTr="008E68AB">
        <w:trPr>
          <w:trHeight w:val="315"/>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5A8E3FAF" w14:textId="22BA0DAD"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Жилье</w:t>
            </w:r>
            <w:r w:rsidR="006B3DF7">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DF3A5"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71,3</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8B6F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FFA2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63,4</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C442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43,6</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000A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7,9</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6218B"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35,7</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1BCA5"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61%</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ED630"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BDDE2"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56%</w:t>
            </w:r>
          </w:p>
        </w:tc>
      </w:tr>
      <w:tr w:rsidR="000B0C16" w:rsidRPr="00D665F2" w14:paraId="7541B8AA" w14:textId="77777777" w:rsidTr="008E68AB">
        <w:trPr>
          <w:trHeight w:val="56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12FBC08E" w14:textId="31907D44"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Модернизация коммунальной инфраструктуры</w:t>
            </w:r>
            <w:r w:rsidR="006B3DF7">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6C9BF"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1 122,9</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68D2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743,7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14F02"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379,1</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0CAA7"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1 122,9</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B5B15"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743,7</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21C7B"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379,1</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B6B16"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7DAA6"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BD9DD"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4EE1E3D6" w14:textId="77777777" w:rsidTr="008E68AB">
        <w:trPr>
          <w:trHeight w:val="508"/>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7556599A" w14:textId="718D68AF" w:rsidR="000B0C16" w:rsidRPr="00D665F2" w:rsidRDefault="000B0C16" w:rsidP="008E68AB">
            <w:pPr>
              <w:widowControl/>
              <w:ind w:firstLine="0"/>
              <w:jc w:val="left"/>
              <w:rPr>
                <w:b/>
                <w:bCs/>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Формирование комфортной городской среды</w:t>
            </w:r>
            <w:r w:rsidR="006B3DF7">
              <w:rPr>
                <w:color w:val="333333"/>
                <w:sz w:val="18"/>
                <w:szCs w:val="18"/>
              </w:rPr>
              <w:t>»</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0CB84EE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347,5</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15B895D2"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344,1</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655843D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062FBC4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347,5</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70564DC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344,1</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39F2934D"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2A09B9E1"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522CBC76"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1946DEE6"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552E0726" w14:textId="77777777" w:rsidTr="008E68AB">
        <w:trPr>
          <w:trHeight w:val="562"/>
        </w:trPr>
        <w:tc>
          <w:tcPr>
            <w:tcW w:w="2386" w:type="dxa"/>
            <w:tcBorders>
              <w:top w:val="nil"/>
              <w:left w:val="single" w:sz="4" w:space="0" w:color="auto"/>
              <w:bottom w:val="single" w:sz="4" w:space="0" w:color="auto"/>
              <w:right w:val="single" w:sz="4" w:space="0" w:color="auto"/>
            </w:tcBorders>
            <w:shd w:val="clear" w:color="auto" w:fill="auto"/>
            <w:vAlign w:val="center"/>
          </w:tcPr>
          <w:p w14:paraId="4AEE711E" w14:textId="169C94F4"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Безопасность дорожного движения</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387666B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29,7</w:t>
            </w:r>
          </w:p>
        </w:tc>
        <w:tc>
          <w:tcPr>
            <w:tcW w:w="983" w:type="dxa"/>
            <w:tcBorders>
              <w:top w:val="nil"/>
              <w:left w:val="nil"/>
              <w:bottom w:val="single" w:sz="4" w:space="0" w:color="auto"/>
              <w:right w:val="single" w:sz="4" w:space="0" w:color="auto"/>
            </w:tcBorders>
            <w:shd w:val="clear" w:color="auto" w:fill="auto"/>
            <w:noWrap/>
            <w:vAlign w:val="center"/>
          </w:tcPr>
          <w:p w14:paraId="314F33A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1" w:type="dxa"/>
            <w:tcBorders>
              <w:top w:val="nil"/>
              <w:left w:val="nil"/>
              <w:bottom w:val="single" w:sz="4" w:space="0" w:color="auto"/>
              <w:right w:val="single" w:sz="4" w:space="0" w:color="auto"/>
            </w:tcBorders>
            <w:shd w:val="clear" w:color="auto" w:fill="auto"/>
            <w:noWrap/>
            <w:vAlign w:val="center"/>
          </w:tcPr>
          <w:p w14:paraId="467D57D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29,7</w:t>
            </w:r>
          </w:p>
        </w:tc>
        <w:tc>
          <w:tcPr>
            <w:tcW w:w="982" w:type="dxa"/>
            <w:tcBorders>
              <w:top w:val="nil"/>
              <w:left w:val="nil"/>
              <w:bottom w:val="single" w:sz="4" w:space="0" w:color="auto"/>
              <w:right w:val="single" w:sz="4" w:space="0" w:color="auto"/>
            </w:tcBorders>
            <w:shd w:val="clear" w:color="auto" w:fill="auto"/>
            <w:noWrap/>
            <w:vAlign w:val="center"/>
          </w:tcPr>
          <w:p w14:paraId="519FF2ED"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29,7</w:t>
            </w:r>
          </w:p>
        </w:tc>
        <w:tc>
          <w:tcPr>
            <w:tcW w:w="949" w:type="dxa"/>
            <w:tcBorders>
              <w:top w:val="nil"/>
              <w:left w:val="nil"/>
              <w:bottom w:val="single" w:sz="4" w:space="0" w:color="auto"/>
              <w:right w:val="single" w:sz="4" w:space="0" w:color="auto"/>
            </w:tcBorders>
            <w:shd w:val="clear" w:color="auto" w:fill="auto"/>
            <w:noWrap/>
            <w:vAlign w:val="center"/>
          </w:tcPr>
          <w:p w14:paraId="003758C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2" w:type="dxa"/>
            <w:tcBorders>
              <w:top w:val="nil"/>
              <w:left w:val="nil"/>
              <w:bottom w:val="single" w:sz="4" w:space="0" w:color="auto"/>
              <w:right w:val="single" w:sz="4" w:space="0" w:color="auto"/>
            </w:tcBorders>
            <w:shd w:val="clear" w:color="auto" w:fill="auto"/>
            <w:noWrap/>
            <w:vAlign w:val="center"/>
          </w:tcPr>
          <w:p w14:paraId="665656C2"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29,7</w:t>
            </w:r>
          </w:p>
        </w:tc>
        <w:tc>
          <w:tcPr>
            <w:tcW w:w="842" w:type="dxa"/>
            <w:tcBorders>
              <w:top w:val="nil"/>
              <w:left w:val="nil"/>
              <w:bottom w:val="single" w:sz="4" w:space="0" w:color="auto"/>
              <w:right w:val="single" w:sz="4" w:space="0" w:color="auto"/>
            </w:tcBorders>
            <w:shd w:val="clear" w:color="auto" w:fill="auto"/>
            <w:noWrap/>
            <w:vAlign w:val="center"/>
          </w:tcPr>
          <w:p w14:paraId="194B49B7"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7857AF4B" w14:textId="77777777" w:rsidR="000B0C16" w:rsidRPr="006A241A" w:rsidRDefault="000B0C16" w:rsidP="008E68AB">
            <w:pPr>
              <w:widowControl/>
              <w:ind w:firstLine="0"/>
              <w:jc w:val="center"/>
              <w:rPr>
                <w:sz w:val="18"/>
                <w:szCs w:val="18"/>
              </w:rPr>
            </w:pPr>
            <w:r w:rsidRPr="006A241A">
              <w:rPr>
                <w:sz w:val="18"/>
                <w:szCs w:val="18"/>
              </w:rPr>
              <w:t>-</w:t>
            </w:r>
          </w:p>
        </w:tc>
        <w:tc>
          <w:tcPr>
            <w:tcW w:w="843" w:type="dxa"/>
            <w:tcBorders>
              <w:top w:val="nil"/>
              <w:left w:val="nil"/>
              <w:bottom w:val="single" w:sz="4" w:space="0" w:color="auto"/>
              <w:right w:val="single" w:sz="4" w:space="0" w:color="auto"/>
            </w:tcBorders>
            <w:shd w:val="clear" w:color="auto" w:fill="auto"/>
            <w:noWrap/>
            <w:vAlign w:val="center"/>
          </w:tcPr>
          <w:p w14:paraId="56ECCAD4"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76390D15" w14:textId="77777777" w:rsidTr="008E68AB">
        <w:trPr>
          <w:trHeight w:val="508"/>
        </w:trPr>
        <w:tc>
          <w:tcPr>
            <w:tcW w:w="2386" w:type="dxa"/>
            <w:tcBorders>
              <w:top w:val="nil"/>
              <w:left w:val="single" w:sz="4" w:space="0" w:color="auto"/>
              <w:bottom w:val="single" w:sz="4" w:space="0" w:color="auto"/>
              <w:right w:val="single" w:sz="4" w:space="0" w:color="auto"/>
            </w:tcBorders>
            <w:shd w:val="clear" w:color="auto" w:fill="auto"/>
            <w:vAlign w:val="center"/>
          </w:tcPr>
          <w:p w14:paraId="61D5185E" w14:textId="65EF1C50"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Региональная и местная дорожная сеть</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4714A6A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2 876,8</w:t>
            </w:r>
          </w:p>
        </w:tc>
        <w:tc>
          <w:tcPr>
            <w:tcW w:w="983" w:type="dxa"/>
            <w:tcBorders>
              <w:top w:val="nil"/>
              <w:left w:val="nil"/>
              <w:bottom w:val="single" w:sz="4" w:space="0" w:color="auto"/>
              <w:right w:val="single" w:sz="4" w:space="0" w:color="auto"/>
            </w:tcBorders>
            <w:shd w:val="clear" w:color="auto" w:fill="auto"/>
            <w:noWrap/>
            <w:vAlign w:val="center"/>
          </w:tcPr>
          <w:p w14:paraId="7E49A8E8"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1 082,7</w:t>
            </w:r>
          </w:p>
        </w:tc>
        <w:tc>
          <w:tcPr>
            <w:tcW w:w="841" w:type="dxa"/>
            <w:tcBorders>
              <w:top w:val="nil"/>
              <w:left w:val="nil"/>
              <w:bottom w:val="single" w:sz="4" w:space="0" w:color="auto"/>
              <w:right w:val="single" w:sz="4" w:space="0" w:color="auto"/>
            </w:tcBorders>
            <w:shd w:val="clear" w:color="auto" w:fill="auto"/>
            <w:noWrap/>
            <w:vAlign w:val="center"/>
          </w:tcPr>
          <w:p w14:paraId="6AE1C97C"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1 794,1</w:t>
            </w:r>
          </w:p>
        </w:tc>
        <w:tc>
          <w:tcPr>
            <w:tcW w:w="982" w:type="dxa"/>
            <w:tcBorders>
              <w:top w:val="nil"/>
              <w:left w:val="nil"/>
              <w:bottom w:val="single" w:sz="4" w:space="0" w:color="auto"/>
              <w:right w:val="single" w:sz="4" w:space="0" w:color="auto"/>
            </w:tcBorders>
            <w:shd w:val="clear" w:color="auto" w:fill="auto"/>
            <w:noWrap/>
            <w:vAlign w:val="center"/>
          </w:tcPr>
          <w:p w14:paraId="72FB87F7"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2 876,8</w:t>
            </w:r>
          </w:p>
        </w:tc>
        <w:tc>
          <w:tcPr>
            <w:tcW w:w="949" w:type="dxa"/>
            <w:tcBorders>
              <w:top w:val="nil"/>
              <w:left w:val="nil"/>
              <w:bottom w:val="single" w:sz="4" w:space="0" w:color="auto"/>
              <w:right w:val="single" w:sz="4" w:space="0" w:color="auto"/>
            </w:tcBorders>
            <w:shd w:val="clear" w:color="auto" w:fill="auto"/>
            <w:noWrap/>
            <w:vAlign w:val="center"/>
          </w:tcPr>
          <w:p w14:paraId="369BFA8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1 082,7</w:t>
            </w:r>
          </w:p>
        </w:tc>
        <w:tc>
          <w:tcPr>
            <w:tcW w:w="842" w:type="dxa"/>
            <w:tcBorders>
              <w:top w:val="nil"/>
              <w:left w:val="nil"/>
              <w:bottom w:val="single" w:sz="4" w:space="0" w:color="auto"/>
              <w:right w:val="single" w:sz="4" w:space="0" w:color="auto"/>
            </w:tcBorders>
            <w:shd w:val="clear" w:color="auto" w:fill="auto"/>
            <w:noWrap/>
            <w:vAlign w:val="center"/>
          </w:tcPr>
          <w:p w14:paraId="18E7DBC0"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1 794,1</w:t>
            </w:r>
          </w:p>
        </w:tc>
        <w:tc>
          <w:tcPr>
            <w:tcW w:w="842" w:type="dxa"/>
            <w:tcBorders>
              <w:top w:val="nil"/>
              <w:left w:val="nil"/>
              <w:bottom w:val="single" w:sz="4" w:space="0" w:color="auto"/>
              <w:right w:val="single" w:sz="4" w:space="0" w:color="auto"/>
            </w:tcBorders>
            <w:shd w:val="clear" w:color="auto" w:fill="auto"/>
            <w:noWrap/>
            <w:vAlign w:val="center"/>
          </w:tcPr>
          <w:p w14:paraId="11E61724"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43127102"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358624A8"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C2BD610" w14:textId="77777777" w:rsidTr="008E68AB">
        <w:trPr>
          <w:trHeight w:val="550"/>
        </w:trPr>
        <w:tc>
          <w:tcPr>
            <w:tcW w:w="2386" w:type="dxa"/>
            <w:tcBorders>
              <w:top w:val="nil"/>
              <w:left w:val="single" w:sz="4" w:space="0" w:color="auto"/>
              <w:bottom w:val="single" w:sz="4" w:space="0" w:color="auto"/>
              <w:right w:val="single" w:sz="4" w:space="0" w:color="auto"/>
            </w:tcBorders>
            <w:shd w:val="clear" w:color="auto" w:fill="auto"/>
            <w:vAlign w:val="center"/>
          </w:tcPr>
          <w:p w14:paraId="05B7C67C" w14:textId="56EECBEB" w:rsidR="000B0C16" w:rsidRPr="00D665F2" w:rsidRDefault="000B0C16" w:rsidP="008E68AB">
            <w:pPr>
              <w:widowControl/>
              <w:ind w:firstLine="0"/>
              <w:jc w:val="left"/>
              <w:rPr>
                <w:b/>
                <w:bCs/>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Общесистемные меры развития дорожного хозяйства</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76462D3B"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7,8</w:t>
            </w:r>
          </w:p>
        </w:tc>
        <w:tc>
          <w:tcPr>
            <w:tcW w:w="983" w:type="dxa"/>
            <w:tcBorders>
              <w:top w:val="nil"/>
              <w:left w:val="nil"/>
              <w:bottom w:val="single" w:sz="4" w:space="0" w:color="auto"/>
              <w:right w:val="single" w:sz="4" w:space="0" w:color="auto"/>
            </w:tcBorders>
            <w:shd w:val="clear" w:color="auto" w:fill="auto"/>
            <w:noWrap/>
            <w:vAlign w:val="center"/>
          </w:tcPr>
          <w:p w14:paraId="7D421462"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1" w:type="dxa"/>
            <w:tcBorders>
              <w:top w:val="nil"/>
              <w:left w:val="nil"/>
              <w:bottom w:val="single" w:sz="4" w:space="0" w:color="auto"/>
              <w:right w:val="single" w:sz="4" w:space="0" w:color="auto"/>
            </w:tcBorders>
            <w:shd w:val="clear" w:color="auto" w:fill="auto"/>
            <w:noWrap/>
            <w:vAlign w:val="center"/>
          </w:tcPr>
          <w:p w14:paraId="6B14FFC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7,8</w:t>
            </w:r>
          </w:p>
        </w:tc>
        <w:tc>
          <w:tcPr>
            <w:tcW w:w="982" w:type="dxa"/>
            <w:tcBorders>
              <w:top w:val="nil"/>
              <w:left w:val="nil"/>
              <w:bottom w:val="single" w:sz="4" w:space="0" w:color="auto"/>
              <w:right w:val="single" w:sz="4" w:space="0" w:color="auto"/>
            </w:tcBorders>
            <w:shd w:val="clear" w:color="auto" w:fill="auto"/>
            <w:noWrap/>
            <w:vAlign w:val="center"/>
          </w:tcPr>
          <w:p w14:paraId="1FA5E2E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7,8</w:t>
            </w:r>
          </w:p>
        </w:tc>
        <w:tc>
          <w:tcPr>
            <w:tcW w:w="949" w:type="dxa"/>
            <w:tcBorders>
              <w:top w:val="nil"/>
              <w:left w:val="nil"/>
              <w:bottom w:val="single" w:sz="4" w:space="0" w:color="auto"/>
              <w:right w:val="single" w:sz="4" w:space="0" w:color="auto"/>
            </w:tcBorders>
            <w:shd w:val="clear" w:color="auto" w:fill="auto"/>
            <w:noWrap/>
            <w:vAlign w:val="center"/>
          </w:tcPr>
          <w:p w14:paraId="39FE1E12"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2" w:type="dxa"/>
            <w:tcBorders>
              <w:top w:val="nil"/>
              <w:left w:val="nil"/>
              <w:bottom w:val="single" w:sz="4" w:space="0" w:color="auto"/>
              <w:right w:val="single" w:sz="4" w:space="0" w:color="auto"/>
            </w:tcBorders>
            <w:shd w:val="clear" w:color="auto" w:fill="auto"/>
            <w:noWrap/>
            <w:vAlign w:val="center"/>
          </w:tcPr>
          <w:p w14:paraId="64D458D3"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7,8</w:t>
            </w:r>
          </w:p>
        </w:tc>
        <w:tc>
          <w:tcPr>
            <w:tcW w:w="842" w:type="dxa"/>
            <w:tcBorders>
              <w:top w:val="nil"/>
              <w:left w:val="nil"/>
              <w:bottom w:val="single" w:sz="4" w:space="0" w:color="auto"/>
              <w:right w:val="single" w:sz="4" w:space="0" w:color="auto"/>
            </w:tcBorders>
            <w:shd w:val="clear" w:color="auto" w:fill="auto"/>
            <w:noWrap/>
            <w:vAlign w:val="center"/>
          </w:tcPr>
          <w:p w14:paraId="41609103"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30A7EB52"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w:t>
            </w:r>
          </w:p>
        </w:tc>
        <w:tc>
          <w:tcPr>
            <w:tcW w:w="843" w:type="dxa"/>
            <w:tcBorders>
              <w:top w:val="nil"/>
              <w:left w:val="nil"/>
              <w:bottom w:val="single" w:sz="4" w:space="0" w:color="auto"/>
              <w:right w:val="single" w:sz="4" w:space="0" w:color="auto"/>
            </w:tcBorders>
            <w:shd w:val="clear" w:color="auto" w:fill="auto"/>
            <w:noWrap/>
            <w:vAlign w:val="center"/>
          </w:tcPr>
          <w:p w14:paraId="34FB6A5A"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08395EF1" w14:textId="77777777" w:rsidTr="008E68AB">
        <w:trPr>
          <w:trHeight w:val="238"/>
        </w:trPr>
        <w:tc>
          <w:tcPr>
            <w:tcW w:w="2386" w:type="dxa"/>
            <w:tcBorders>
              <w:top w:val="nil"/>
              <w:left w:val="single" w:sz="4" w:space="0" w:color="auto"/>
              <w:bottom w:val="single" w:sz="4" w:space="0" w:color="auto"/>
              <w:right w:val="single" w:sz="4" w:space="0" w:color="auto"/>
            </w:tcBorders>
            <w:shd w:val="clear" w:color="auto" w:fill="DBF6B9" w:themeFill="accent3" w:themeFillTint="66"/>
            <w:vAlign w:val="center"/>
          </w:tcPr>
          <w:p w14:paraId="28BFF5B6" w14:textId="0115935E" w:rsidR="000B0C16" w:rsidRPr="00D665F2" w:rsidRDefault="006B3DF7" w:rsidP="008E68AB">
            <w:pPr>
              <w:widowControl/>
              <w:ind w:firstLine="0"/>
              <w:jc w:val="left"/>
              <w:rPr>
                <w:color w:val="FF0000"/>
                <w:sz w:val="18"/>
                <w:szCs w:val="18"/>
                <w:lang w:eastAsia="ru-RU"/>
              </w:rPr>
            </w:pPr>
            <w:r>
              <w:rPr>
                <w:color w:val="333333"/>
                <w:sz w:val="18"/>
                <w:szCs w:val="18"/>
              </w:rPr>
              <w:t>«</w:t>
            </w:r>
            <w:r w:rsidR="000B0C16" w:rsidRPr="00D665F2">
              <w:rPr>
                <w:color w:val="333333"/>
                <w:sz w:val="18"/>
                <w:szCs w:val="18"/>
              </w:rPr>
              <w:t>Кадры</w:t>
            </w:r>
            <w:r>
              <w:rPr>
                <w:color w:val="333333"/>
                <w:sz w:val="18"/>
                <w:szCs w:val="18"/>
              </w:rPr>
              <w:t>»</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67420F0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1,3</w:t>
            </w:r>
          </w:p>
        </w:tc>
        <w:tc>
          <w:tcPr>
            <w:tcW w:w="983" w:type="dxa"/>
            <w:tcBorders>
              <w:top w:val="nil"/>
              <w:left w:val="nil"/>
              <w:bottom w:val="single" w:sz="4" w:space="0" w:color="auto"/>
              <w:right w:val="single" w:sz="4" w:space="0" w:color="auto"/>
            </w:tcBorders>
            <w:shd w:val="clear" w:color="auto" w:fill="DBF6B9" w:themeFill="accent3" w:themeFillTint="66"/>
            <w:noWrap/>
            <w:vAlign w:val="center"/>
          </w:tcPr>
          <w:p w14:paraId="6C482795"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2723725F"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1,3</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15E76814"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1,3</w:t>
            </w:r>
          </w:p>
        </w:tc>
        <w:tc>
          <w:tcPr>
            <w:tcW w:w="949" w:type="dxa"/>
            <w:tcBorders>
              <w:top w:val="nil"/>
              <w:left w:val="nil"/>
              <w:bottom w:val="single" w:sz="4" w:space="0" w:color="auto"/>
              <w:right w:val="single" w:sz="4" w:space="0" w:color="auto"/>
            </w:tcBorders>
            <w:shd w:val="clear" w:color="auto" w:fill="DBF6B9" w:themeFill="accent3" w:themeFillTint="66"/>
            <w:noWrap/>
            <w:vAlign w:val="center"/>
          </w:tcPr>
          <w:p w14:paraId="6990784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6662C0F6"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1,3</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75918BA9"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6BA7BA9E"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w:t>
            </w:r>
          </w:p>
        </w:tc>
        <w:tc>
          <w:tcPr>
            <w:tcW w:w="843" w:type="dxa"/>
            <w:tcBorders>
              <w:top w:val="nil"/>
              <w:left w:val="nil"/>
              <w:bottom w:val="single" w:sz="4" w:space="0" w:color="auto"/>
              <w:right w:val="single" w:sz="4" w:space="0" w:color="auto"/>
            </w:tcBorders>
            <w:shd w:val="clear" w:color="auto" w:fill="DBF6B9" w:themeFill="accent3" w:themeFillTint="66"/>
            <w:noWrap/>
            <w:vAlign w:val="center"/>
          </w:tcPr>
          <w:p w14:paraId="1CAF32B7"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78571356" w14:textId="77777777" w:rsidTr="008E68AB">
        <w:trPr>
          <w:trHeight w:val="690"/>
        </w:trPr>
        <w:tc>
          <w:tcPr>
            <w:tcW w:w="2386" w:type="dxa"/>
            <w:tcBorders>
              <w:top w:val="nil"/>
              <w:left w:val="single" w:sz="4" w:space="0" w:color="auto"/>
              <w:bottom w:val="single" w:sz="4" w:space="0" w:color="auto"/>
              <w:right w:val="single" w:sz="4" w:space="0" w:color="auto"/>
            </w:tcBorders>
            <w:shd w:val="clear" w:color="auto" w:fill="auto"/>
            <w:vAlign w:val="center"/>
          </w:tcPr>
          <w:p w14:paraId="1BFBE978" w14:textId="3E3BCF69"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Активные меры содействия занятости</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2A3850A0"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1,3</w:t>
            </w:r>
          </w:p>
        </w:tc>
        <w:tc>
          <w:tcPr>
            <w:tcW w:w="983" w:type="dxa"/>
            <w:tcBorders>
              <w:top w:val="nil"/>
              <w:left w:val="nil"/>
              <w:bottom w:val="single" w:sz="4" w:space="0" w:color="auto"/>
              <w:right w:val="single" w:sz="4" w:space="0" w:color="auto"/>
            </w:tcBorders>
            <w:shd w:val="clear" w:color="auto" w:fill="auto"/>
            <w:noWrap/>
            <w:vAlign w:val="center"/>
          </w:tcPr>
          <w:p w14:paraId="4D79CE2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1" w:type="dxa"/>
            <w:tcBorders>
              <w:top w:val="nil"/>
              <w:left w:val="nil"/>
              <w:bottom w:val="single" w:sz="4" w:space="0" w:color="auto"/>
              <w:right w:val="single" w:sz="4" w:space="0" w:color="auto"/>
            </w:tcBorders>
            <w:shd w:val="clear" w:color="auto" w:fill="auto"/>
            <w:noWrap/>
            <w:vAlign w:val="center"/>
          </w:tcPr>
          <w:p w14:paraId="54E6D20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1,3</w:t>
            </w:r>
          </w:p>
        </w:tc>
        <w:tc>
          <w:tcPr>
            <w:tcW w:w="982" w:type="dxa"/>
            <w:tcBorders>
              <w:top w:val="nil"/>
              <w:left w:val="nil"/>
              <w:bottom w:val="single" w:sz="4" w:space="0" w:color="auto"/>
              <w:right w:val="single" w:sz="4" w:space="0" w:color="auto"/>
            </w:tcBorders>
            <w:shd w:val="clear" w:color="auto" w:fill="auto"/>
            <w:noWrap/>
            <w:vAlign w:val="center"/>
          </w:tcPr>
          <w:p w14:paraId="361486A0"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1,3</w:t>
            </w:r>
          </w:p>
        </w:tc>
        <w:tc>
          <w:tcPr>
            <w:tcW w:w="949" w:type="dxa"/>
            <w:tcBorders>
              <w:top w:val="nil"/>
              <w:left w:val="nil"/>
              <w:bottom w:val="single" w:sz="4" w:space="0" w:color="auto"/>
              <w:right w:val="single" w:sz="4" w:space="0" w:color="auto"/>
            </w:tcBorders>
            <w:shd w:val="clear" w:color="auto" w:fill="auto"/>
            <w:noWrap/>
            <w:vAlign w:val="center"/>
          </w:tcPr>
          <w:p w14:paraId="4C7D7C6B"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2" w:type="dxa"/>
            <w:tcBorders>
              <w:top w:val="nil"/>
              <w:left w:val="nil"/>
              <w:bottom w:val="single" w:sz="4" w:space="0" w:color="auto"/>
              <w:right w:val="single" w:sz="4" w:space="0" w:color="auto"/>
            </w:tcBorders>
            <w:shd w:val="clear" w:color="auto" w:fill="auto"/>
            <w:noWrap/>
            <w:vAlign w:val="center"/>
          </w:tcPr>
          <w:p w14:paraId="051AFBF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1,3</w:t>
            </w:r>
          </w:p>
        </w:tc>
        <w:tc>
          <w:tcPr>
            <w:tcW w:w="842" w:type="dxa"/>
            <w:tcBorders>
              <w:top w:val="nil"/>
              <w:left w:val="nil"/>
              <w:bottom w:val="single" w:sz="4" w:space="0" w:color="auto"/>
              <w:right w:val="single" w:sz="4" w:space="0" w:color="auto"/>
            </w:tcBorders>
            <w:shd w:val="clear" w:color="auto" w:fill="auto"/>
            <w:noWrap/>
            <w:vAlign w:val="center"/>
          </w:tcPr>
          <w:p w14:paraId="774156E5"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20AF8E6C"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w:t>
            </w:r>
          </w:p>
        </w:tc>
        <w:tc>
          <w:tcPr>
            <w:tcW w:w="843" w:type="dxa"/>
            <w:tcBorders>
              <w:top w:val="nil"/>
              <w:left w:val="nil"/>
              <w:bottom w:val="single" w:sz="4" w:space="0" w:color="auto"/>
              <w:right w:val="single" w:sz="4" w:space="0" w:color="auto"/>
            </w:tcBorders>
            <w:shd w:val="clear" w:color="auto" w:fill="auto"/>
            <w:noWrap/>
            <w:vAlign w:val="center"/>
          </w:tcPr>
          <w:p w14:paraId="09F78933"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98%</w:t>
            </w:r>
          </w:p>
        </w:tc>
      </w:tr>
      <w:tr w:rsidR="000B0C16" w:rsidRPr="00D665F2" w14:paraId="52509A0B" w14:textId="77777777" w:rsidTr="008E68AB">
        <w:trPr>
          <w:trHeight w:val="430"/>
        </w:trPr>
        <w:tc>
          <w:tcPr>
            <w:tcW w:w="2386" w:type="dxa"/>
            <w:tcBorders>
              <w:top w:val="nil"/>
              <w:left w:val="single" w:sz="4" w:space="0" w:color="auto"/>
              <w:bottom w:val="single" w:sz="4" w:space="0" w:color="auto"/>
              <w:right w:val="single" w:sz="4" w:space="0" w:color="auto"/>
            </w:tcBorders>
            <w:shd w:val="clear" w:color="auto" w:fill="DBF6B9" w:themeFill="accent3" w:themeFillTint="66"/>
            <w:vAlign w:val="center"/>
          </w:tcPr>
          <w:p w14:paraId="3F8DB1B8" w14:textId="789BAA82" w:rsidR="000B0C16" w:rsidRPr="00D665F2" w:rsidRDefault="006B3DF7" w:rsidP="008E68AB">
            <w:pPr>
              <w:widowControl/>
              <w:ind w:firstLine="0"/>
              <w:jc w:val="left"/>
              <w:rPr>
                <w:color w:val="FF0000"/>
                <w:sz w:val="18"/>
                <w:szCs w:val="18"/>
                <w:lang w:eastAsia="ru-RU"/>
              </w:rPr>
            </w:pPr>
            <w:r>
              <w:rPr>
                <w:color w:val="333333"/>
                <w:sz w:val="18"/>
                <w:szCs w:val="18"/>
              </w:rPr>
              <w:t>«</w:t>
            </w:r>
            <w:r w:rsidR="000B0C16" w:rsidRPr="00D665F2">
              <w:rPr>
                <w:color w:val="333333"/>
                <w:sz w:val="18"/>
                <w:szCs w:val="18"/>
              </w:rPr>
              <w:t>Международная кооперация и экспорт</w:t>
            </w:r>
            <w:r>
              <w:rPr>
                <w:color w:val="333333"/>
                <w:sz w:val="18"/>
                <w:szCs w:val="18"/>
              </w:rPr>
              <w:t>»</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39E7B3D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11,3</w:t>
            </w:r>
          </w:p>
        </w:tc>
        <w:tc>
          <w:tcPr>
            <w:tcW w:w="983" w:type="dxa"/>
            <w:tcBorders>
              <w:top w:val="nil"/>
              <w:left w:val="nil"/>
              <w:bottom w:val="single" w:sz="4" w:space="0" w:color="auto"/>
              <w:right w:val="single" w:sz="4" w:space="0" w:color="auto"/>
            </w:tcBorders>
            <w:shd w:val="clear" w:color="auto" w:fill="DBF6B9" w:themeFill="accent3" w:themeFillTint="66"/>
            <w:noWrap/>
            <w:vAlign w:val="center"/>
          </w:tcPr>
          <w:p w14:paraId="08EB0A5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11,2</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3BF846CE"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0,1</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3EC12434"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11,3</w:t>
            </w:r>
          </w:p>
        </w:tc>
        <w:tc>
          <w:tcPr>
            <w:tcW w:w="949" w:type="dxa"/>
            <w:tcBorders>
              <w:top w:val="nil"/>
              <w:left w:val="nil"/>
              <w:bottom w:val="single" w:sz="4" w:space="0" w:color="auto"/>
              <w:right w:val="single" w:sz="4" w:space="0" w:color="auto"/>
            </w:tcBorders>
            <w:shd w:val="clear" w:color="auto" w:fill="DBF6B9" w:themeFill="accent3" w:themeFillTint="66"/>
            <w:noWrap/>
            <w:vAlign w:val="center"/>
          </w:tcPr>
          <w:p w14:paraId="1296B0C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11,2</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3A08FD5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0,1</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05EACE4B"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1BF8B9C3"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DBF6B9" w:themeFill="accent3" w:themeFillTint="66"/>
            <w:noWrap/>
            <w:vAlign w:val="center"/>
          </w:tcPr>
          <w:p w14:paraId="2FFB2F41"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98%</w:t>
            </w:r>
          </w:p>
        </w:tc>
      </w:tr>
      <w:tr w:rsidR="000B0C16" w:rsidRPr="00D665F2" w14:paraId="56459D6F" w14:textId="77777777" w:rsidTr="008E68AB">
        <w:trPr>
          <w:trHeight w:val="508"/>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79327222" w14:textId="5A0CDF59" w:rsidR="000B0C16" w:rsidRPr="00D665F2" w:rsidRDefault="000B0C16" w:rsidP="008E68AB">
            <w:pPr>
              <w:widowControl/>
              <w:ind w:firstLine="0"/>
              <w:jc w:val="left"/>
              <w:rPr>
                <w:b/>
                <w:bCs/>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Системные меры развития международной кооперации и экспорта</w:t>
            </w:r>
            <w:r w:rsidR="006B3DF7">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16FE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11,3</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939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11,2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1A556"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0,1</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089AB"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11,3</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E2C2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11,2</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0B580"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0,1</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FC78A"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6E362"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DEFCE"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88%</w:t>
            </w:r>
          </w:p>
        </w:tc>
      </w:tr>
      <w:tr w:rsidR="000B0C16" w:rsidRPr="00D665F2" w14:paraId="3F2A2C83" w14:textId="77777777" w:rsidTr="008E68AB">
        <w:trPr>
          <w:trHeight w:val="353"/>
        </w:trPr>
        <w:tc>
          <w:tcPr>
            <w:tcW w:w="2386" w:type="dxa"/>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tcPr>
          <w:p w14:paraId="47B57EDE" w14:textId="0BF79120" w:rsidR="000B0C16" w:rsidRPr="00D665F2" w:rsidRDefault="006B3DF7" w:rsidP="008E68AB">
            <w:pPr>
              <w:widowControl/>
              <w:ind w:firstLine="0"/>
              <w:jc w:val="left"/>
              <w:rPr>
                <w:color w:val="FF0000"/>
                <w:sz w:val="18"/>
                <w:szCs w:val="18"/>
                <w:lang w:eastAsia="ru-RU"/>
              </w:rPr>
            </w:pPr>
            <w:r>
              <w:rPr>
                <w:color w:val="333333"/>
                <w:sz w:val="18"/>
                <w:szCs w:val="18"/>
              </w:rPr>
              <w:t>«</w:t>
            </w:r>
            <w:r w:rsidR="000B0C16" w:rsidRPr="00D665F2">
              <w:rPr>
                <w:color w:val="333333"/>
                <w:sz w:val="18"/>
                <w:szCs w:val="18"/>
              </w:rPr>
              <w:t>Туризм и гостеприимство</w:t>
            </w:r>
            <w:r>
              <w:rPr>
                <w:color w:val="333333"/>
                <w:sz w:val="18"/>
                <w:szCs w:val="18"/>
              </w:rPr>
              <w:t>»</w:t>
            </w:r>
          </w:p>
        </w:tc>
        <w:tc>
          <w:tcPr>
            <w:tcW w:w="982"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18D0F8C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156,3</w:t>
            </w:r>
          </w:p>
        </w:tc>
        <w:tc>
          <w:tcPr>
            <w:tcW w:w="983"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23E55E0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154,7</w:t>
            </w:r>
          </w:p>
        </w:tc>
        <w:tc>
          <w:tcPr>
            <w:tcW w:w="841"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31555464"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1,6</w:t>
            </w:r>
          </w:p>
        </w:tc>
        <w:tc>
          <w:tcPr>
            <w:tcW w:w="982"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319340FE"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156,3</w:t>
            </w:r>
          </w:p>
        </w:tc>
        <w:tc>
          <w:tcPr>
            <w:tcW w:w="949"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793120B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154,7</w:t>
            </w:r>
          </w:p>
        </w:tc>
        <w:tc>
          <w:tcPr>
            <w:tcW w:w="842"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6CC21C5F"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1,6</w:t>
            </w:r>
          </w:p>
        </w:tc>
        <w:tc>
          <w:tcPr>
            <w:tcW w:w="842"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6DC75262"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12B06CC5"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nil"/>
              <w:bottom w:val="single" w:sz="4" w:space="0" w:color="auto"/>
              <w:right w:val="single" w:sz="4" w:space="0" w:color="auto"/>
            </w:tcBorders>
            <w:shd w:val="clear" w:color="auto" w:fill="DBF6B9" w:themeFill="accent3" w:themeFillTint="66"/>
            <w:noWrap/>
            <w:vAlign w:val="center"/>
          </w:tcPr>
          <w:p w14:paraId="15497C17"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A367B85" w14:textId="77777777" w:rsidTr="008E68AB">
        <w:trPr>
          <w:trHeight w:val="763"/>
        </w:trPr>
        <w:tc>
          <w:tcPr>
            <w:tcW w:w="2386" w:type="dxa"/>
            <w:tcBorders>
              <w:top w:val="nil"/>
              <w:left w:val="single" w:sz="4" w:space="0" w:color="auto"/>
              <w:bottom w:val="single" w:sz="4" w:space="0" w:color="auto"/>
              <w:right w:val="single" w:sz="4" w:space="0" w:color="auto"/>
            </w:tcBorders>
            <w:shd w:val="clear" w:color="auto" w:fill="auto"/>
            <w:vAlign w:val="center"/>
          </w:tcPr>
          <w:p w14:paraId="4FFA733B" w14:textId="1AC99988"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Создание номерного фонда, инфраструктуры и новых точек притяжения</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56238FE0"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156,3</w:t>
            </w:r>
          </w:p>
        </w:tc>
        <w:tc>
          <w:tcPr>
            <w:tcW w:w="983" w:type="dxa"/>
            <w:tcBorders>
              <w:top w:val="nil"/>
              <w:left w:val="nil"/>
              <w:bottom w:val="single" w:sz="4" w:space="0" w:color="auto"/>
              <w:right w:val="single" w:sz="4" w:space="0" w:color="auto"/>
            </w:tcBorders>
            <w:shd w:val="clear" w:color="auto" w:fill="auto"/>
            <w:noWrap/>
            <w:vAlign w:val="center"/>
          </w:tcPr>
          <w:p w14:paraId="2D535E5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154,7</w:t>
            </w:r>
          </w:p>
        </w:tc>
        <w:tc>
          <w:tcPr>
            <w:tcW w:w="841" w:type="dxa"/>
            <w:tcBorders>
              <w:top w:val="nil"/>
              <w:left w:val="nil"/>
              <w:bottom w:val="single" w:sz="4" w:space="0" w:color="auto"/>
              <w:right w:val="single" w:sz="4" w:space="0" w:color="auto"/>
            </w:tcBorders>
            <w:shd w:val="clear" w:color="auto" w:fill="auto"/>
            <w:noWrap/>
            <w:vAlign w:val="center"/>
          </w:tcPr>
          <w:p w14:paraId="7257F56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1,6</w:t>
            </w:r>
          </w:p>
        </w:tc>
        <w:tc>
          <w:tcPr>
            <w:tcW w:w="982" w:type="dxa"/>
            <w:tcBorders>
              <w:top w:val="nil"/>
              <w:left w:val="nil"/>
              <w:bottom w:val="single" w:sz="4" w:space="0" w:color="auto"/>
              <w:right w:val="single" w:sz="4" w:space="0" w:color="auto"/>
            </w:tcBorders>
            <w:shd w:val="clear" w:color="auto" w:fill="auto"/>
            <w:noWrap/>
            <w:vAlign w:val="center"/>
          </w:tcPr>
          <w:p w14:paraId="336DF4D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156,3</w:t>
            </w:r>
          </w:p>
        </w:tc>
        <w:tc>
          <w:tcPr>
            <w:tcW w:w="949" w:type="dxa"/>
            <w:tcBorders>
              <w:top w:val="nil"/>
              <w:left w:val="nil"/>
              <w:bottom w:val="single" w:sz="4" w:space="0" w:color="auto"/>
              <w:right w:val="single" w:sz="4" w:space="0" w:color="auto"/>
            </w:tcBorders>
            <w:shd w:val="clear" w:color="auto" w:fill="auto"/>
            <w:noWrap/>
            <w:vAlign w:val="center"/>
          </w:tcPr>
          <w:p w14:paraId="1C56AB28"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154,7</w:t>
            </w:r>
          </w:p>
        </w:tc>
        <w:tc>
          <w:tcPr>
            <w:tcW w:w="842" w:type="dxa"/>
            <w:tcBorders>
              <w:top w:val="nil"/>
              <w:left w:val="nil"/>
              <w:bottom w:val="single" w:sz="4" w:space="0" w:color="auto"/>
              <w:right w:val="single" w:sz="4" w:space="0" w:color="auto"/>
            </w:tcBorders>
            <w:shd w:val="clear" w:color="auto" w:fill="auto"/>
            <w:noWrap/>
            <w:vAlign w:val="center"/>
          </w:tcPr>
          <w:p w14:paraId="43F0E935"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1,6</w:t>
            </w:r>
          </w:p>
        </w:tc>
        <w:tc>
          <w:tcPr>
            <w:tcW w:w="842" w:type="dxa"/>
            <w:tcBorders>
              <w:top w:val="nil"/>
              <w:left w:val="nil"/>
              <w:bottom w:val="single" w:sz="4" w:space="0" w:color="auto"/>
              <w:right w:val="single" w:sz="4" w:space="0" w:color="auto"/>
            </w:tcBorders>
            <w:shd w:val="clear" w:color="auto" w:fill="auto"/>
            <w:noWrap/>
            <w:vAlign w:val="center"/>
          </w:tcPr>
          <w:p w14:paraId="0C2F81A1"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158CBC22"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531A1222"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339DA35" w14:textId="77777777" w:rsidTr="008E68AB">
        <w:trPr>
          <w:trHeight w:val="646"/>
        </w:trPr>
        <w:tc>
          <w:tcPr>
            <w:tcW w:w="2386" w:type="dxa"/>
            <w:tcBorders>
              <w:top w:val="nil"/>
              <w:left w:val="single" w:sz="4" w:space="0" w:color="auto"/>
              <w:bottom w:val="single" w:sz="4" w:space="0" w:color="auto"/>
              <w:right w:val="single" w:sz="4" w:space="0" w:color="auto"/>
            </w:tcBorders>
            <w:shd w:val="clear" w:color="auto" w:fill="DBF6B9" w:themeFill="accent3" w:themeFillTint="66"/>
            <w:vAlign w:val="center"/>
          </w:tcPr>
          <w:p w14:paraId="072D56A4" w14:textId="0F108C01" w:rsidR="000B0C16" w:rsidRPr="00D665F2" w:rsidRDefault="006B3DF7" w:rsidP="008E68AB">
            <w:pPr>
              <w:widowControl/>
              <w:ind w:firstLine="0"/>
              <w:jc w:val="left"/>
              <w:rPr>
                <w:color w:val="FF0000"/>
                <w:sz w:val="18"/>
                <w:szCs w:val="18"/>
                <w:lang w:eastAsia="ru-RU"/>
              </w:rPr>
            </w:pPr>
            <w:r>
              <w:rPr>
                <w:color w:val="333333"/>
                <w:sz w:val="18"/>
                <w:szCs w:val="18"/>
              </w:rPr>
              <w:t>«</w:t>
            </w:r>
            <w:r w:rsidR="000B0C16" w:rsidRPr="00D665F2">
              <w:rPr>
                <w:color w:val="333333"/>
                <w:sz w:val="18"/>
                <w:szCs w:val="18"/>
              </w:rPr>
              <w:t>Экономика данных и цифровая трансформация государства</w:t>
            </w:r>
            <w:r>
              <w:rPr>
                <w:color w:val="333333"/>
                <w:sz w:val="18"/>
                <w:szCs w:val="18"/>
              </w:rPr>
              <w:t>»</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7161835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35,2</w:t>
            </w:r>
          </w:p>
        </w:tc>
        <w:tc>
          <w:tcPr>
            <w:tcW w:w="983" w:type="dxa"/>
            <w:tcBorders>
              <w:top w:val="nil"/>
              <w:left w:val="nil"/>
              <w:bottom w:val="single" w:sz="4" w:space="0" w:color="auto"/>
              <w:right w:val="single" w:sz="4" w:space="0" w:color="auto"/>
            </w:tcBorders>
            <w:shd w:val="clear" w:color="auto" w:fill="DBF6B9" w:themeFill="accent3" w:themeFillTint="66"/>
            <w:noWrap/>
            <w:vAlign w:val="center"/>
          </w:tcPr>
          <w:p w14:paraId="44F81EBB"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7DBFD774"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35,2</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43B9701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35,2</w:t>
            </w:r>
          </w:p>
        </w:tc>
        <w:tc>
          <w:tcPr>
            <w:tcW w:w="949" w:type="dxa"/>
            <w:tcBorders>
              <w:top w:val="nil"/>
              <w:left w:val="nil"/>
              <w:bottom w:val="single" w:sz="4" w:space="0" w:color="auto"/>
              <w:right w:val="single" w:sz="4" w:space="0" w:color="auto"/>
            </w:tcBorders>
            <w:shd w:val="clear" w:color="auto" w:fill="DBF6B9" w:themeFill="accent3" w:themeFillTint="66"/>
            <w:noWrap/>
            <w:vAlign w:val="center"/>
          </w:tcPr>
          <w:p w14:paraId="3C0DA1AF"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7200780F"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35,2</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170ACE37"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1495C3B6"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w:t>
            </w:r>
          </w:p>
        </w:tc>
        <w:tc>
          <w:tcPr>
            <w:tcW w:w="843" w:type="dxa"/>
            <w:tcBorders>
              <w:top w:val="nil"/>
              <w:left w:val="nil"/>
              <w:bottom w:val="single" w:sz="4" w:space="0" w:color="auto"/>
              <w:right w:val="single" w:sz="4" w:space="0" w:color="auto"/>
            </w:tcBorders>
            <w:shd w:val="clear" w:color="auto" w:fill="DBF6B9" w:themeFill="accent3" w:themeFillTint="66"/>
            <w:noWrap/>
            <w:vAlign w:val="center"/>
          </w:tcPr>
          <w:p w14:paraId="5081EBA4"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6D7FA6BA" w14:textId="77777777" w:rsidTr="008E68AB">
        <w:trPr>
          <w:trHeight w:val="56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7D74DEBE" w14:textId="17AB7A55"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Цифровое государственное управление</w:t>
            </w:r>
            <w:r w:rsidR="006B3DF7">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227C5"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35,2</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C771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0EAD2"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35,2</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D48BC"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35,2</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C5B52"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8188D"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35,2</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2C92B"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C3855"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9FA30"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98DFDAB" w14:textId="77777777" w:rsidTr="008E68AB">
        <w:trPr>
          <w:trHeight w:val="270"/>
        </w:trPr>
        <w:tc>
          <w:tcPr>
            <w:tcW w:w="2386" w:type="dxa"/>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tcPr>
          <w:p w14:paraId="552C1C9D" w14:textId="4720306E" w:rsidR="000B0C16" w:rsidRPr="00D665F2" w:rsidRDefault="006B3DF7" w:rsidP="008E68AB">
            <w:pPr>
              <w:widowControl/>
              <w:ind w:firstLine="0"/>
              <w:jc w:val="left"/>
              <w:rPr>
                <w:b/>
                <w:bCs/>
                <w:color w:val="FF0000"/>
                <w:sz w:val="18"/>
                <w:szCs w:val="18"/>
                <w:lang w:eastAsia="ru-RU"/>
              </w:rPr>
            </w:pPr>
            <w:r>
              <w:rPr>
                <w:color w:val="333333"/>
                <w:sz w:val="18"/>
                <w:szCs w:val="18"/>
              </w:rPr>
              <w:t>«</w:t>
            </w:r>
            <w:r w:rsidR="000B0C16" w:rsidRPr="00D665F2">
              <w:rPr>
                <w:color w:val="333333"/>
                <w:sz w:val="18"/>
                <w:szCs w:val="18"/>
              </w:rPr>
              <w:t>Экологическое благополучие</w:t>
            </w:r>
            <w:r>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1852945F"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9,2</w:t>
            </w:r>
          </w:p>
        </w:tc>
        <w:tc>
          <w:tcPr>
            <w:tcW w:w="983"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3312B21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9,2</w:t>
            </w:r>
          </w:p>
        </w:tc>
        <w:tc>
          <w:tcPr>
            <w:tcW w:w="841"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6F47E5D0"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0,0</w:t>
            </w:r>
          </w:p>
        </w:tc>
        <w:tc>
          <w:tcPr>
            <w:tcW w:w="98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3448504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9,2</w:t>
            </w:r>
          </w:p>
        </w:tc>
        <w:tc>
          <w:tcPr>
            <w:tcW w:w="949"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553B927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9,2</w:t>
            </w:r>
          </w:p>
        </w:tc>
        <w:tc>
          <w:tcPr>
            <w:tcW w:w="84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696F0306"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0,0</w:t>
            </w:r>
          </w:p>
        </w:tc>
        <w:tc>
          <w:tcPr>
            <w:tcW w:w="84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62D3D991"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744E6817"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7EFC2114"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w:t>
            </w:r>
          </w:p>
        </w:tc>
      </w:tr>
      <w:tr w:rsidR="000B0C16" w:rsidRPr="00D665F2" w14:paraId="7B7506A5" w14:textId="77777777" w:rsidTr="008E68AB">
        <w:trPr>
          <w:trHeight w:val="414"/>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47495745" w14:textId="73F54E55"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Сохранение лесов</w:t>
            </w:r>
            <w:r w:rsidR="006B3DF7">
              <w:rPr>
                <w:color w:val="333333"/>
                <w:sz w:val="18"/>
                <w:szCs w:val="18"/>
              </w:rPr>
              <w:t>»</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63A5DD3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9,2</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6D24571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9,2</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262D7AC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39CBD5F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9,2</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5BDC755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9,2</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338E7A2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7BF1D594"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079B88AD"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74D71CB3"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w:t>
            </w:r>
          </w:p>
        </w:tc>
      </w:tr>
      <w:tr w:rsidR="000B0C16" w:rsidRPr="00D665F2" w14:paraId="066DD8EF" w14:textId="77777777" w:rsidTr="008E68AB">
        <w:trPr>
          <w:trHeight w:val="508"/>
        </w:trPr>
        <w:tc>
          <w:tcPr>
            <w:tcW w:w="2386" w:type="dxa"/>
            <w:tcBorders>
              <w:top w:val="nil"/>
              <w:left w:val="single" w:sz="4" w:space="0" w:color="auto"/>
              <w:bottom w:val="single" w:sz="4" w:space="0" w:color="auto"/>
              <w:right w:val="single" w:sz="4" w:space="0" w:color="auto"/>
            </w:tcBorders>
            <w:shd w:val="clear" w:color="auto" w:fill="DBF6B9" w:themeFill="accent3" w:themeFillTint="66"/>
            <w:vAlign w:val="center"/>
          </w:tcPr>
          <w:p w14:paraId="538CDF73" w14:textId="3F445600" w:rsidR="000B0C16" w:rsidRPr="00D665F2" w:rsidRDefault="006B3DF7" w:rsidP="008E68AB">
            <w:pPr>
              <w:widowControl/>
              <w:ind w:firstLine="0"/>
              <w:jc w:val="left"/>
              <w:rPr>
                <w:color w:val="FF0000"/>
                <w:sz w:val="18"/>
                <w:szCs w:val="18"/>
                <w:lang w:eastAsia="ru-RU"/>
              </w:rPr>
            </w:pPr>
            <w:r>
              <w:rPr>
                <w:color w:val="333333"/>
                <w:sz w:val="18"/>
                <w:szCs w:val="18"/>
              </w:rPr>
              <w:t>«</w:t>
            </w:r>
            <w:r w:rsidR="000B0C16" w:rsidRPr="00D665F2">
              <w:rPr>
                <w:color w:val="333333"/>
                <w:sz w:val="18"/>
                <w:szCs w:val="18"/>
              </w:rPr>
              <w:t>Эффективная и конкурентная экономика</w:t>
            </w:r>
            <w:r>
              <w:rPr>
                <w:color w:val="333333"/>
                <w:sz w:val="18"/>
                <w:szCs w:val="18"/>
              </w:rPr>
              <w:t>»</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5E653430"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32,3</w:t>
            </w:r>
          </w:p>
        </w:tc>
        <w:tc>
          <w:tcPr>
            <w:tcW w:w="983" w:type="dxa"/>
            <w:tcBorders>
              <w:top w:val="nil"/>
              <w:left w:val="nil"/>
              <w:bottom w:val="single" w:sz="4" w:space="0" w:color="auto"/>
              <w:right w:val="single" w:sz="4" w:space="0" w:color="auto"/>
            </w:tcBorders>
            <w:shd w:val="clear" w:color="auto" w:fill="DBF6B9" w:themeFill="accent3" w:themeFillTint="66"/>
            <w:noWrap/>
            <w:vAlign w:val="center"/>
          </w:tcPr>
          <w:p w14:paraId="6B90077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21,2</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0F7BBEB2"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11,1</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194F7162"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32,3</w:t>
            </w:r>
          </w:p>
        </w:tc>
        <w:tc>
          <w:tcPr>
            <w:tcW w:w="949" w:type="dxa"/>
            <w:tcBorders>
              <w:top w:val="nil"/>
              <w:left w:val="nil"/>
              <w:bottom w:val="single" w:sz="4" w:space="0" w:color="auto"/>
              <w:right w:val="single" w:sz="4" w:space="0" w:color="auto"/>
            </w:tcBorders>
            <w:shd w:val="clear" w:color="auto" w:fill="DBF6B9" w:themeFill="accent3" w:themeFillTint="66"/>
            <w:noWrap/>
            <w:vAlign w:val="center"/>
          </w:tcPr>
          <w:p w14:paraId="17BD715B"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21,2</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59B25EBD"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11,1</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2AE958B8"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54FD5F70"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DBF6B9" w:themeFill="accent3" w:themeFillTint="66"/>
            <w:noWrap/>
            <w:vAlign w:val="center"/>
          </w:tcPr>
          <w:p w14:paraId="1743284D"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3472D247" w14:textId="77777777" w:rsidTr="008E68AB">
        <w:trPr>
          <w:trHeight w:val="508"/>
        </w:trPr>
        <w:tc>
          <w:tcPr>
            <w:tcW w:w="2386" w:type="dxa"/>
            <w:tcBorders>
              <w:top w:val="nil"/>
              <w:left w:val="single" w:sz="4" w:space="0" w:color="auto"/>
              <w:bottom w:val="single" w:sz="4" w:space="0" w:color="auto"/>
              <w:right w:val="single" w:sz="4" w:space="0" w:color="auto"/>
            </w:tcBorders>
            <w:shd w:val="clear" w:color="auto" w:fill="auto"/>
            <w:vAlign w:val="center"/>
          </w:tcPr>
          <w:p w14:paraId="3F27FCD3" w14:textId="64BD62AB"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Малое и среднее предпринимательство и поддержка индивидуальной предпринимательской инициативы</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7C1B06B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30,3</w:t>
            </w:r>
          </w:p>
        </w:tc>
        <w:tc>
          <w:tcPr>
            <w:tcW w:w="983" w:type="dxa"/>
            <w:tcBorders>
              <w:top w:val="nil"/>
              <w:left w:val="nil"/>
              <w:bottom w:val="single" w:sz="4" w:space="0" w:color="auto"/>
              <w:right w:val="single" w:sz="4" w:space="0" w:color="auto"/>
            </w:tcBorders>
            <w:shd w:val="clear" w:color="auto" w:fill="auto"/>
            <w:noWrap/>
            <w:vAlign w:val="center"/>
          </w:tcPr>
          <w:p w14:paraId="33DE6391"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21,2</w:t>
            </w:r>
          </w:p>
        </w:tc>
        <w:tc>
          <w:tcPr>
            <w:tcW w:w="841" w:type="dxa"/>
            <w:tcBorders>
              <w:top w:val="nil"/>
              <w:left w:val="nil"/>
              <w:bottom w:val="single" w:sz="4" w:space="0" w:color="auto"/>
              <w:right w:val="single" w:sz="4" w:space="0" w:color="auto"/>
            </w:tcBorders>
            <w:shd w:val="clear" w:color="auto" w:fill="auto"/>
            <w:noWrap/>
            <w:vAlign w:val="center"/>
          </w:tcPr>
          <w:p w14:paraId="759E828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9,1</w:t>
            </w:r>
          </w:p>
        </w:tc>
        <w:tc>
          <w:tcPr>
            <w:tcW w:w="982" w:type="dxa"/>
            <w:tcBorders>
              <w:top w:val="nil"/>
              <w:left w:val="nil"/>
              <w:bottom w:val="single" w:sz="4" w:space="0" w:color="auto"/>
              <w:right w:val="single" w:sz="4" w:space="0" w:color="auto"/>
            </w:tcBorders>
            <w:shd w:val="clear" w:color="auto" w:fill="auto"/>
            <w:noWrap/>
            <w:vAlign w:val="center"/>
          </w:tcPr>
          <w:p w14:paraId="5D02282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30,3</w:t>
            </w:r>
          </w:p>
        </w:tc>
        <w:tc>
          <w:tcPr>
            <w:tcW w:w="949" w:type="dxa"/>
            <w:tcBorders>
              <w:top w:val="nil"/>
              <w:left w:val="nil"/>
              <w:bottom w:val="single" w:sz="4" w:space="0" w:color="auto"/>
              <w:right w:val="single" w:sz="4" w:space="0" w:color="auto"/>
            </w:tcBorders>
            <w:shd w:val="clear" w:color="auto" w:fill="auto"/>
            <w:noWrap/>
            <w:vAlign w:val="center"/>
          </w:tcPr>
          <w:p w14:paraId="36CAE8C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21,2</w:t>
            </w:r>
          </w:p>
        </w:tc>
        <w:tc>
          <w:tcPr>
            <w:tcW w:w="842" w:type="dxa"/>
            <w:tcBorders>
              <w:top w:val="nil"/>
              <w:left w:val="nil"/>
              <w:bottom w:val="single" w:sz="4" w:space="0" w:color="auto"/>
              <w:right w:val="single" w:sz="4" w:space="0" w:color="auto"/>
            </w:tcBorders>
            <w:shd w:val="clear" w:color="auto" w:fill="auto"/>
            <w:noWrap/>
            <w:vAlign w:val="center"/>
          </w:tcPr>
          <w:p w14:paraId="21513C97"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9,1</w:t>
            </w:r>
          </w:p>
        </w:tc>
        <w:tc>
          <w:tcPr>
            <w:tcW w:w="842" w:type="dxa"/>
            <w:tcBorders>
              <w:top w:val="nil"/>
              <w:left w:val="nil"/>
              <w:bottom w:val="single" w:sz="4" w:space="0" w:color="auto"/>
              <w:right w:val="single" w:sz="4" w:space="0" w:color="auto"/>
            </w:tcBorders>
            <w:shd w:val="clear" w:color="auto" w:fill="auto"/>
            <w:noWrap/>
            <w:vAlign w:val="center"/>
          </w:tcPr>
          <w:p w14:paraId="448E30F7"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1DF951D8"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00C58458"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02A73E3D" w14:textId="77777777" w:rsidTr="008E68AB">
        <w:trPr>
          <w:trHeight w:val="456"/>
        </w:trPr>
        <w:tc>
          <w:tcPr>
            <w:tcW w:w="2386" w:type="dxa"/>
            <w:tcBorders>
              <w:top w:val="nil"/>
              <w:left w:val="single" w:sz="4" w:space="0" w:color="auto"/>
              <w:bottom w:val="single" w:sz="4" w:space="0" w:color="auto"/>
              <w:right w:val="single" w:sz="4" w:space="0" w:color="auto"/>
            </w:tcBorders>
            <w:shd w:val="clear" w:color="auto" w:fill="auto"/>
            <w:vAlign w:val="center"/>
          </w:tcPr>
          <w:p w14:paraId="33F9AB03" w14:textId="57F81931"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Производительность труда</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0C22606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2,0</w:t>
            </w:r>
          </w:p>
        </w:tc>
        <w:tc>
          <w:tcPr>
            <w:tcW w:w="983" w:type="dxa"/>
            <w:tcBorders>
              <w:top w:val="nil"/>
              <w:left w:val="nil"/>
              <w:bottom w:val="single" w:sz="4" w:space="0" w:color="auto"/>
              <w:right w:val="single" w:sz="4" w:space="0" w:color="auto"/>
            </w:tcBorders>
            <w:shd w:val="clear" w:color="auto" w:fill="auto"/>
            <w:noWrap/>
            <w:vAlign w:val="center"/>
          </w:tcPr>
          <w:p w14:paraId="1DDA1EF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1" w:type="dxa"/>
            <w:tcBorders>
              <w:top w:val="nil"/>
              <w:left w:val="nil"/>
              <w:bottom w:val="single" w:sz="4" w:space="0" w:color="auto"/>
              <w:right w:val="single" w:sz="4" w:space="0" w:color="auto"/>
            </w:tcBorders>
            <w:shd w:val="clear" w:color="auto" w:fill="auto"/>
            <w:noWrap/>
            <w:vAlign w:val="center"/>
          </w:tcPr>
          <w:p w14:paraId="53E38286"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2,0</w:t>
            </w:r>
          </w:p>
        </w:tc>
        <w:tc>
          <w:tcPr>
            <w:tcW w:w="982" w:type="dxa"/>
            <w:tcBorders>
              <w:top w:val="nil"/>
              <w:left w:val="nil"/>
              <w:bottom w:val="single" w:sz="4" w:space="0" w:color="auto"/>
              <w:right w:val="single" w:sz="4" w:space="0" w:color="auto"/>
            </w:tcBorders>
            <w:shd w:val="clear" w:color="auto" w:fill="auto"/>
            <w:noWrap/>
            <w:vAlign w:val="center"/>
          </w:tcPr>
          <w:p w14:paraId="5A13301F"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2,0</w:t>
            </w:r>
          </w:p>
        </w:tc>
        <w:tc>
          <w:tcPr>
            <w:tcW w:w="949" w:type="dxa"/>
            <w:tcBorders>
              <w:top w:val="nil"/>
              <w:left w:val="nil"/>
              <w:bottom w:val="single" w:sz="4" w:space="0" w:color="auto"/>
              <w:right w:val="single" w:sz="4" w:space="0" w:color="auto"/>
            </w:tcBorders>
            <w:shd w:val="clear" w:color="auto" w:fill="auto"/>
            <w:noWrap/>
            <w:vAlign w:val="center"/>
          </w:tcPr>
          <w:p w14:paraId="2D2A0AE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0,0</w:t>
            </w:r>
          </w:p>
        </w:tc>
        <w:tc>
          <w:tcPr>
            <w:tcW w:w="842" w:type="dxa"/>
            <w:tcBorders>
              <w:top w:val="nil"/>
              <w:left w:val="nil"/>
              <w:bottom w:val="single" w:sz="4" w:space="0" w:color="auto"/>
              <w:right w:val="single" w:sz="4" w:space="0" w:color="auto"/>
            </w:tcBorders>
            <w:shd w:val="clear" w:color="auto" w:fill="auto"/>
            <w:noWrap/>
            <w:vAlign w:val="center"/>
          </w:tcPr>
          <w:p w14:paraId="40F0FA23"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2,0</w:t>
            </w:r>
          </w:p>
        </w:tc>
        <w:tc>
          <w:tcPr>
            <w:tcW w:w="842" w:type="dxa"/>
            <w:tcBorders>
              <w:top w:val="nil"/>
              <w:left w:val="nil"/>
              <w:bottom w:val="single" w:sz="4" w:space="0" w:color="auto"/>
              <w:right w:val="single" w:sz="4" w:space="0" w:color="auto"/>
            </w:tcBorders>
            <w:shd w:val="clear" w:color="auto" w:fill="auto"/>
            <w:noWrap/>
            <w:vAlign w:val="center"/>
          </w:tcPr>
          <w:p w14:paraId="77B8EFB9"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0CD17256"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w:t>
            </w:r>
          </w:p>
        </w:tc>
        <w:tc>
          <w:tcPr>
            <w:tcW w:w="843" w:type="dxa"/>
            <w:tcBorders>
              <w:top w:val="nil"/>
              <w:left w:val="nil"/>
              <w:bottom w:val="single" w:sz="4" w:space="0" w:color="auto"/>
              <w:right w:val="single" w:sz="4" w:space="0" w:color="auto"/>
            </w:tcBorders>
            <w:shd w:val="clear" w:color="auto" w:fill="auto"/>
            <w:noWrap/>
            <w:vAlign w:val="center"/>
          </w:tcPr>
          <w:p w14:paraId="5A1C16E5"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01B93A11" w14:textId="77777777" w:rsidTr="008E68AB">
        <w:trPr>
          <w:trHeight w:val="279"/>
        </w:trPr>
        <w:tc>
          <w:tcPr>
            <w:tcW w:w="2386" w:type="dxa"/>
            <w:tcBorders>
              <w:top w:val="nil"/>
              <w:left w:val="single" w:sz="4" w:space="0" w:color="auto"/>
              <w:bottom w:val="single" w:sz="4" w:space="0" w:color="auto"/>
              <w:right w:val="single" w:sz="4" w:space="0" w:color="auto"/>
            </w:tcBorders>
            <w:shd w:val="clear" w:color="auto" w:fill="DBF6B9" w:themeFill="accent3" w:themeFillTint="66"/>
            <w:vAlign w:val="center"/>
          </w:tcPr>
          <w:p w14:paraId="650B64FA" w14:textId="1CF93DAC" w:rsidR="000B0C16" w:rsidRPr="00D665F2" w:rsidRDefault="006B3DF7" w:rsidP="008E68AB">
            <w:pPr>
              <w:widowControl/>
              <w:ind w:firstLine="0"/>
              <w:jc w:val="left"/>
              <w:rPr>
                <w:b/>
                <w:bCs/>
                <w:color w:val="FF0000"/>
                <w:sz w:val="18"/>
                <w:szCs w:val="18"/>
                <w:lang w:eastAsia="ru-RU"/>
              </w:rPr>
            </w:pPr>
            <w:r>
              <w:rPr>
                <w:color w:val="333333"/>
                <w:sz w:val="18"/>
                <w:szCs w:val="18"/>
              </w:rPr>
              <w:t>«</w:t>
            </w:r>
            <w:r w:rsidR="000B0C16" w:rsidRPr="00D665F2">
              <w:rPr>
                <w:color w:val="333333"/>
                <w:sz w:val="18"/>
                <w:szCs w:val="18"/>
              </w:rPr>
              <w:t>Молодёжь и дети</w:t>
            </w:r>
            <w:r>
              <w:rPr>
                <w:color w:val="333333"/>
                <w:sz w:val="18"/>
                <w:szCs w:val="18"/>
              </w:rPr>
              <w:t>»</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012DBB38"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2 686,7</w:t>
            </w:r>
          </w:p>
        </w:tc>
        <w:tc>
          <w:tcPr>
            <w:tcW w:w="983" w:type="dxa"/>
            <w:tcBorders>
              <w:top w:val="nil"/>
              <w:left w:val="nil"/>
              <w:bottom w:val="single" w:sz="4" w:space="0" w:color="auto"/>
              <w:right w:val="single" w:sz="4" w:space="0" w:color="auto"/>
            </w:tcBorders>
            <w:shd w:val="clear" w:color="auto" w:fill="DBF6B9" w:themeFill="accent3" w:themeFillTint="66"/>
            <w:noWrap/>
            <w:vAlign w:val="center"/>
          </w:tcPr>
          <w:p w14:paraId="5274092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2 390,1</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488F93F4"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296,6</w:t>
            </w:r>
          </w:p>
        </w:tc>
        <w:tc>
          <w:tcPr>
            <w:tcW w:w="982" w:type="dxa"/>
            <w:tcBorders>
              <w:top w:val="nil"/>
              <w:left w:val="nil"/>
              <w:bottom w:val="single" w:sz="4" w:space="0" w:color="auto"/>
              <w:right w:val="single" w:sz="4" w:space="0" w:color="auto"/>
            </w:tcBorders>
            <w:shd w:val="clear" w:color="auto" w:fill="DBF6B9" w:themeFill="accent3" w:themeFillTint="66"/>
            <w:noWrap/>
            <w:vAlign w:val="center"/>
          </w:tcPr>
          <w:p w14:paraId="472BCFD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2 686,7</w:t>
            </w:r>
          </w:p>
        </w:tc>
        <w:tc>
          <w:tcPr>
            <w:tcW w:w="949" w:type="dxa"/>
            <w:tcBorders>
              <w:top w:val="nil"/>
              <w:left w:val="nil"/>
              <w:bottom w:val="single" w:sz="4" w:space="0" w:color="auto"/>
              <w:right w:val="single" w:sz="4" w:space="0" w:color="auto"/>
            </w:tcBorders>
            <w:shd w:val="clear" w:color="auto" w:fill="DBF6B9" w:themeFill="accent3" w:themeFillTint="66"/>
            <w:noWrap/>
            <w:vAlign w:val="center"/>
          </w:tcPr>
          <w:p w14:paraId="76D0F03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2 390,1</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489BBBD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296,6</w:t>
            </w:r>
          </w:p>
        </w:tc>
        <w:tc>
          <w:tcPr>
            <w:tcW w:w="842" w:type="dxa"/>
            <w:tcBorders>
              <w:top w:val="nil"/>
              <w:left w:val="nil"/>
              <w:bottom w:val="single" w:sz="4" w:space="0" w:color="auto"/>
              <w:right w:val="single" w:sz="4" w:space="0" w:color="auto"/>
            </w:tcBorders>
            <w:shd w:val="clear" w:color="auto" w:fill="DBF6B9" w:themeFill="accent3" w:themeFillTint="66"/>
            <w:noWrap/>
            <w:vAlign w:val="center"/>
          </w:tcPr>
          <w:p w14:paraId="1982869F"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DBF6B9" w:themeFill="accent3" w:themeFillTint="66"/>
            <w:noWrap/>
            <w:vAlign w:val="center"/>
          </w:tcPr>
          <w:p w14:paraId="3F732EDE"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DBF6B9" w:themeFill="accent3" w:themeFillTint="66"/>
            <w:noWrap/>
            <w:vAlign w:val="center"/>
          </w:tcPr>
          <w:p w14:paraId="40D9E1D3"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8AF3CDA" w14:textId="77777777" w:rsidTr="008E68AB">
        <w:trPr>
          <w:trHeight w:val="552"/>
        </w:trPr>
        <w:tc>
          <w:tcPr>
            <w:tcW w:w="2386" w:type="dxa"/>
            <w:tcBorders>
              <w:top w:val="nil"/>
              <w:left w:val="single" w:sz="4" w:space="0" w:color="auto"/>
              <w:bottom w:val="single" w:sz="4" w:space="0" w:color="auto"/>
              <w:right w:val="single" w:sz="4" w:space="0" w:color="auto"/>
            </w:tcBorders>
            <w:shd w:val="clear" w:color="auto" w:fill="auto"/>
            <w:vAlign w:val="center"/>
          </w:tcPr>
          <w:p w14:paraId="39F54C8F" w14:textId="66CB5F7A"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Россия - страна возможностей</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1286CE2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206,2</w:t>
            </w:r>
          </w:p>
        </w:tc>
        <w:tc>
          <w:tcPr>
            <w:tcW w:w="983" w:type="dxa"/>
            <w:tcBorders>
              <w:top w:val="nil"/>
              <w:left w:val="nil"/>
              <w:bottom w:val="single" w:sz="4" w:space="0" w:color="auto"/>
              <w:right w:val="single" w:sz="4" w:space="0" w:color="auto"/>
            </w:tcBorders>
            <w:shd w:val="clear" w:color="auto" w:fill="auto"/>
            <w:noWrap/>
            <w:vAlign w:val="center"/>
          </w:tcPr>
          <w:p w14:paraId="589EEA6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120,7</w:t>
            </w:r>
          </w:p>
        </w:tc>
        <w:tc>
          <w:tcPr>
            <w:tcW w:w="841" w:type="dxa"/>
            <w:tcBorders>
              <w:top w:val="nil"/>
              <w:left w:val="nil"/>
              <w:bottom w:val="single" w:sz="4" w:space="0" w:color="auto"/>
              <w:right w:val="single" w:sz="4" w:space="0" w:color="auto"/>
            </w:tcBorders>
            <w:shd w:val="clear" w:color="auto" w:fill="auto"/>
            <w:noWrap/>
            <w:vAlign w:val="center"/>
          </w:tcPr>
          <w:p w14:paraId="6394765E"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85,5</w:t>
            </w:r>
          </w:p>
        </w:tc>
        <w:tc>
          <w:tcPr>
            <w:tcW w:w="982" w:type="dxa"/>
            <w:tcBorders>
              <w:top w:val="nil"/>
              <w:left w:val="nil"/>
              <w:bottom w:val="single" w:sz="4" w:space="0" w:color="auto"/>
              <w:right w:val="single" w:sz="4" w:space="0" w:color="auto"/>
            </w:tcBorders>
            <w:shd w:val="clear" w:color="auto" w:fill="auto"/>
            <w:noWrap/>
            <w:vAlign w:val="center"/>
          </w:tcPr>
          <w:p w14:paraId="518DF06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206,2</w:t>
            </w:r>
          </w:p>
        </w:tc>
        <w:tc>
          <w:tcPr>
            <w:tcW w:w="949" w:type="dxa"/>
            <w:tcBorders>
              <w:top w:val="nil"/>
              <w:left w:val="nil"/>
              <w:bottom w:val="single" w:sz="4" w:space="0" w:color="auto"/>
              <w:right w:val="single" w:sz="4" w:space="0" w:color="auto"/>
            </w:tcBorders>
            <w:shd w:val="clear" w:color="auto" w:fill="auto"/>
            <w:noWrap/>
            <w:vAlign w:val="center"/>
          </w:tcPr>
          <w:p w14:paraId="4D4B993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120,7</w:t>
            </w:r>
          </w:p>
        </w:tc>
        <w:tc>
          <w:tcPr>
            <w:tcW w:w="842" w:type="dxa"/>
            <w:tcBorders>
              <w:top w:val="nil"/>
              <w:left w:val="nil"/>
              <w:bottom w:val="single" w:sz="4" w:space="0" w:color="auto"/>
              <w:right w:val="single" w:sz="4" w:space="0" w:color="auto"/>
            </w:tcBorders>
            <w:shd w:val="clear" w:color="auto" w:fill="auto"/>
            <w:noWrap/>
            <w:vAlign w:val="center"/>
          </w:tcPr>
          <w:p w14:paraId="6841ED5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85,5</w:t>
            </w:r>
          </w:p>
        </w:tc>
        <w:tc>
          <w:tcPr>
            <w:tcW w:w="842" w:type="dxa"/>
            <w:tcBorders>
              <w:top w:val="nil"/>
              <w:left w:val="nil"/>
              <w:bottom w:val="single" w:sz="4" w:space="0" w:color="auto"/>
              <w:right w:val="single" w:sz="4" w:space="0" w:color="auto"/>
            </w:tcBorders>
            <w:shd w:val="clear" w:color="auto" w:fill="auto"/>
            <w:noWrap/>
            <w:vAlign w:val="center"/>
          </w:tcPr>
          <w:p w14:paraId="443AB69D"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1B7C6B9F"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0F396A49"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67EEAED" w14:textId="77777777" w:rsidTr="008E68AB">
        <w:trPr>
          <w:trHeight w:val="763"/>
        </w:trPr>
        <w:tc>
          <w:tcPr>
            <w:tcW w:w="2386" w:type="dxa"/>
            <w:tcBorders>
              <w:top w:val="nil"/>
              <w:left w:val="single" w:sz="4" w:space="0" w:color="auto"/>
              <w:bottom w:val="single" w:sz="4" w:space="0" w:color="auto"/>
              <w:right w:val="single" w:sz="4" w:space="0" w:color="auto"/>
            </w:tcBorders>
            <w:shd w:val="clear" w:color="auto" w:fill="auto"/>
            <w:vAlign w:val="center"/>
          </w:tcPr>
          <w:p w14:paraId="65BE31DD" w14:textId="222F7141"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Мы вместе (Воспитание гармонично развитой личности)</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4C8BCDB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7,5</w:t>
            </w:r>
          </w:p>
        </w:tc>
        <w:tc>
          <w:tcPr>
            <w:tcW w:w="983" w:type="dxa"/>
            <w:tcBorders>
              <w:top w:val="nil"/>
              <w:left w:val="nil"/>
              <w:bottom w:val="single" w:sz="4" w:space="0" w:color="auto"/>
              <w:right w:val="single" w:sz="4" w:space="0" w:color="auto"/>
            </w:tcBorders>
            <w:shd w:val="clear" w:color="auto" w:fill="auto"/>
            <w:noWrap/>
            <w:vAlign w:val="center"/>
          </w:tcPr>
          <w:p w14:paraId="2A60BF6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7,4</w:t>
            </w:r>
          </w:p>
        </w:tc>
        <w:tc>
          <w:tcPr>
            <w:tcW w:w="841" w:type="dxa"/>
            <w:tcBorders>
              <w:top w:val="nil"/>
              <w:left w:val="nil"/>
              <w:bottom w:val="single" w:sz="4" w:space="0" w:color="auto"/>
              <w:right w:val="single" w:sz="4" w:space="0" w:color="auto"/>
            </w:tcBorders>
            <w:shd w:val="clear" w:color="auto" w:fill="auto"/>
            <w:noWrap/>
            <w:vAlign w:val="center"/>
          </w:tcPr>
          <w:p w14:paraId="5C9C846C"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0,1</w:t>
            </w:r>
          </w:p>
        </w:tc>
        <w:tc>
          <w:tcPr>
            <w:tcW w:w="982" w:type="dxa"/>
            <w:tcBorders>
              <w:top w:val="nil"/>
              <w:left w:val="nil"/>
              <w:bottom w:val="single" w:sz="4" w:space="0" w:color="auto"/>
              <w:right w:val="single" w:sz="4" w:space="0" w:color="auto"/>
            </w:tcBorders>
            <w:shd w:val="clear" w:color="auto" w:fill="auto"/>
            <w:noWrap/>
            <w:vAlign w:val="center"/>
          </w:tcPr>
          <w:p w14:paraId="7B911C8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7,5</w:t>
            </w:r>
          </w:p>
        </w:tc>
        <w:tc>
          <w:tcPr>
            <w:tcW w:w="949" w:type="dxa"/>
            <w:tcBorders>
              <w:top w:val="nil"/>
              <w:left w:val="nil"/>
              <w:bottom w:val="single" w:sz="4" w:space="0" w:color="auto"/>
              <w:right w:val="single" w:sz="4" w:space="0" w:color="auto"/>
            </w:tcBorders>
            <w:shd w:val="clear" w:color="auto" w:fill="auto"/>
            <w:noWrap/>
            <w:vAlign w:val="center"/>
          </w:tcPr>
          <w:p w14:paraId="0900DD4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7,4</w:t>
            </w:r>
          </w:p>
        </w:tc>
        <w:tc>
          <w:tcPr>
            <w:tcW w:w="842" w:type="dxa"/>
            <w:tcBorders>
              <w:top w:val="nil"/>
              <w:left w:val="nil"/>
              <w:bottom w:val="single" w:sz="4" w:space="0" w:color="auto"/>
              <w:right w:val="single" w:sz="4" w:space="0" w:color="auto"/>
            </w:tcBorders>
            <w:shd w:val="clear" w:color="auto" w:fill="auto"/>
            <w:noWrap/>
            <w:vAlign w:val="center"/>
          </w:tcPr>
          <w:p w14:paraId="01350206"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0,1</w:t>
            </w:r>
          </w:p>
        </w:tc>
        <w:tc>
          <w:tcPr>
            <w:tcW w:w="842" w:type="dxa"/>
            <w:tcBorders>
              <w:top w:val="nil"/>
              <w:left w:val="nil"/>
              <w:bottom w:val="single" w:sz="4" w:space="0" w:color="auto"/>
              <w:right w:val="single" w:sz="4" w:space="0" w:color="auto"/>
            </w:tcBorders>
            <w:shd w:val="clear" w:color="auto" w:fill="auto"/>
            <w:noWrap/>
            <w:vAlign w:val="center"/>
          </w:tcPr>
          <w:p w14:paraId="699B59DF"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07D3BAF9"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60B8A42B"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1A1268C" w14:textId="77777777" w:rsidTr="008E68AB">
        <w:trPr>
          <w:trHeight w:val="361"/>
        </w:trPr>
        <w:tc>
          <w:tcPr>
            <w:tcW w:w="2386" w:type="dxa"/>
            <w:tcBorders>
              <w:top w:val="nil"/>
              <w:left w:val="single" w:sz="4" w:space="0" w:color="auto"/>
              <w:bottom w:val="single" w:sz="4" w:space="0" w:color="auto"/>
              <w:right w:val="single" w:sz="4" w:space="0" w:color="auto"/>
            </w:tcBorders>
            <w:shd w:val="clear" w:color="auto" w:fill="auto"/>
            <w:vAlign w:val="center"/>
          </w:tcPr>
          <w:p w14:paraId="6E074FC0" w14:textId="2BC1364F"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Все лучшее детям</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298B67C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1 400,5</w:t>
            </w:r>
          </w:p>
        </w:tc>
        <w:tc>
          <w:tcPr>
            <w:tcW w:w="983" w:type="dxa"/>
            <w:tcBorders>
              <w:top w:val="nil"/>
              <w:left w:val="nil"/>
              <w:bottom w:val="single" w:sz="4" w:space="0" w:color="auto"/>
              <w:right w:val="single" w:sz="4" w:space="0" w:color="auto"/>
            </w:tcBorders>
            <w:shd w:val="clear" w:color="auto" w:fill="auto"/>
            <w:noWrap/>
            <w:vAlign w:val="center"/>
          </w:tcPr>
          <w:p w14:paraId="6419B81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1 192,6</w:t>
            </w:r>
          </w:p>
        </w:tc>
        <w:tc>
          <w:tcPr>
            <w:tcW w:w="841" w:type="dxa"/>
            <w:tcBorders>
              <w:top w:val="nil"/>
              <w:left w:val="nil"/>
              <w:bottom w:val="single" w:sz="4" w:space="0" w:color="auto"/>
              <w:right w:val="single" w:sz="4" w:space="0" w:color="auto"/>
            </w:tcBorders>
            <w:shd w:val="clear" w:color="auto" w:fill="auto"/>
            <w:noWrap/>
            <w:vAlign w:val="center"/>
          </w:tcPr>
          <w:p w14:paraId="49B7AF3B"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207,8</w:t>
            </w:r>
          </w:p>
        </w:tc>
        <w:tc>
          <w:tcPr>
            <w:tcW w:w="982" w:type="dxa"/>
            <w:tcBorders>
              <w:top w:val="nil"/>
              <w:left w:val="nil"/>
              <w:bottom w:val="single" w:sz="4" w:space="0" w:color="auto"/>
              <w:right w:val="single" w:sz="4" w:space="0" w:color="auto"/>
            </w:tcBorders>
            <w:shd w:val="clear" w:color="auto" w:fill="auto"/>
            <w:noWrap/>
            <w:vAlign w:val="center"/>
          </w:tcPr>
          <w:p w14:paraId="26CA4DB7"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1 400,4</w:t>
            </w:r>
          </w:p>
        </w:tc>
        <w:tc>
          <w:tcPr>
            <w:tcW w:w="949" w:type="dxa"/>
            <w:tcBorders>
              <w:top w:val="nil"/>
              <w:left w:val="nil"/>
              <w:bottom w:val="single" w:sz="4" w:space="0" w:color="auto"/>
              <w:right w:val="single" w:sz="4" w:space="0" w:color="auto"/>
            </w:tcBorders>
            <w:shd w:val="clear" w:color="auto" w:fill="auto"/>
            <w:noWrap/>
            <w:vAlign w:val="center"/>
          </w:tcPr>
          <w:p w14:paraId="3A1432CF"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1 192,6</w:t>
            </w:r>
          </w:p>
        </w:tc>
        <w:tc>
          <w:tcPr>
            <w:tcW w:w="842" w:type="dxa"/>
            <w:tcBorders>
              <w:top w:val="nil"/>
              <w:left w:val="nil"/>
              <w:bottom w:val="single" w:sz="4" w:space="0" w:color="auto"/>
              <w:right w:val="single" w:sz="4" w:space="0" w:color="auto"/>
            </w:tcBorders>
            <w:shd w:val="clear" w:color="auto" w:fill="auto"/>
            <w:noWrap/>
            <w:vAlign w:val="center"/>
          </w:tcPr>
          <w:p w14:paraId="33EDF40F"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207,8</w:t>
            </w:r>
          </w:p>
        </w:tc>
        <w:tc>
          <w:tcPr>
            <w:tcW w:w="842" w:type="dxa"/>
            <w:tcBorders>
              <w:top w:val="nil"/>
              <w:left w:val="nil"/>
              <w:bottom w:val="single" w:sz="4" w:space="0" w:color="auto"/>
              <w:right w:val="single" w:sz="4" w:space="0" w:color="auto"/>
            </w:tcBorders>
            <w:shd w:val="clear" w:color="auto" w:fill="auto"/>
            <w:noWrap/>
            <w:vAlign w:val="center"/>
          </w:tcPr>
          <w:p w14:paraId="4AB8BA84"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2BD83657"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20A98006"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59048D17" w14:textId="77777777" w:rsidTr="008E68AB">
        <w:trPr>
          <w:trHeight w:val="367"/>
        </w:trPr>
        <w:tc>
          <w:tcPr>
            <w:tcW w:w="2386" w:type="dxa"/>
            <w:tcBorders>
              <w:top w:val="nil"/>
              <w:left w:val="single" w:sz="4" w:space="0" w:color="auto"/>
              <w:bottom w:val="single" w:sz="4" w:space="0" w:color="auto"/>
              <w:right w:val="single" w:sz="4" w:space="0" w:color="auto"/>
            </w:tcBorders>
            <w:shd w:val="clear" w:color="auto" w:fill="auto"/>
            <w:vAlign w:val="center"/>
          </w:tcPr>
          <w:p w14:paraId="3E507D76" w14:textId="7337F64D" w:rsidR="000B0C16" w:rsidRPr="00D665F2" w:rsidRDefault="000B0C16" w:rsidP="008E68AB">
            <w:pPr>
              <w:widowControl/>
              <w:ind w:firstLine="0"/>
              <w:jc w:val="left"/>
              <w:rPr>
                <w:b/>
                <w:bCs/>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Педагоги и наставники</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30E9DEF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836,7</w:t>
            </w:r>
          </w:p>
        </w:tc>
        <w:tc>
          <w:tcPr>
            <w:tcW w:w="983" w:type="dxa"/>
            <w:tcBorders>
              <w:top w:val="nil"/>
              <w:left w:val="nil"/>
              <w:bottom w:val="single" w:sz="4" w:space="0" w:color="auto"/>
              <w:right w:val="single" w:sz="4" w:space="0" w:color="auto"/>
            </w:tcBorders>
            <w:shd w:val="clear" w:color="auto" w:fill="auto"/>
            <w:noWrap/>
            <w:vAlign w:val="center"/>
          </w:tcPr>
          <w:p w14:paraId="171BDEC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835,9</w:t>
            </w:r>
          </w:p>
        </w:tc>
        <w:tc>
          <w:tcPr>
            <w:tcW w:w="841" w:type="dxa"/>
            <w:tcBorders>
              <w:top w:val="nil"/>
              <w:left w:val="nil"/>
              <w:bottom w:val="single" w:sz="4" w:space="0" w:color="auto"/>
              <w:right w:val="single" w:sz="4" w:space="0" w:color="auto"/>
            </w:tcBorders>
            <w:shd w:val="clear" w:color="auto" w:fill="auto"/>
            <w:noWrap/>
            <w:vAlign w:val="center"/>
          </w:tcPr>
          <w:p w14:paraId="233D8C53"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0,8</w:t>
            </w:r>
          </w:p>
        </w:tc>
        <w:tc>
          <w:tcPr>
            <w:tcW w:w="982" w:type="dxa"/>
            <w:tcBorders>
              <w:top w:val="nil"/>
              <w:left w:val="nil"/>
              <w:bottom w:val="single" w:sz="4" w:space="0" w:color="auto"/>
              <w:right w:val="single" w:sz="4" w:space="0" w:color="auto"/>
            </w:tcBorders>
            <w:shd w:val="clear" w:color="auto" w:fill="auto"/>
            <w:noWrap/>
            <w:vAlign w:val="center"/>
          </w:tcPr>
          <w:p w14:paraId="0B3D0972"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836,7</w:t>
            </w:r>
          </w:p>
        </w:tc>
        <w:tc>
          <w:tcPr>
            <w:tcW w:w="949" w:type="dxa"/>
            <w:tcBorders>
              <w:top w:val="nil"/>
              <w:left w:val="nil"/>
              <w:bottom w:val="single" w:sz="4" w:space="0" w:color="auto"/>
              <w:right w:val="single" w:sz="4" w:space="0" w:color="auto"/>
            </w:tcBorders>
            <w:shd w:val="clear" w:color="auto" w:fill="auto"/>
            <w:noWrap/>
            <w:vAlign w:val="center"/>
          </w:tcPr>
          <w:p w14:paraId="3FA02438"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835,9</w:t>
            </w:r>
          </w:p>
        </w:tc>
        <w:tc>
          <w:tcPr>
            <w:tcW w:w="842" w:type="dxa"/>
            <w:tcBorders>
              <w:top w:val="nil"/>
              <w:left w:val="nil"/>
              <w:bottom w:val="single" w:sz="4" w:space="0" w:color="auto"/>
              <w:right w:val="single" w:sz="4" w:space="0" w:color="auto"/>
            </w:tcBorders>
            <w:shd w:val="clear" w:color="auto" w:fill="auto"/>
            <w:noWrap/>
            <w:vAlign w:val="center"/>
          </w:tcPr>
          <w:p w14:paraId="7D9A4EF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0,8</w:t>
            </w:r>
          </w:p>
        </w:tc>
        <w:tc>
          <w:tcPr>
            <w:tcW w:w="842" w:type="dxa"/>
            <w:tcBorders>
              <w:top w:val="nil"/>
              <w:left w:val="nil"/>
              <w:bottom w:val="single" w:sz="4" w:space="0" w:color="auto"/>
              <w:right w:val="single" w:sz="4" w:space="0" w:color="auto"/>
            </w:tcBorders>
            <w:shd w:val="clear" w:color="auto" w:fill="auto"/>
            <w:noWrap/>
            <w:vAlign w:val="center"/>
          </w:tcPr>
          <w:p w14:paraId="23D40C4F"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18E8FD8E"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3D53F5AC"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105%</w:t>
            </w:r>
          </w:p>
        </w:tc>
      </w:tr>
      <w:tr w:rsidR="000B0C16" w:rsidRPr="00D665F2" w14:paraId="3710D9C3" w14:textId="77777777" w:rsidTr="008E68AB">
        <w:trPr>
          <w:trHeight w:val="501"/>
        </w:trPr>
        <w:tc>
          <w:tcPr>
            <w:tcW w:w="2386" w:type="dxa"/>
            <w:tcBorders>
              <w:top w:val="nil"/>
              <w:left w:val="single" w:sz="4" w:space="0" w:color="auto"/>
              <w:bottom w:val="single" w:sz="4" w:space="0" w:color="auto"/>
              <w:right w:val="single" w:sz="4" w:space="0" w:color="auto"/>
            </w:tcBorders>
            <w:shd w:val="clear" w:color="auto" w:fill="auto"/>
            <w:vAlign w:val="center"/>
          </w:tcPr>
          <w:p w14:paraId="1EA5A1BF" w14:textId="01D76CD1"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proofErr w:type="spellStart"/>
            <w:r w:rsidRPr="00D665F2">
              <w:rPr>
                <w:color w:val="333333"/>
                <w:sz w:val="18"/>
                <w:szCs w:val="18"/>
              </w:rPr>
              <w:t>Профессионалитет</w:t>
            </w:r>
            <w:proofErr w:type="spellEnd"/>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533ACF90"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235,8</w:t>
            </w:r>
          </w:p>
        </w:tc>
        <w:tc>
          <w:tcPr>
            <w:tcW w:w="983" w:type="dxa"/>
            <w:tcBorders>
              <w:top w:val="nil"/>
              <w:left w:val="nil"/>
              <w:bottom w:val="single" w:sz="4" w:space="0" w:color="auto"/>
              <w:right w:val="single" w:sz="4" w:space="0" w:color="auto"/>
            </w:tcBorders>
            <w:shd w:val="clear" w:color="auto" w:fill="auto"/>
            <w:noWrap/>
            <w:vAlign w:val="center"/>
          </w:tcPr>
          <w:p w14:paraId="1239A37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233,5</w:t>
            </w:r>
          </w:p>
        </w:tc>
        <w:tc>
          <w:tcPr>
            <w:tcW w:w="841" w:type="dxa"/>
            <w:tcBorders>
              <w:top w:val="nil"/>
              <w:left w:val="nil"/>
              <w:bottom w:val="single" w:sz="4" w:space="0" w:color="auto"/>
              <w:right w:val="single" w:sz="4" w:space="0" w:color="auto"/>
            </w:tcBorders>
            <w:shd w:val="clear" w:color="auto" w:fill="auto"/>
            <w:noWrap/>
            <w:vAlign w:val="center"/>
          </w:tcPr>
          <w:p w14:paraId="484142D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2,4</w:t>
            </w:r>
          </w:p>
        </w:tc>
        <w:tc>
          <w:tcPr>
            <w:tcW w:w="982" w:type="dxa"/>
            <w:tcBorders>
              <w:top w:val="nil"/>
              <w:left w:val="nil"/>
              <w:bottom w:val="single" w:sz="4" w:space="0" w:color="auto"/>
              <w:right w:val="single" w:sz="4" w:space="0" w:color="auto"/>
            </w:tcBorders>
            <w:shd w:val="clear" w:color="auto" w:fill="auto"/>
            <w:noWrap/>
            <w:vAlign w:val="center"/>
          </w:tcPr>
          <w:p w14:paraId="0AADB21C"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235,8</w:t>
            </w:r>
          </w:p>
        </w:tc>
        <w:tc>
          <w:tcPr>
            <w:tcW w:w="949" w:type="dxa"/>
            <w:tcBorders>
              <w:top w:val="nil"/>
              <w:left w:val="nil"/>
              <w:bottom w:val="single" w:sz="4" w:space="0" w:color="auto"/>
              <w:right w:val="single" w:sz="4" w:space="0" w:color="auto"/>
            </w:tcBorders>
            <w:shd w:val="clear" w:color="auto" w:fill="auto"/>
            <w:noWrap/>
            <w:vAlign w:val="center"/>
          </w:tcPr>
          <w:p w14:paraId="44968FA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233,5</w:t>
            </w:r>
          </w:p>
        </w:tc>
        <w:tc>
          <w:tcPr>
            <w:tcW w:w="842" w:type="dxa"/>
            <w:tcBorders>
              <w:top w:val="nil"/>
              <w:left w:val="nil"/>
              <w:bottom w:val="single" w:sz="4" w:space="0" w:color="auto"/>
              <w:right w:val="single" w:sz="4" w:space="0" w:color="auto"/>
            </w:tcBorders>
            <w:shd w:val="clear" w:color="auto" w:fill="auto"/>
            <w:noWrap/>
            <w:vAlign w:val="center"/>
          </w:tcPr>
          <w:p w14:paraId="5F11A4F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2,4</w:t>
            </w:r>
          </w:p>
        </w:tc>
        <w:tc>
          <w:tcPr>
            <w:tcW w:w="842" w:type="dxa"/>
            <w:tcBorders>
              <w:top w:val="nil"/>
              <w:left w:val="nil"/>
              <w:bottom w:val="single" w:sz="4" w:space="0" w:color="auto"/>
              <w:right w:val="single" w:sz="4" w:space="0" w:color="auto"/>
            </w:tcBorders>
            <w:shd w:val="clear" w:color="auto" w:fill="auto"/>
            <w:noWrap/>
            <w:vAlign w:val="center"/>
          </w:tcPr>
          <w:p w14:paraId="42F2E436"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7B29B9D7"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0ACB5F3A"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40870205" w14:textId="77777777" w:rsidTr="008E68AB">
        <w:trPr>
          <w:trHeight w:val="347"/>
        </w:trPr>
        <w:tc>
          <w:tcPr>
            <w:tcW w:w="2386" w:type="dxa"/>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tcPr>
          <w:p w14:paraId="1C7ECF54" w14:textId="226A9903" w:rsidR="000B0C16" w:rsidRPr="00D665F2" w:rsidRDefault="006B3DF7" w:rsidP="008E68AB">
            <w:pPr>
              <w:widowControl/>
              <w:ind w:firstLine="0"/>
              <w:jc w:val="left"/>
              <w:rPr>
                <w:b/>
                <w:bCs/>
                <w:color w:val="FF0000"/>
                <w:sz w:val="18"/>
                <w:szCs w:val="18"/>
                <w:lang w:eastAsia="ru-RU"/>
              </w:rPr>
            </w:pPr>
            <w:r>
              <w:rPr>
                <w:color w:val="333333"/>
                <w:sz w:val="18"/>
                <w:szCs w:val="18"/>
              </w:rPr>
              <w:t>«</w:t>
            </w:r>
            <w:r w:rsidR="000B0C16" w:rsidRPr="00D665F2">
              <w:rPr>
                <w:color w:val="333333"/>
                <w:sz w:val="18"/>
                <w:szCs w:val="18"/>
              </w:rPr>
              <w:t>Семья</w:t>
            </w:r>
            <w:r>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47E499E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1 217,0</w:t>
            </w:r>
          </w:p>
        </w:tc>
        <w:tc>
          <w:tcPr>
            <w:tcW w:w="983"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27F17C07"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813,0</w:t>
            </w:r>
          </w:p>
        </w:tc>
        <w:tc>
          <w:tcPr>
            <w:tcW w:w="841"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762FE01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403,9</w:t>
            </w:r>
          </w:p>
        </w:tc>
        <w:tc>
          <w:tcPr>
            <w:tcW w:w="98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25B50AD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1 216,0</w:t>
            </w:r>
          </w:p>
        </w:tc>
        <w:tc>
          <w:tcPr>
            <w:tcW w:w="949"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2D6D48A6"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812,1</w:t>
            </w:r>
          </w:p>
        </w:tc>
        <w:tc>
          <w:tcPr>
            <w:tcW w:w="84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5488D5C8"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403,9</w:t>
            </w:r>
          </w:p>
        </w:tc>
        <w:tc>
          <w:tcPr>
            <w:tcW w:w="84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207E2C74"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237C2CF8"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6DD5DCDD"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4701E89F" w14:textId="77777777" w:rsidTr="008E68AB">
        <w:trPr>
          <w:trHeight w:val="478"/>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16655DD9" w14:textId="1CA6F07F"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Поддержка семьи</w:t>
            </w:r>
            <w:r w:rsidR="006B3DF7">
              <w:rPr>
                <w:color w:val="333333"/>
                <w:sz w:val="18"/>
                <w:szCs w:val="18"/>
              </w:rPr>
              <w:t>»</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49CE141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281,9</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01E684E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177,4</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0385B976"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104,5</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3C289D0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281,9</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7D1D69CD"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177,4</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6C70E4F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104,5</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420BDAFA"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5BDC722C"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3314FB85"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3290E495" w14:textId="77777777" w:rsidTr="008E68AB">
        <w:trPr>
          <w:trHeight w:val="428"/>
        </w:trPr>
        <w:tc>
          <w:tcPr>
            <w:tcW w:w="2386" w:type="dxa"/>
            <w:tcBorders>
              <w:top w:val="nil"/>
              <w:left w:val="single" w:sz="4" w:space="0" w:color="auto"/>
              <w:bottom w:val="single" w:sz="4" w:space="0" w:color="auto"/>
              <w:right w:val="single" w:sz="4" w:space="0" w:color="auto"/>
            </w:tcBorders>
            <w:shd w:val="clear" w:color="auto" w:fill="auto"/>
            <w:vAlign w:val="center"/>
          </w:tcPr>
          <w:p w14:paraId="2F45E44B" w14:textId="5946B810" w:rsidR="000B0C16" w:rsidRPr="00D665F2" w:rsidRDefault="000B0C16" w:rsidP="008E68AB">
            <w:pPr>
              <w:widowControl/>
              <w:ind w:firstLine="0"/>
              <w:jc w:val="left"/>
              <w:rPr>
                <w:b/>
                <w:bCs/>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Многодетная семья</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2753E47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386,2</w:t>
            </w:r>
          </w:p>
        </w:tc>
        <w:tc>
          <w:tcPr>
            <w:tcW w:w="983" w:type="dxa"/>
            <w:tcBorders>
              <w:top w:val="nil"/>
              <w:left w:val="nil"/>
              <w:bottom w:val="single" w:sz="4" w:space="0" w:color="auto"/>
              <w:right w:val="single" w:sz="4" w:space="0" w:color="auto"/>
            </w:tcBorders>
            <w:shd w:val="clear" w:color="auto" w:fill="auto"/>
            <w:noWrap/>
            <w:vAlign w:val="center"/>
          </w:tcPr>
          <w:p w14:paraId="5871880B"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93,4</w:t>
            </w:r>
          </w:p>
        </w:tc>
        <w:tc>
          <w:tcPr>
            <w:tcW w:w="841" w:type="dxa"/>
            <w:tcBorders>
              <w:top w:val="nil"/>
              <w:left w:val="nil"/>
              <w:bottom w:val="single" w:sz="4" w:space="0" w:color="auto"/>
              <w:right w:val="single" w:sz="4" w:space="0" w:color="auto"/>
            </w:tcBorders>
            <w:shd w:val="clear" w:color="auto" w:fill="auto"/>
            <w:noWrap/>
            <w:vAlign w:val="center"/>
          </w:tcPr>
          <w:p w14:paraId="167CF8C6"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292,8</w:t>
            </w:r>
          </w:p>
        </w:tc>
        <w:tc>
          <w:tcPr>
            <w:tcW w:w="982" w:type="dxa"/>
            <w:tcBorders>
              <w:top w:val="nil"/>
              <w:left w:val="nil"/>
              <w:bottom w:val="single" w:sz="4" w:space="0" w:color="auto"/>
              <w:right w:val="single" w:sz="4" w:space="0" w:color="auto"/>
            </w:tcBorders>
            <w:shd w:val="clear" w:color="auto" w:fill="auto"/>
            <w:noWrap/>
            <w:vAlign w:val="center"/>
          </w:tcPr>
          <w:p w14:paraId="5360712F"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386,2</w:t>
            </w:r>
          </w:p>
        </w:tc>
        <w:tc>
          <w:tcPr>
            <w:tcW w:w="949" w:type="dxa"/>
            <w:tcBorders>
              <w:top w:val="nil"/>
              <w:left w:val="nil"/>
              <w:bottom w:val="single" w:sz="4" w:space="0" w:color="auto"/>
              <w:right w:val="single" w:sz="4" w:space="0" w:color="auto"/>
            </w:tcBorders>
            <w:shd w:val="clear" w:color="auto" w:fill="auto"/>
            <w:noWrap/>
            <w:vAlign w:val="center"/>
          </w:tcPr>
          <w:p w14:paraId="35E30D30"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93,4</w:t>
            </w:r>
          </w:p>
        </w:tc>
        <w:tc>
          <w:tcPr>
            <w:tcW w:w="842" w:type="dxa"/>
            <w:tcBorders>
              <w:top w:val="nil"/>
              <w:left w:val="nil"/>
              <w:bottom w:val="single" w:sz="4" w:space="0" w:color="auto"/>
              <w:right w:val="single" w:sz="4" w:space="0" w:color="auto"/>
            </w:tcBorders>
            <w:shd w:val="clear" w:color="auto" w:fill="auto"/>
            <w:noWrap/>
            <w:vAlign w:val="center"/>
          </w:tcPr>
          <w:p w14:paraId="627DC09A"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292,8</w:t>
            </w:r>
          </w:p>
        </w:tc>
        <w:tc>
          <w:tcPr>
            <w:tcW w:w="842" w:type="dxa"/>
            <w:tcBorders>
              <w:top w:val="nil"/>
              <w:left w:val="nil"/>
              <w:bottom w:val="single" w:sz="4" w:space="0" w:color="auto"/>
              <w:right w:val="single" w:sz="4" w:space="0" w:color="auto"/>
            </w:tcBorders>
            <w:shd w:val="clear" w:color="auto" w:fill="auto"/>
            <w:noWrap/>
            <w:vAlign w:val="center"/>
          </w:tcPr>
          <w:p w14:paraId="0D52CFCE"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3CFACEFA"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7CE32F0C"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75442D98" w14:textId="77777777" w:rsidTr="008E68AB">
        <w:trPr>
          <w:trHeight w:val="534"/>
        </w:trPr>
        <w:tc>
          <w:tcPr>
            <w:tcW w:w="2386" w:type="dxa"/>
            <w:tcBorders>
              <w:top w:val="nil"/>
              <w:left w:val="single" w:sz="4" w:space="0" w:color="auto"/>
              <w:bottom w:val="single" w:sz="4" w:space="0" w:color="auto"/>
              <w:right w:val="single" w:sz="4" w:space="0" w:color="auto"/>
            </w:tcBorders>
            <w:shd w:val="clear" w:color="auto" w:fill="auto"/>
            <w:vAlign w:val="center"/>
          </w:tcPr>
          <w:p w14:paraId="7B9E0077" w14:textId="7256E1CE"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Охрана материнства и детства</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7784DB59"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342,8</w:t>
            </w:r>
          </w:p>
        </w:tc>
        <w:tc>
          <w:tcPr>
            <w:tcW w:w="983" w:type="dxa"/>
            <w:tcBorders>
              <w:top w:val="nil"/>
              <w:left w:val="nil"/>
              <w:bottom w:val="single" w:sz="4" w:space="0" w:color="auto"/>
              <w:right w:val="single" w:sz="4" w:space="0" w:color="auto"/>
            </w:tcBorders>
            <w:shd w:val="clear" w:color="auto" w:fill="auto"/>
            <w:noWrap/>
            <w:vAlign w:val="center"/>
          </w:tcPr>
          <w:p w14:paraId="3EDFEAE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339,3</w:t>
            </w:r>
          </w:p>
        </w:tc>
        <w:tc>
          <w:tcPr>
            <w:tcW w:w="841" w:type="dxa"/>
            <w:tcBorders>
              <w:top w:val="nil"/>
              <w:left w:val="nil"/>
              <w:bottom w:val="single" w:sz="4" w:space="0" w:color="auto"/>
              <w:right w:val="single" w:sz="4" w:space="0" w:color="auto"/>
            </w:tcBorders>
            <w:shd w:val="clear" w:color="auto" w:fill="auto"/>
            <w:noWrap/>
            <w:vAlign w:val="center"/>
          </w:tcPr>
          <w:p w14:paraId="2F44813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3,4</w:t>
            </w:r>
          </w:p>
        </w:tc>
        <w:tc>
          <w:tcPr>
            <w:tcW w:w="982" w:type="dxa"/>
            <w:tcBorders>
              <w:top w:val="nil"/>
              <w:left w:val="nil"/>
              <w:bottom w:val="single" w:sz="4" w:space="0" w:color="auto"/>
              <w:right w:val="single" w:sz="4" w:space="0" w:color="auto"/>
            </w:tcBorders>
            <w:shd w:val="clear" w:color="auto" w:fill="auto"/>
            <w:noWrap/>
            <w:vAlign w:val="center"/>
          </w:tcPr>
          <w:p w14:paraId="721D9270"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342,8</w:t>
            </w:r>
          </w:p>
        </w:tc>
        <w:tc>
          <w:tcPr>
            <w:tcW w:w="949" w:type="dxa"/>
            <w:tcBorders>
              <w:top w:val="nil"/>
              <w:left w:val="nil"/>
              <w:bottom w:val="single" w:sz="4" w:space="0" w:color="auto"/>
              <w:right w:val="single" w:sz="4" w:space="0" w:color="auto"/>
            </w:tcBorders>
            <w:shd w:val="clear" w:color="auto" w:fill="auto"/>
            <w:noWrap/>
            <w:vAlign w:val="center"/>
          </w:tcPr>
          <w:p w14:paraId="7387B7C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339,3</w:t>
            </w:r>
          </w:p>
        </w:tc>
        <w:tc>
          <w:tcPr>
            <w:tcW w:w="842" w:type="dxa"/>
            <w:tcBorders>
              <w:top w:val="nil"/>
              <w:left w:val="nil"/>
              <w:bottom w:val="single" w:sz="4" w:space="0" w:color="auto"/>
              <w:right w:val="single" w:sz="4" w:space="0" w:color="auto"/>
            </w:tcBorders>
            <w:shd w:val="clear" w:color="auto" w:fill="auto"/>
            <w:noWrap/>
            <w:vAlign w:val="center"/>
          </w:tcPr>
          <w:p w14:paraId="38A1B564"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3,4</w:t>
            </w:r>
          </w:p>
        </w:tc>
        <w:tc>
          <w:tcPr>
            <w:tcW w:w="842" w:type="dxa"/>
            <w:tcBorders>
              <w:top w:val="nil"/>
              <w:left w:val="nil"/>
              <w:bottom w:val="single" w:sz="4" w:space="0" w:color="auto"/>
              <w:right w:val="single" w:sz="4" w:space="0" w:color="auto"/>
            </w:tcBorders>
            <w:shd w:val="clear" w:color="auto" w:fill="auto"/>
            <w:noWrap/>
            <w:vAlign w:val="center"/>
          </w:tcPr>
          <w:p w14:paraId="2EB8996B"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7AE25A69"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58B3655B"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1C213B6E" w14:textId="77777777" w:rsidTr="008E68AB">
        <w:trPr>
          <w:trHeight w:val="508"/>
        </w:trPr>
        <w:tc>
          <w:tcPr>
            <w:tcW w:w="2386" w:type="dxa"/>
            <w:tcBorders>
              <w:top w:val="nil"/>
              <w:left w:val="single" w:sz="4" w:space="0" w:color="auto"/>
              <w:bottom w:val="single" w:sz="4" w:space="0" w:color="auto"/>
              <w:right w:val="single" w:sz="4" w:space="0" w:color="auto"/>
            </w:tcBorders>
            <w:shd w:val="clear" w:color="auto" w:fill="auto"/>
            <w:vAlign w:val="center"/>
          </w:tcPr>
          <w:p w14:paraId="539622BE" w14:textId="651EB8F4" w:rsidR="000B0C16" w:rsidRPr="00D665F2" w:rsidRDefault="000B0C16" w:rsidP="008E68AB">
            <w:pPr>
              <w:widowControl/>
              <w:ind w:firstLine="0"/>
              <w:jc w:val="left"/>
              <w:rPr>
                <w:b/>
                <w:bCs/>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Старшее поколение</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41BFBD0C"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99,6</w:t>
            </w:r>
          </w:p>
        </w:tc>
        <w:tc>
          <w:tcPr>
            <w:tcW w:w="983" w:type="dxa"/>
            <w:tcBorders>
              <w:top w:val="nil"/>
              <w:left w:val="nil"/>
              <w:bottom w:val="single" w:sz="4" w:space="0" w:color="auto"/>
              <w:right w:val="single" w:sz="4" w:space="0" w:color="auto"/>
            </w:tcBorders>
            <w:shd w:val="clear" w:color="auto" w:fill="auto"/>
            <w:noWrap/>
            <w:vAlign w:val="center"/>
          </w:tcPr>
          <w:p w14:paraId="73C45005"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98,6</w:t>
            </w:r>
          </w:p>
        </w:tc>
        <w:tc>
          <w:tcPr>
            <w:tcW w:w="841" w:type="dxa"/>
            <w:tcBorders>
              <w:top w:val="nil"/>
              <w:left w:val="nil"/>
              <w:bottom w:val="single" w:sz="4" w:space="0" w:color="auto"/>
              <w:right w:val="single" w:sz="4" w:space="0" w:color="auto"/>
            </w:tcBorders>
            <w:shd w:val="clear" w:color="auto" w:fill="auto"/>
            <w:noWrap/>
            <w:vAlign w:val="center"/>
          </w:tcPr>
          <w:p w14:paraId="4D3EC7C7"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1,0</w:t>
            </w:r>
          </w:p>
        </w:tc>
        <w:tc>
          <w:tcPr>
            <w:tcW w:w="982" w:type="dxa"/>
            <w:tcBorders>
              <w:top w:val="nil"/>
              <w:left w:val="nil"/>
              <w:bottom w:val="single" w:sz="4" w:space="0" w:color="auto"/>
              <w:right w:val="single" w:sz="4" w:space="0" w:color="auto"/>
            </w:tcBorders>
            <w:shd w:val="clear" w:color="auto" w:fill="auto"/>
            <w:noWrap/>
            <w:vAlign w:val="center"/>
          </w:tcPr>
          <w:p w14:paraId="7C82EFC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99,6</w:t>
            </w:r>
          </w:p>
        </w:tc>
        <w:tc>
          <w:tcPr>
            <w:tcW w:w="949" w:type="dxa"/>
            <w:tcBorders>
              <w:top w:val="nil"/>
              <w:left w:val="nil"/>
              <w:bottom w:val="single" w:sz="4" w:space="0" w:color="auto"/>
              <w:right w:val="single" w:sz="4" w:space="0" w:color="auto"/>
            </w:tcBorders>
            <w:shd w:val="clear" w:color="auto" w:fill="auto"/>
            <w:noWrap/>
            <w:vAlign w:val="center"/>
          </w:tcPr>
          <w:p w14:paraId="4635F1B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98,6</w:t>
            </w:r>
          </w:p>
        </w:tc>
        <w:tc>
          <w:tcPr>
            <w:tcW w:w="842" w:type="dxa"/>
            <w:tcBorders>
              <w:top w:val="nil"/>
              <w:left w:val="nil"/>
              <w:bottom w:val="single" w:sz="4" w:space="0" w:color="auto"/>
              <w:right w:val="single" w:sz="4" w:space="0" w:color="auto"/>
            </w:tcBorders>
            <w:shd w:val="clear" w:color="auto" w:fill="auto"/>
            <w:noWrap/>
            <w:vAlign w:val="center"/>
          </w:tcPr>
          <w:p w14:paraId="1E86274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1,0</w:t>
            </w:r>
          </w:p>
        </w:tc>
        <w:tc>
          <w:tcPr>
            <w:tcW w:w="842" w:type="dxa"/>
            <w:tcBorders>
              <w:top w:val="nil"/>
              <w:left w:val="nil"/>
              <w:bottom w:val="single" w:sz="4" w:space="0" w:color="auto"/>
              <w:right w:val="single" w:sz="4" w:space="0" w:color="auto"/>
            </w:tcBorders>
            <w:shd w:val="clear" w:color="auto" w:fill="auto"/>
            <w:noWrap/>
            <w:vAlign w:val="center"/>
          </w:tcPr>
          <w:p w14:paraId="1B9DEB65"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nil"/>
              <w:left w:val="nil"/>
              <w:bottom w:val="single" w:sz="4" w:space="0" w:color="auto"/>
              <w:right w:val="single" w:sz="4" w:space="0" w:color="auto"/>
            </w:tcBorders>
            <w:shd w:val="clear" w:color="auto" w:fill="auto"/>
            <w:noWrap/>
            <w:vAlign w:val="center"/>
          </w:tcPr>
          <w:p w14:paraId="145C4D4C"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nil"/>
              <w:left w:val="nil"/>
              <w:bottom w:val="single" w:sz="4" w:space="0" w:color="auto"/>
              <w:right w:val="single" w:sz="4" w:space="0" w:color="auto"/>
            </w:tcBorders>
            <w:shd w:val="clear" w:color="auto" w:fill="auto"/>
            <w:noWrap/>
            <w:vAlign w:val="center"/>
          </w:tcPr>
          <w:p w14:paraId="340E1AA7"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6414707F" w14:textId="77777777" w:rsidTr="008E68AB">
        <w:trPr>
          <w:trHeight w:val="678"/>
        </w:trPr>
        <w:tc>
          <w:tcPr>
            <w:tcW w:w="2386" w:type="dxa"/>
            <w:tcBorders>
              <w:top w:val="nil"/>
              <w:left w:val="single" w:sz="4" w:space="0" w:color="auto"/>
              <w:bottom w:val="single" w:sz="4" w:space="0" w:color="auto"/>
              <w:right w:val="single" w:sz="4" w:space="0" w:color="auto"/>
            </w:tcBorders>
            <w:shd w:val="clear" w:color="auto" w:fill="auto"/>
            <w:vAlign w:val="center"/>
          </w:tcPr>
          <w:p w14:paraId="41F1BEBB" w14:textId="71B406FD"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Семейные ценности и инфраструктура культуры</w:t>
            </w:r>
            <w:r w:rsidR="006B3DF7">
              <w:rPr>
                <w:color w:val="333333"/>
                <w:sz w:val="18"/>
                <w:szCs w:val="18"/>
              </w:rPr>
              <w:t>»</w:t>
            </w:r>
          </w:p>
        </w:tc>
        <w:tc>
          <w:tcPr>
            <w:tcW w:w="982" w:type="dxa"/>
            <w:tcBorders>
              <w:top w:val="nil"/>
              <w:left w:val="nil"/>
              <w:bottom w:val="single" w:sz="4" w:space="0" w:color="auto"/>
              <w:right w:val="single" w:sz="4" w:space="0" w:color="auto"/>
            </w:tcBorders>
            <w:shd w:val="clear" w:color="auto" w:fill="auto"/>
            <w:noWrap/>
            <w:vAlign w:val="center"/>
          </w:tcPr>
          <w:p w14:paraId="722EE89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106,5</w:t>
            </w:r>
          </w:p>
        </w:tc>
        <w:tc>
          <w:tcPr>
            <w:tcW w:w="983" w:type="dxa"/>
            <w:tcBorders>
              <w:top w:val="nil"/>
              <w:left w:val="nil"/>
              <w:bottom w:val="single" w:sz="4" w:space="0" w:color="auto"/>
              <w:right w:val="single" w:sz="4" w:space="0" w:color="auto"/>
            </w:tcBorders>
            <w:shd w:val="clear" w:color="auto" w:fill="auto"/>
            <w:noWrap/>
            <w:vAlign w:val="center"/>
          </w:tcPr>
          <w:p w14:paraId="0C9EE9B1"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104,3</w:t>
            </w:r>
          </w:p>
        </w:tc>
        <w:tc>
          <w:tcPr>
            <w:tcW w:w="841" w:type="dxa"/>
            <w:tcBorders>
              <w:top w:val="nil"/>
              <w:left w:val="nil"/>
              <w:bottom w:val="single" w:sz="4" w:space="0" w:color="auto"/>
              <w:right w:val="single" w:sz="4" w:space="0" w:color="auto"/>
            </w:tcBorders>
            <w:shd w:val="clear" w:color="auto" w:fill="auto"/>
            <w:noWrap/>
            <w:vAlign w:val="center"/>
          </w:tcPr>
          <w:p w14:paraId="4777DB2E"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2,2</w:t>
            </w:r>
          </w:p>
        </w:tc>
        <w:tc>
          <w:tcPr>
            <w:tcW w:w="982" w:type="dxa"/>
            <w:tcBorders>
              <w:top w:val="nil"/>
              <w:left w:val="nil"/>
              <w:bottom w:val="single" w:sz="4" w:space="0" w:color="auto"/>
              <w:right w:val="single" w:sz="4" w:space="0" w:color="auto"/>
            </w:tcBorders>
            <w:shd w:val="clear" w:color="auto" w:fill="auto"/>
            <w:noWrap/>
            <w:vAlign w:val="center"/>
          </w:tcPr>
          <w:p w14:paraId="5C20502C"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105,5</w:t>
            </w:r>
          </w:p>
        </w:tc>
        <w:tc>
          <w:tcPr>
            <w:tcW w:w="949" w:type="dxa"/>
            <w:tcBorders>
              <w:top w:val="nil"/>
              <w:left w:val="nil"/>
              <w:bottom w:val="single" w:sz="4" w:space="0" w:color="auto"/>
              <w:right w:val="single" w:sz="4" w:space="0" w:color="auto"/>
            </w:tcBorders>
            <w:shd w:val="clear" w:color="auto" w:fill="auto"/>
            <w:noWrap/>
            <w:vAlign w:val="center"/>
          </w:tcPr>
          <w:p w14:paraId="5EB0875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103,4</w:t>
            </w:r>
          </w:p>
        </w:tc>
        <w:tc>
          <w:tcPr>
            <w:tcW w:w="842" w:type="dxa"/>
            <w:tcBorders>
              <w:top w:val="nil"/>
              <w:left w:val="nil"/>
              <w:bottom w:val="single" w:sz="4" w:space="0" w:color="auto"/>
              <w:right w:val="single" w:sz="4" w:space="0" w:color="auto"/>
            </w:tcBorders>
            <w:shd w:val="clear" w:color="auto" w:fill="auto"/>
            <w:noWrap/>
            <w:vAlign w:val="center"/>
          </w:tcPr>
          <w:p w14:paraId="354603C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2,1</w:t>
            </w:r>
          </w:p>
        </w:tc>
        <w:tc>
          <w:tcPr>
            <w:tcW w:w="842" w:type="dxa"/>
            <w:tcBorders>
              <w:top w:val="nil"/>
              <w:left w:val="nil"/>
              <w:bottom w:val="single" w:sz="4" w:space="0" w:color="auto"/>
              <w:right w:val="single" w:sz="4" w:space="0" w:color="auto"/>
            </w:tcBorders>
            <w:shd w:val="clear" w:color="auto" w:fill="auto"/>
            <w:noWrap/>
            <w:vAlign w:val="center"/>
          </w:tcPr>
          <w:p w14:paraId="5A0ADE73"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99%</w:t>
            </w:r>
          </w:p>
        </w:tc>
        <w:tc>
          <w:tcPr>
            <w:tcW w:w="841" w:type="dxa"/>
            <w:tcBorders>
              <w:top w:val="nil"/>
              <w:left w:val="nil"/>
              <w:bottom w:val="single" w:sz="4" w:space="0" w:color="auto"/>
              <w:right w:val="single" w:sz="4" w:space="0" w:color="auto"/>
            </w:tcBorders>
            <w:shd w:val="clear" w:color="auto" w:fill="auto"/>
            <w:noWrap/>
            <w:vAlign w:val="center"/>
          </w:tcPr>
          <w:p w14:paraId="6E04CBB9"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99%</w:t>
            </w:r>
          </w:p>
        </w:tc>
        <w:tc>
          <w:tcPr>
            <w:tcW w:w="843" w:type="dxa"/>
            <w:tcBorders>
              <w:top w:val="nil"/>
              <w:left w:val="nil"/>
              <w:bottom w:val="single" w:sz="4" w:space="0" w:color="auto"/>
              <w:right w:val="single" w:sz="4" w:space="0" w:color="auto"/>
            </w:tcBorders>
            <w:shd w:val="clear" w:color="auto" w:fill="auto"/>
            <w:noWrap/>
            <w:vAlign w:val="center"/>
          </w:tcPr>
          <w:p w14:paraId="49087244"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6B233807" w14:textId="77777777" w:rsidTr="008E68AB">
        <w:trPr>
          <w:trHeight w:val="476"/>
        </w:trPr>
        <w:tc>
          <w:tcPr>
            <w:tcW w:w="2386" w:type="dxa"/>
            <w:tcBorders>
              <w:top w:val="single" w:sz="4" w:space="0" w:color="auto"/>
              <w:left w:val="single" w:sz="4" w:space="0" w:color="auto"/>
              <w:bottom w:val="single" w:sz="4" w:space="0" w:color="auto"/>
              <w:right w:val="single" w:sz="4" w:space="0" w:color="auto"/>
            </w:tcBorders>
            <w:shd w:val="clear" w:color="auto" w:fill="DBF6B9" w:themeFill="accent3" w:themeFillTint="66"/>
            <w:vAlign w:val="center"/>
          </w:tcPr>
          <w:p w14:paraId="7F2C9126" w14:textId="7BC31899" w:rsidR="000B0C16" w:rsidRPr="00D665F2" w:rsidRDefault="006B3DF7" w:rsidP="008E68AB">
            <w:pPr>
              <w:widowControl/>
              <w:ind w:firstLine="0"/>
              <w:jc w:val="left"/>
              <w:rPr>
                <w:b/>
                <w:bCs/>
                <w:color w:val="FF0000"/>
                <w:sz w:val="18"/>
                <w:szCs w:val="18"/>
                <w:lang w:eastAsia="ru-RU"/>
              </w:rPr>
            </w:pPr>
            <w:r>
              <w:rPr>
                <w:color w:val="333333"/>
                <w:sz w:val="18"/>
                <w:szCs w:val="18"/>
              </w:rPr>
              <w:t>«</w:t>
            </w:r>
            <w:r w:rsidR="000B0C16" w:rsidRPr="00D665F2">
              <w:rPr>
                <w:color w:val="333333"/>
                <w:sz w:val="18"/>
                <w:szCs w:val="18"/>
              </w:rPr>
              <w:t>Беспилотные авиационные системы</w:t>
            </w:r>
            <w:r>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6BC956EA"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533,6</w:t>
            </w:r>
          </w:p>
        </w:tc>
        <w:tc>
          <w:tcPr>
            <w:tcW w:w="983"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26182F71"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523,5</w:t>
            </w:r>
          </w:p>
        </w:tc>
        <w:tc>
          <w:tcPr>
            <w:tcW w:w="841"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08E0D334"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10,1</w:t>
            </w:r>
          </w:p>
        </w:tc>
        <w:tc>
          <w:tcPr>
            <w:tcW w:w="98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34131A81"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533,6</w:t>
            </w:r>
          </w:p>
        </w:tc>
        <w:tc>
          <w:tcPr>
            <w:tcW w:w="949"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5BEC8B92"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523,5</w:t>
            </w:r>
          </w:p>
        </w:tc>
        <w:tc>
          <w:tcPr>
            <w:tcW w:w="84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1CB34F89"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10,1</w:t>
            </w:r>
          </w:p>
        </w:tc>
        <w:tc>
          <w:tcPr>
            <w:tcW w:w="842"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25FEF909"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41A4A5F0"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DBF6B9" w:themeFill="accent3" w:themeFillTint="66"/>
            <w:noWrap/>
            <w:vAlign w:val="center"/>
          </w:tcPr>
          <w:p w14:paraId="647EAF98" w14:textId="77777777" w:rsidR="000B0C16" w:rsidRPr="006A241A" w:rsidRDefault="000B0C16" w:rsidP="008E68AB">
            <w:pPr>
              <w:widowControl/>
              <w:ind w:firstLine="0"/>
              <w:jc w:val="center"/>
              <w:rPr>
                <w:b/>
                <w:bCs/>
                <w:color w:val="FF0000"/>
                <w:sz w:val="18"/>
                <w:szCs w:val="18"/>
                <w:lang w:eastAsia="ru-RU"/>
              </w:rPr>
            </w:pPr>
            <w:r w:rsidRPr="006A241A">
              <w:rPr>
                <w:color w:val="000000"/>
                <w:sz w:val="18"/>
                <w:szCs w:val="18"/>
              </w:rPr>
              <w:t>100%</w:t>
            </w:r>
          </w:p>
        </w:tc>
      </w:tr>
      <w:tr w:rsidR="000B0C16" w:rsidRPr="00D665F2" w14:paraId="272443B9" w14:textId="77777777" w:rsidTr="008E68AB">
        <w:trPr>
          <w:trHeight w:val="911"/>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41294E44" w14:textId="5261A618" w:rsidR="000B0C16" w:rsidRPr="00D665F2" w:rsidRDefault="000B0C16" w:rsidP="008E68AB">
            <w:pPr>
              <w:widowControl/>
              <w:ind w:firstLine="0"/>
              <w:jc w:val="left"/>
              <w:rPr>
                <w:color w:val="FF0000"/>
                <w:sz w:val="18"/>
                <w:szCs w:val="18"/>
                <w:lang w:eastAsia="ru-RU"/>
              </w:rPr>
            </w:pPr>
            <w:r w:rsidRPr="00D665F2">
              <w:rPr>
                <w:color w:val="333333"/>
                <w:sz w:val="18"/>
                <w:szCs w:val="18"/>
              </w:rPr>
              <w:t xml:space="preserve">Региональный проект </w:t>
            </w:r>
            <w:r w:rsidR="006B3DF7">
              <w:rPr>
                <w:color w:val="333333"/>
                <w:sz w:val="18"/>
                <w:szCs w:val="18"/>
              </w:rPr>
              <w:t>«</w:t>
            </w:r>
            <w:r w:rsidRPr="00D665F2">
              <w:rPr>
                <w:color w:val="333333"/>
                <w:sz w:val="18"/>
                <w:szCs w:val="18"/>
              </w:rPr>
              <w:t>Стимулирование спроса на отечественные беспилотные авиационные системы</w:t>
            </w:r>
            <w:r w:rsidR="006B3DF7">
              <w:rPr>
                <w:color w:val="333333"/>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C6BEE"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5,2</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57283"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6D865"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0,0</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85523"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5,2</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6ED44" w14:textId="77777777" w:rsidR="000B0C16" w:rsidRPr="006A241A" w:rsidRDefault="000B0C16" w:rsidP="008E68AB">
            <w:pPr>
              <w:widowControl/>
              <w:ind w:firstLine="0"/>
              <w:jc w:val="center"/>
              <w:rPr>
                <w:color w:val="FF0000"/>
                <w:sz w:val="18"/>
                <w:szCs w:val="18"/>
                <w:lang w:eastAsia="ru-RU"/>
              </w:rPr>
            </w:pPr>
            <w:r w:rsidRPr="006A241A">
              <w:rPr>
                <w:color w:val="000000"/>
                <w:sz w:val="18"/>
                <w:szCs w:val="18"/>
              </w:rPr>
              <w:t>5,2</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92EF8" w14:textId="77777777" w:rsidR="000B0C16" w:rsidRPr="006A241A" w:rsidRDefault="000B0C16" w:rsidP="008E68AB">
            <w:pPr>
              <w:widowControl/>
              <w:ind w:firstLine="0"/>
              <w:jc w:val="center"/>
              <w:rPr>
                <w:color w:val="FF0000"/>
                <w:sz w:val="18"/>
                <w:szCs w:val="18"/>
                <w:lang w:eastAsia="ru-RU"/>
              </w:rPr>
            </w:pPr>
            <w:r w:rsidRPr="006A241A">
              <w:rPr>
                <w:iCs/>
                <w:color w:val="000000"/>
                <w:sz w:val="18"/>
                <w:szCs w:val="18"/>
              </w:rPr>
              <w:t>0,0</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BB968"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B866" w14:textId="77777777" w:rsidR="000B0C16" w:rsidRPr="006A241A" w:rsidRDefault="000B0C16" w:rsidP="008E68AB">
            <w:pPr>
              <w:widowControl/>
              <w:ind w:firstLine="0"/>
              <w:jc w:val="center"/>
              <w:rPr>
                <w:b/>
                <w:bCs/>
                <w:color w:val="FF0000"/>
                <w:sz w:val="18"/>
                <w:szCs w:val="18"/>
                <w:lang w:eastAsia="ru-RU"/>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3175F" w14:textId="77777777" w:rsidR="000B0C16" w:rsidRPr="006A241A" w:rsidRDefault="00D665F2" w:rsidP="008E68AB">
            <w:pPr>
              <w:widowControl/>
              <w:ind w:firstLine="0"/>
              <w:jc w:val="center"/>
              <w:rPr>
                <w:b/>
                <w:bCs/>
                <w:color w:val="FF0000"/>
                <w:sz w:val="18"/>
                <w:szCs w:val="18"/>
                <w:lang w:eastAsia="ru-RU"/>
              </w:rPr>
            </w:pPr>
            <w:r w:rsidRPr="006A241A">
              <w:rPr>
                <w:color w:val="000000"/>
                <w:sz w:val="18"/>
                <w:szCs w:val="18"/>
              </w:rPr>
              <w:t>-</w:t>
            </w:r>
          </w:p>
        </w:tc>
      </w:tr>
      <w:tr w:rsidR="000B0C16" w:rsidRPr="00D665F2" w14:paraId="21A03E11" w14:textId="77777777" w:rsidTr="008E68AB">
        <w:trPr>
          <w:trHeight w:val="1264"/>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3546CA21" w14:textId="530BF8DD" w:rsidR="000B0C16" w:rsidRPr="00D665F2" w:rsidRDefault="000B0C16" w:rsidP="008E68AB">
            <w:pPr>
              <w:widowControl/>
              <w:ind w:firstLine="0"/>
              <w:jc w:val="left"/>
              <w:rPr>
                <w:color w:val="333333"/>
                <w:sz w:val="18"/>
                <w:szCs w:val="18"/>
              </w:rPr>
            </w:pPr>
            <w:r w:rsidRPr="00D665F2">
              <w:rPr>
                <w:sz w:val="18"/>
                <w:szCs w:val="18"/>
              </w:rPr>
              <w:t xml:space="preserve">Региональный проект </w:t>
            </w:r>
            <w:r w:rsidR="006B3DF7">
              <w:rPr>
                <w:sz w:val="18"/>
                <w:szCs w:val="18"/>
              </w:rPr>
              <w:t>«</w:t>
            </w:r>
            <w:r w:rsidRPr="00D665F2">
              <w:rPr>
                <w:sz w:val="18"/>
                <w:szCs w:val="18"/>
              </w:rPr>
              <w:t>Разработка, стандартизация и серийное производство беспилотных авиационных систем и комплектующих</w:t>
            </w:r>
            <w:r w:rsidR="006B3DF7">
              <w:rPr>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5171F" w14:textId="77777777" w:rsidR="000B0C16" w:rsidRPr="006A241A" w:rsidRDefault="000B0C16" w:rsidP="008E68AB">
            <w:pPr>
              <w:widowControl/>
              <w:ind w:firstLine="0"/>
              <w:jc w:val="center"/>
              <w:rPr>
                <w:color w:val="000000"/>
                <w:sz w:val="18"/>
                <w:szCs w:val="18"/>
              </w:rPr>
            </w:pPr>
            <w:r w:rsidRPr="006A241A">
              <w:rPr>
                <w:sz w:val="18"/>
                <w:szCs w:val="18"/>
              </w:rPr>
              <w:t>528,3</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4F6DF" w14:textId="77777777" w:rsidR="000B0C16" w:rsidRPr="006A241A" w:rsidRDefault="000B0C16" w:rsidP="008E68AB">
            <w:pPr>
              <w:widowControl/>
              <w:ind w:firstLine="0"/>
              <w:jc w:val="center"/>
              <w:rPr>
                <w:color w:val="000000"/>
                <w:sz w:val="18"/>
                <w:szCs w:val="18"/>
              </w:rPr>
            </w:pPr>
            <w:r w:rsidRPr="006A241A">
              <w:rPr>
                <w:sz w:val="18"/>
                <w:szCs w:val="18"/>
              </w:rPr>
              <w:t>518,3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FB788" w14:textId="77777777" w:rsidR="000B0C16" w:rsidRPr="006A241A" w:rsidRDefault="000B0C16" w:rsidP="008E68AB">
            <w:pPr>
              <w:widowControl/>
              <w:ind w:firstLine="0"/>
              <w:jc w:val="center"/>
              <w:rPr>
                <w:iCs/>
                <w:color w:val="000000"/>
                <w:sz w:val="18"/>
                <w:szCs w:val="18"/>
              </w:rPr>
            </w:pPr>
            <w:r w:rsidRPr="006A241A">
              <w:rPr>
                <w:sz w:val="18"/>
                <w:szCs w:val="18"/>
              </w:rPr>
              <w:t>10,1</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0B32D" w14:textId="77777777" w:rsidR="000B0C16" w:rsidRPr="006A241A" w:rsidRDefault="000B0C16" w:rsidP="008E68AB">
            <w:pPr>
              <w:widowControl/>
              <w:ind w:firstLine="0"/>
              <w:jc w:val="center"/>
              <w:rPr>
                <w:iCs/>
                <w:color w:val="000000"/>
                <w:sz w:val="18"/>
                <w:szCs w:val="18"/>
              </w:rPr>
            </w:pPr>
            <w:r w:rsidRPr="006A241A">
              <w:rPr>
                <w:sz w:val="18"/>
                <w:szCs w:val="18"/>
              </w:rPr>
              <w:t>528,3</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685DC" w14:textId="77777777" w:rsidR="000B0C16" w:rsidRPr="006A241A" w:rsidRDefault="000B0C16" w:rsidP="008E68AB">
            <w:pPr>
              <w:widowControl/>
              <w:ind w:firstLine="0"/>
              <w:jc w:val="center"/>
              <w:rPr>
                <w:color w:val="000000"/>
                <w:sz w:val="18"/>
                <w:szCs w:val="18"/>
              </w:rPr>
            </w:pPr>
            <w:r w:rsidRPr="006A241A">
              <w:rPr>
                <w:sz w:val="18"/>
                <w:szCs w:val="18"/>
              </w:rPr>
              <w:t>518,3</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A31D2" w14:textId="77777777" w:rsidR="000B0C16" w:rsidRPr="006A241A" w:rsidRDefault="000B0C16" w:rsidP="008E68AB">
            <w:pPr>
              <w:widowControl/>
              <w:ind w:firstLine="0"/>
              <w:jc w:val="center"/>
              <w:rPr>
                <w:iCs/>
                <w:color w:val="000000"/>
                <w:sz w:val="18"/>
                <w:szCs w:val="18"/>
              </w:rPr>
            </w:pPr>
            <w:r w:rsidRPr="006A241A">
              <w:rPr>
                <w:sz w:val="18"/>
                <w:szCs w:val="18"/>
              </w:rPr>
              <w:t>10,1</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62A85" w14:textId="77777777" w:rsidR="000B0C16" w:rsidRPr="006A241A" w:rsidRDefault="000B0C16" w:rsidP="008E68AB">
            <w:pPr>
              <w:widowControl/>
              <w:ind w:firstLine="0"/>
              <w:jc w:val="center"/>
              <w:rPr>
                <w:sz w:val="18"/>
                <w:szCs w:val="18"/>
              </w:rPr>
            </w:pPr>
            <w:r w:rsidRPr="006A241A">
              <w:rPr>
                <w:sz w:val="18"/>
                <w:szCs w:val="18"/>
              </w:rPr>
              <w:t>100%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9F300" w14:textId="77777777" w:rsidR="000B0C16" w:rsidRPr="006A241A" w:rsidRDefault="000B0C16" w:rsidP="008E68AB">
            <w:pPr>
              <w:widowControl/>
              <w:ind w:firstLine="0"/>
              <w:jc w:val="center"/>
              <w:rPr>
                <w:sz w:val="18"/>
                <w:szCs w:val="18"/>
              </w:rPr>
            </w:pPr>
            <w:r w:rsidRPr="006A241A">
              <w:rPr>
                <w:sz w:val="18"/>
                <w:szCs w:val="18"/>
              </w:rPr>
              <w:t>100%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C3A2A" w14:textId="77777777" w:rsidR="000B0C16" w:rsidRPr="006A241A" w:rsidRDefault="000B0C16" w:rsidP="008E68AB">
            <w:pPr>
              <w:widowControl/>
              <w:ind w:firstLine="0"/>
              <w:jc w:val="center"/>
              <w:rPr>
                <w:color w:val="000000"/>
                <w:sz w:val="18"/>
                <w:szCs w:val="18"/>
              </w:rPr>
            </w:pPr>
            <w:r w:rsidRPr="006A241A">
              <w:rPr>
                <w:sz w:val="18"/>
                <w:szCs w:val="18"/>
              </w:rPr>
              <w:t>100%</w:t>
            </w:r>
          </w:p>
        </w:tc>
      </w:tr>
    </w:tbl>
    <w:p w14:paraId="1B79DFBB" w14:textId="77777777" w:rsidR="005B66DF" w:rsidRPr="00C014DC" w:rsidRDefault="005B66DF" w:rsidP="006B3DF7">
      <w:pPr>
        <w:jc w:val="right"/>
        <w:rPr>
          <w:color w:val="FF0000"/>
          <w:sz w:val="16"/>
          <w:szCs w:val="16"/>
        </w:rPr>
      </w:pPr>
    </w:p>
    <w:p w14:paraId="0939F3DA" w14:textId="55EC87EC" w:rsidR="00A971F2" w:rsidRPr="00A971F2" w:rsidRDefault="00A971F2" w:rsidP="00A971F2">
      <w:pPr>
        <w:rPr>
          <w:color w:val="auto"/>
        </w:rPr>
      </w:pPr>
      <w:r w:rsidRPr="00A971F2">
        <w:rPr>
          <w:color w:val="auto"/>
        </w:rPr>
        <w:t xml:space="preserve">По состоянию на 1 января 2026 года объем внутреннего долга </w:t>
      </w:r>
      <w:r>
        <w:rPr>
          <w:color w:val="auto"/>
        </w:rPr>
        <w:br/>
      </w:r>
      <w:r w:rsidRPr="00A971F2">
        <w:rPr>
          <w:color w:val="auto"/>
        </w:rPr>
        <w:t xml:space="preserve">Кабардино-Балкарской Республики составил 5 213,8 млн рублей. </w:t>
      </w:r>
    </w:p>
    <w:p w14:paraId="0F4C98DD" w14:textId="77777777" w:rsidR="00A971F2" w:rsidRPr="00A971F2" w:rsidRDefault="00A971F2" w:rsidP="00A971F2">
      <w:pPr>
        <w:rPr>
          <w:color w:val="auto"/>
        </w:rPr>
      </w:pPr>
      <w:r w:rsidRPr="00A971F2">
        <w:rPr>
          <w:color w:val="auto"/>
        </w:rPr>
        <w:t>Динамика государственного долга в 2025 году обусловлена:</w:t>
      </w:r>
    </w:p>
    <w:p w14:paraId="0890FF46" w14:textId="77777777" w:rsidR="00A971F2" w:rsidRPr="00A971F2" w:rsidRDefault="00A971F2" w:rsidP="00A971F2">
      <w:pPr>
        <w:rPr>
          <w:color w:val="auto"/>
        </w:rPr>
      </w:pPr>
      <w:r w:rsidRPr="00A971F2">
        <w:rPr>
          <w:color w:val="auto"/>
        </w:rPr>
        <w:t>- привлечением казначейского инфраструктурного бюджетного кредита на реализацию инфраструктурных проектов в сумме 1 672,5 млн рублей;</w:t>
      </w:r>
    </w:p>
    <w:p w14:paraId="3D9DE19E" w14:textId="0445B9A0" w:rsidR="00A971F2" w:rsidRPr="00A971F2" w:rsidRDefault="00A971F2" w:rsidP="00A971F2">
      <w:pPr>
        <w:rPr>
          <w:color w:val="auto"/>
        </w:rPr>
      </w:pPr>
      <w:r w:rsidRPr="00A971F2">
        <w:rPr>
          <w:color w:val="auto"/>
        </w:rPr>
        <w:t xml:space="preserve">- списанием задолженности по отдельным бюджетным кредитам в объеме </w:t>
      </w:r>
      <w:r w:rsidR="00A90622">
        <w:rPr>
          <w:color w:val="auto"/>
        </w:rPr>
        <w:br/>
      </w:r>
      <w:r w:rsidRPr="00A971F2">
        <w:rPr>
          <w:color w:val="auto"/>
        </w:rPr>
        <w:t>3 556,8 млн рублей в соответствии с постановлением Правительства Российской Федерации от 1 февраля 2025 г.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14:paraId="6CE54549" w14:textId="77777777" w:rsidR="00A971F2" w:rsidRPr="00A971F2" w:rsidRDefault="00A971F2" w:rsidP="00A971F2">
      <w:pPr>
        <w:rPr>
          <w:color w:val="auto"/>
        </w:rPr>
      </w:pPr>
      <w:r w:rsidRPr="00A971F2">
        <w:rPr>
          <w:color w:val="auto"/>
        </w:rPr>
        <w:t>- погашением задолженности по бюджетным кредитам согласно утвержденным графикам погашения в сумме 461,7 млн рублей, в том числе инфраструктурного бюджетного кредита в сумме 76,4 млн рублей, специального казначейского кредита в сумме 28,5 млн рублей, прочих бюджетных кредитов в сумме 356,8 млн рублей.</w:t>
      </w:r>
    </w:p>
    <w:p w14:paraId="3E27DF79" w14:textId="40A5FB5F" w:rsidR="00426210" w:rsidRPr="00946570" w:rsidRDefault="00A971F2" w:rsidP="00A971F2">
      <w:pPr>
        <w:rPr>
          <w:color w:val="auto"/>
        </w:rPr>
      </w:pPr>
      <w:r w:rsidRPr="00A971F2">
        <w:rPr>
          <w:color w:val="auto"/>
        </w:rPr>
        <w:t>Доля общего объема государственного долга в объеме доходов республиканского бюджета без учета безвозмездных поступлений составила 21,5 %.</w:t>
      </w:r>
      <w:r>
        <w:rPr>
          <w:color w:val="auto"/>
        </w:rPr>
        <w:t xml:space="preserve"> </w:t>
      </w:r>
      <w:r w:rsidR="004C3927" w:rsidRPr="00946570">
        <w:rPr>
          <w:color w:val="auto"/>
          <w:lang w:eastAsia="ru-RU"/>
        </w:rPr>
        <w:t>Структура республиканского внутреннего долга по состоянию на 1 января</w:t>
      </w:r>
      <w:r w:rsidR="00A77BA1">
        <w:rPr>
          <w:color w:val="auto"/>
          <w:lang w:eastAsia="ru-RU"/>
        </w:rPr>
        <w:t xml:space="preserve"> </w:t>
      </w:r>
      <w:r w:rsidR="004C3927" w:rsidRPr="00946570">
        <w:rPr>
          <w:color w:val="auto"/>
          <w:lang w:eastAsia="ru-RU"/>
        </w:rPr>
        <w:t>202</w:t>
      </w:r>
      <w:r w:rsidR="00946570" w:rsidRPr="00946570">
        <w:rPr>
          <w:color w:val="auto"/>
          <w:lang w:eastAsia="ru-RU"/>
        </w:rPr>
        <w:t>6</w:t>
      </w:r>
      <w:r w:rsidR="004C3927" w:rsidRPr="00946570">
        <w:rPr>
          <w:color w:val="auto"/>
          <w:lang w:eastAsia="ru-RU"/>
        </w:rPr>
        <w:t xml:space="preserve"> года характеризуется следующим образом:</w:t>
      </w:r>
    </w:p>
    <w:p w14:paraId="6A67946B" w14:textId="77777777" w:rsidR="002F769C" w:rsidRDefault="002F769C" w:rsidP="006B3DF7">
      <w:pPr>
        <w:pStyle w:val="af"/>
        <w:tabs>
          <w:tab w:val="left" w:pos="993"/>
        </w:tabs>
        <w:spacing w:after="0"/>
        <w:ind w:left="0"/>
        <w:jc w:val="right"/>
        <w:rPr>
          <w:i/>
          <w:color w:val="FF0000"/>
        </w:rPr>
      </w:pPr>
    </w:p>
    <w:p w14:paraId="1AB4FAE7" w14:textId="2AFFABB2" w:rsidR="004C3927" w:rsidRPr="00FE6F91" w:rsidRDefault="00FE6F91" w:rsidP="006B3DF7">
      <w:pPr>
        <w:pStyle w:val="af"/>
        <w:tabs>
          <w:tab w:val="left" w:pos="993"/>
        </w:tabs>
        <w:spacing w:after="0"/>
        <w:ind w:left="0"/>
        <w:jc w:val="right"/>
        <w:rPr>
          <w:i/>
        </w:rPr>
      </w:pPr>
      <w:r w:rsidRPr="00FE6F91">
        <w:rPr>
          <w:i/>
        </w:rPr>
        <w:t>(млн</w:t>
      </w:r>
      <w:r w:rsidR="004C3927" w:rsidRPr="00FE6F91">
        <w:rPr>
          <w:i/>
        </w:rPr>
        <w:t xml:space="preserve"> рублей)</w:t>
      </w:r>
    </w:p>
    <w:tbl>
      <w:tblPr>
        <w:tblW w:w="10374" w:type="dxa"/>
        <w:jc w:val="center"/>
        <w:tblLook w:val="04A0" w:firstRow="1" w:lastRow="0" w:firstColumn="1" w:lastColumn="0" w:noHBand="0" w:noVBand="1"/>
      </w:tblPr>
      <w:tblGrid>
        <w:gridCol w:w="3372"/>
        <w:gridCol w:w="1599"/>
        <w:gridCol w:w="1454"/>
        <w:gridCol w:w="1255"/>
        <w:gridCol w:w="1095"/>
        <w:gridCol w:w="1599"/>
      </w:tblGrid>
      <w:tr w:rsidR="00FE6F91" w:rsidRPr="00196648" w14:paraId="505BEBCE" w14:textId="77777777" w:rsidTr="00FE6F91">
        <w:trPr>
          <w:trHeight w:val="696"/>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0F805D" w14:textId="77777777" w:rsidR="00FE6F91" w:rsidRPr="00196648" w:rsidRDefault="00FE6F91" w:rsidP="008E68AB">
            <w:pPr>
              <w:widowControl/>
              <w:ind w:firstLine="0"/>
              <w:jc w:val="center"/>
              <w:rPr>
                <w:color w:val="000000"/>
                <w:sz w:val="24"/>
                <w:szCs w:val="24"/>
                <w:lang w:eastAsia="ru-RU"/>
              </w:rPr>
            </w:pPr>
            <w:r w:rsidRPr="00196648">
              <w:rPr>
                <w:color w:val="000000"/>
                <w:sz w:val="24"/>
                <w:szCs w:val="24"/>
                <w:lang w:eastAsia="ru-RU"/>
              </w:rPr>
              <w:t>Виды долговых обязательств</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C614D" w14:textId="45EE917B"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 xml:space="preserve">Остаток к оплате на 1.01.2025 </w:t>
            </w:r>
            <w:r w:rsidR="003D4698">
              <w:rPr>
                <w:color w:val="000000"/>
                <w:sz w:val="24"/>
                <w:szCs w:val="24"/>
                <w:lang w:eastAsia="ru-RU"/>
              </w:rPr>
              <w:t>года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DA802" w14:textId="77777777" w:rsidR="00FE6F91" w:rsidRPr="00196648" w:rsidRDefault="00FE6F91" w:rsidP="008E68AB">
            <w:pPr>
              <w:widowControl/>
              <w:ind w:firstLine="0"/>
              <w:jc w:val="center"/>
              <w:rPr>
                <w:color w:val="000000"/>
                <w:sz w:val="24"/>
                <w:szCs w:val="24"/>
                <w:lang w:eastAsia="ru-RU"/>
              </w:rPr>
            </w:pPr>
            <w:r w:rsidRPr="00196648">
              <w:rPr>
                <w:color w:val="000000"/>
                <w:sz w:val="24"/>
                <w:szCs w:val="24"/>
                <w:lang w:eastAsia="ru-RU"/>
              </w:rPr>
              <w:t>Привлечено</w:t>
            </w:r>
          </w:p>
        </w:tc>
        <w:tc>
          <w:tcPr>
            <w:tcW w:w="0" w:type="auto"/>
            <w:tcBorders>
              <w:top w:val="single" w:sz="4" w:space="0" w:color="auto"/>
              <w:left w:val="nil"/>
              <w:bottom w:val="single" w:sz="4" w:space="0" w:color="auto"/>
              <w:right w:val="single" w:sz="4" w:space="0" w:color="auto"/>
            </w:tcBorders>
            <w:vAlign w:val="center"/>
            <w:hideMark/>
          </w:tcPr>
          <w:p w14:paraId="7C5310D1" w14:textId="77777777" w:rsidR="00FE6F91" w:rsidRPr="00196648" w:rsidRDefault="00FE6F91" w:rsidP="008E68AB">
            <w:pPr>
              <w:widowControl/>
              <w:ind w:firstLine="0"/>
              <w:jc w:val="center"/>
              <w:rPr>
                <w:color w:val="000000"/>
                <w:sz w:val="24"/>
                <w:szCs w:val="24"/>
                <w:lang w:eastAsia="ru-RU"/>
              </w:rPr>
            </w:pPr>
            <w:r w:rsidRPr="00196648">
              <w:rPr>
                <w:color w:val="000000"/>
                <w:sz w:val="24"/>
                <w:szCs w:val="24"/>
                <w:lang w:eastAsia="ru-RU"/>
              </w:rPr>
              <w:t>Погашено</w:t>
            </w:r>
          </w:p>
        </w:tc>
        <w:tc>
          <w:tcPr>
            <w:tcW w:w="0" w:type="auto"/>
            <w:tcBorders>
              <w:top w:val="single" w:sz="4" w:space="0" w:color="auto"/>
              <w:left w:val="single" w:sz="4" w:space="0" w:color="auto"/>
              <w:bottom w:val="single" w:sz="4" w:space="0" w:color="auto"/>
              <w:right w:val="single" w:sz="4" w:space="0" w:color="auto"/>
            </w:tcBorders>
            <w:vAlign w:val="center"/>
          </w:tcPr>
          <w:p w14:paraId="19B915B1"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Списано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1F333" w14:textId="51D2EFA1" w:rsidR="00FE6F91" w:rsidRPr="00196648" w:rsidRDefault="00FE6F91" w:rsidP="008E68AB">
            <w:pPr>
              <w:widowControl/>
              <w:ind w:firstLine="0"/>
              <w:jc w:val="center"/>
              <w:rPr>
                <w:color w:val="000000"/>
                <w:sz w:val="24"/>
                <w:szCs w:val="24"/>
                <w:lang w:eastAsia="ru-RU"/>
              </w:rPr>
            </w:pPr>
            <w:r w:rsidRPr="00196648">
              <w:rPr>
                <w:color w:val="000000"/>
                <w:sz w:val="24"/>
                <w:szCs w:val="24"/>
                <w:lang w:eastAsia="ru-RU"/>
              </w:rPr>
              <w:t xml:space="preserve">Остаток к оплате на 1.01.2026 </w:t>
            </w:r>
            <w:r w:rsidR="003D4698">
              <w:rPr>
                <w:color w:val="000000"/>
                <w:sz w:val="24"/>
                <w:szCs w:val="24"/>
                <w:lang w:eastAsia="ru-RU"/>
              </w:rPr>
              <w:t>года</w:t>
            </w:r>
          </w:p>
        </w:tc>
      </w:tr>
      <w:tr w:rsidR="00FE6F91" w:rsidRPr="00196648" w14:paraId="780A9467" w14:textId="77777777" w:rsidTr="00FE6F91">
        <w:trPr>
          <w:trHeight w:val="272"/>
          <w:jc w:val="center"/>
        </w:trPr>
        <w:tc>
          <w:tcPr>
            <w:tcW w:w="0" w:type="auto"/>
            <w:tcBorders>
              <w:top w:val="single" w:sz="4" w:space="0" w:color="auto"/>
              <w:left w:val="single" w:sz="4" w:space="0" w:color="auto"/>
              <w:bottom w:val="single" w:sz="4" w:space="0" w:color="auto"/>
              <w:right w:val="single" w:sz="4" w:space="0" w:color="auto"/>
            </w:tcBorders>
            <w:hideMark/>
          </w:tcPr>
          <w:p w14:paraId="71721679" w14:textId="77777777" w:rsidR="00FE6F91" w:rsidRPr="00196648" w:rsidRDefault="00FE6F91" w:rsidP="008E68AB">
            <w:pPr>
              <w:widowControl/>
              <w:tabs>
                <w:tab w:val="left" w:pos="993"/>
              </w:tabs>
              <w:ind w:firstLine="0"/>
              <w:jc w:val="left"/>
              <w:rPr>
                <w:color w:val="000000"/>
                <w:sz w:val="24"/>
                <w:szCs w:val="24"/>
                <w:lang w:eastAsia="ru-RU"/>
              </w:rPr>
            </w:pPr>
            <w:r w:rsidRPr="00196648">
              <w:rPr>
                <w:color w:val="000000"/>
                <w:sz w:val="24"/>
                <w:szCs w:val="24"/>
                <w:lang w:eastAsia="ru-RU"/>
              </w:rPr>
              <w:t>Объем основного долга по банковским кредитам, всего</w:t>
            </w:r>
          </w:p>
        </w:tc>
        <w:tc>
          <w:tcPr>
            <w:tcW w:w="0" w:type="auto"/>
            <w:tcBorders>
              <w:top w:val="single" w:sz="4" w:space="0" w:color="auto"/>
              <w:left w:val="nil"/>
              <w:bottom w:val="single" w:sz="4" w:space="0" w:color="auto"/>
              <w:right w:val="single" w:sz="4" w:space="0" w:color="auto"/>
            </w:tcBorders>
            <w:noWrap/>
            <w:vAlign w:val="center"/>
          </w:tcPr>
          <w:p w14:paraId="40D51B97"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0,0</w:t>
            </w:r>
          </w:p>
        </w:tc>
        <w:tc>
          <w:tcPr>
            <w:tcW w:w="0" w:type="auto"/>
            <w:tcBorders>
              <w:top w:val="single" w:sz="4" w:space="0" w:color="auto"/>
              <w:left w:val="nil"/>
              <w:bottom w:val="single" w:sz="4" w:space="0" w:color="auto"/>
              <w:right w:val="single" w:sz="4" w:space="0" w:color="auto"/>
            </w:tcBorders>
            <w:vAlign w:val="center"/>
          </w:tcPr>
          <w:p w14:paraId="4A903E9B" w14:textId="77777777" w:rsidR="00FE6F91" w:rsidRPr="00196648" w:rsidRDefault="00FE6F91" w:rsidP="008E68AB">
            <w:pPr>
              <w:widowControl/>
              <w:ind w:firstLine="0"/>
              <w:jc w:val="center"/>
              <w:rPr>
                <w:color w:val="auto"/>
                <w:sz w:val="24"/>
                <w:szCs w:val="24"/>
                <w:lang w:eastAsia="ru-RU"/>
              </w:rPr>
            </w:pPr>
            <w:r w:rsidRPr="00196648">
              <w:rPr>
                <w:color w:val="auto"/>
                <w:sz w:val="24"/>
                <w:szCs w:val="24"/>
                <w:lang w:eastAsia="ru-RU"/>
              </w:rPr>
              <w:t>-</w:t>
            </w:r>
          </w:p>
        </w:tc>
        <w:tc>
          <w:tcPr>
            <w:tcW w:w="0" w:type="auto"/>
            <w:tcBorders>
              <w:top w:val="single" w:sz="4" w:space="0" w:color="auto"/>
              <w:left w:val="nil"/>
              <w:bottom w:val="single" w:sz="4" w:space="0" w:color="auto"/>
              <w:right w:val="single" w:sz="4" w:space="0" w:color="auto"/>
            </w:tcBorders>
            <w:noWrap/>
            <w:vAlign w:val="center"/>
          </w:tcPr>
          <w:p w14:paraId="1ABE967B"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auto"/>
                <w:sz w:val="24"/>
                <w:szCs w:val="24"/>
                <w:lang w:eastAsia="ru-RU"/>
              </w:rPr>
              <w:t>-</w:t>
            </w:r>
          </w:p>
        </w:tc>
        <w:tc>
          <w:tcPr>
            <w:tcW w:w="0" w:type="auto"/>
            <w:tcBorders>
              <w:top w:val="single" w:sz="4" w:space="0" w:color="auto"/>
              <w:left w:val="nil"/>
              <w:bottom w:val="single" w:sz="4" w:space="0" w:color="auto"/>
              <w:right w:val="single" w:sz="4" w:space="0" w:color="auto"/>
            </w:tcBorders>
            <w:vAlign w:val="center"/>
          </w:tcPr>
          <w:p w14:paraId="1C9F9BD1"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nil"/>
              <w:left w:val="single" w:sz="4" w:space="0" w:color="auto"/>
              <w:bottom w:val="single" w:sz="4" w:space="0" w:color="auto"/>
              <w:right w:val="single" w:sz="4" w:space="0" w:color="auto"/>
            </w:tcBorders>
            <w:noWrap/>
            <w:vAlign w:val="center"/>
          </w:tcPr>
          <w:p w14:paraId="32295E12"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0,0</w:t>
            </w:r>
          </w:p>
        </w:tc>
      </w:tr>
      <w:tr w:rsidR="00FE6F91" w:rsidRPr="00196648" w14:paraId="6FF17CD3" w14:textId="77777777" w:rsidTr="00FE6F91">
        <w:trPr>
          <w:trHeight w:val="444"/>
          <w:jc w:val="center"/>
        </w:trPr>
        <w:tc>
          <w:tcPr>
            <w:tcW w:w="0" w:type="auto"/>
            <w:tcBorders>
              <w:top w:val="nil"/>
              <w:left w:val="single" w:sz="4" w:space="0" w:color="auto"/>
              <w:bottom w:val="single" w:sz="4" w:space="0" w:color="auto"/>
              <w:right w:val="single" w:sz="4" w:space="0" w:color="auto"/>
            </w:tcBorders>
            <w:hideMark/>
          </w:tcPr>
          <w:p w14:paraId="48EC38A4" w14:textId="77777777" w:rsidR="00FE6F91" w:rsidRPr="00196648" w:rsidRDefault="00FE6F91" w:rsidP="008E68AB">
            <w:pPr>
              <w:widowControl/>
              <w:tabs>
                <w:tab w:val="left" w:pos="993"/>
              </w:tabs>
              <w:ind w:firstLine="0"/>
              <w:jc w:val="left"/>
              <w:rPr>
                <w:color w:val="000000"/>
                <w:sz w:val="24"/>
                <w:szCs w:val="24"/>
                <w:lang w:eastAsia="ru-RU"/>
              </w:rPr>
            </w:pPr>
            <w:r w:rsidRPr="00196648">
              <w:rPr>
                <w:color w:val="000000"/>
                <w:sz w:val="24"/>
                <w:szCs w:val="24"/>
                <w:lang w:eastAsia="ru-RU"/>
              </w:rPr>
              <w:t>Объем основного долга по бюджетным кредитам, полученным из федерального бюджета</w:t>
            </w:r>
          </w:p>
        </w:tc>
        <w:tc>
          <w:tcPr>
            <w:tcW w:w="0" w:type="auto"/>
            <w:tcBorders>
              <w:top w:val="nil"/>
              <w:left w:val="nil"/>
              <w:bottom w:val="single" w:sz="4" w:space="0" w:color="auto"/>
              <w:right w:val="single" w:sz="4" w:space="0" w:color="auto"/>
            </w:tcBorders>
            <w:noWrap/>
            <w:vAlign w:val="center"/>
          </w:tcPr>
          <w:p w14:paraId="2945C3EC" w14:textId="77777777" w:rsidR="00FE6F91" w:rsidRPr="00196648" w:rsidRDefault="00FE6F91" w:rsidP="008E68AB">
            <w:pPr>
              <w:widowControl/>
              <w:ind w:firstLine="0"/>
              <w:jc w:val="center"/>
              <w:rPr>
                <w:color w:val="auto"/>
                <w:sz w:val="24"/>
                <w:szCs w:val="24"/>
                <w:lang w:eastAsia="ru-RU"/>
              </w:rPr>
            </w:pPr>
            <w:r w:rsidRPr="00196648">
              <w:rPr>
                <w:color w:val="auto"/>
                <w:sz w:val="24"/>
                <w:szCs w:val="24"/>
                <w:lang w:eastAsia="ru-RU"/>
              </w:rPr>
              <w:t>6 121,7</w:t>
            </w:r>
          </w:p>
        </w:tc>
        <w:tc>
          <w:tcPr>
            <w:tcW w:w="0" w:type="auto"/>
            <w:tcBorders>
              <w:top w:val="nil"/>
              <w:left w:val="nil"/>
              <w:bottom w:val="single" w:sz="4" w:space="0" w:color="auto"/>
              <w:right w:val="single" w:sz="4" w:space="0" w:color="auto"/>
            </w:tcBorders>
            <w:vAlign w:val="center"/>
          </w:tcPr>
          <w:p w14:paraId="7479EE20" w14:textId="77777777" w:rsidR="00FE6F91" w:rsidRPr="00196648" w:rsidRDefault="00FE6F91" w:rsidP="008E68AB">
            <w:pPr>
              <w:widowControl/>
              <w:ind w:firstLine="0"/>
              <w:jc w:val="center"/>
              <w:rPr>
                <w:color w:val="auto"/>
                <w:sz w:val="24"/>
                <w:szCs w:val="24"/>
                <w:lang w:eastAsia="ru-RU"/>
              </w:rPr>
            </w:pPr>
            <w:r w:rsidRPr="00196648">
              <w:rPr>
                <w:color w:val="auto"/>
                <w:sz w:val="24"/>
                <w:szCs w:val="24"/>
                <w:lang w:eastAsia="ru-RU"/>
              </w:rPr>
              <w:t>-</w:t>
            </w:r>
          </w:p>
        </w:tc>
        <w:tc>
          <w:tcPr>
            <w:tcW w:w="0" w:type="auto"/>
            <w:tcBorders>
              <w:top w:val="nil"/>
              <w:left w:val="nil"/>
              <w:bottom w:val="single" w:sz="4" w:space="0" w:color="auto"/>
              <w:right w:val="single" w:sz="4" w:space="0" w:color="auto"/>
            </w:tcBorders>
            <w:noWrap/>
            <w:vAlign w:val="center"/>
          </w:tcPr>
          <w:p w14:paraId="04B14714"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- 356,8</w:t>
            </w:r>
          </w:p>
        </w:tc>
        <w:tc>
          <w:tcPr>
            <w:tcW w:w="0" w:type="auto"/>
            <w:tcBorders>
              <w:top w:val="single" w:sz="4" w:space="0" w:color="auto"/>
              <w:left w:val="nil"/>
              <w:bottom w:val="single" w:sz="4" w:space="0" w:color="auto"/>
              <w:right w:val="single" w:sz="4" w:space="0" w:color="auto"/>
            </w:tcBorders>
            <w:vAlign w:val="center"/>
          </w:tcPr>
          <w:p w14:paraId="20006AB6" w14:textId="77777777" w:rsidR="00FE6F91" w:rsidRPr="00196648" w:rsidRDefault="00FE6F91" w:rsidP="008E68AB">
            <w:pPr>
              <w:widowControl/>
              <w:ind w:firstLine="0"/>
              <w:jc w:val="center"/>
              <w:rPr>
                <w:color w:val="auto"/>
                <w:sz w:val="24"/>
                <w:szCs w:val="24"/>
                <w:lang w:eastAsia="ru-RU"/>
              </w:rPr>
            </w:pPr>
            <w:r w:rsidRPr="00196648">
              <w:rPr>
                <w:color w:val="auto"/>
                <w:sz w:val="24"/>
                <w:szCs w:val="24"/>
                <w:lang w:eastAsia="ru-RU"/>
              </w:rPr>
              <w:t>- 3 556,8</w:t>
            </w:r>
          </w:p>
        </w:tc>
        <w:tc>
          <w:tcPr>
            <w:tcW w:w="0" w:type="auto"/>
            <w:tcBorders>
              <w:top w:val="nil"/>
              <w:left w:val="single" w:sz="4" w:space="0" w:color="auto"/>
              <w:bottom w:val="single" w:sz="4" w:space="0" w:color="auto"/>
              <w:right w:val="single" w:sz="4" w:space="0" w:color="auto"/>
            </w:tcBorders>
            <w:noWrap/>
            <w:vAlign w:val="center"/>
          </w:tcPr>
          <w:p w14:paraId="4B0A948B" w14:textId="77777777" w:rsidR="00FE6F91" w:rsidRPr="00196648" w:rsidRDefault="00FE6F91" w:rsidP="008E68AB">
            <w:pPr>
              <w:widowControl/>
              <w:ind w:firstLine="0"/>
              <w:jc w:val="center"/>
              <w:rPr>
                <w:color w:val="auto"/>
                <w:sz w:val="24"/>
                <w:szCs w:val="24"/>
                <w:lang w:eastAsia="ru-RU"/>
              </w:rPr>
            </w:pPr>
            <w:bookmarkStart w:id="86" w:name="_Hlk224133172"/>
            <w:r w:rsidRPr="00196648">
              <w:rPr>
                <w:color w:val="auto"/>
                <w:sz w:val="24"/>
                <w:szCs w:val="24"/>
                <w:lang w:eastAsia="ru-RU"/>
              </w:rPr>
              <w:t>2 208,2</w:t>
            </w:r>
            <w:bookmarkEnd w:id="86"/>
          </w:p>
        </w:tc>
      </w:tr>
      <w:tr w:rsidR="00FE6F91" w:rsidRPr="00196648" w14:paraId="19662F96" w14:textId="77777777" w:rsidTr="00FE6F91">
        <w:trPr>
          <w:trHeight w:val="206"/>
          <w:jc w:val="center"/>
        </w:trPr>
        <w:tc>
          <w:tcPr>
            <w:tcW w:w="0" w:type="auto"/>
            <w:tcBorders>
              <w:top w:val="nil"/>
              <w:left w:val="single" w:sz="4" w:space="0" w:color="auto"/>
              <w:bottom w:val="single" w:sz="4" w:space="0" w:color="auto"/>
              <w:right w:val="single" w:sz="4" w:space="0" w:color="auto"/>
            </w:tcBorders>
          </w:tcPr>
          <w:p w14:paraId="1E4E8CD0" w14:textId="77777777" w:rsidR="00FE6F91" w:rsidRPr="00196648" w:rsidRDefault="00FE6F91" w:rsidP="008E68AB">
            <w:pPr>
              <w:widowControl/>
              <w:tabs>
                <w:tab w:val="left" w:pos="993"/>
              </w:tabs>
              <w:ind w:firstLine="0"/>
              <w:jc w:val="left"/>
              <w:rPr>
                <w:color w:val="000000"/>
                <w:sz w:val="24"/>
                <w:szCs w:val="24"/>
                <w:lang w:eastAsia="ru-RU"/>
              </w:rPr>
            </w:pPr>
            <w:r w:rsidRPr="00196648">
              <w:rPr>
                <w:color w:val="000000"/>
                <w:sz w:val="24"/>
                <w:szCs w:val="24"/>
                <w:lang w:eastAsia="ru-RU"/>
              </w:rPr>
              <w:t>Инфраструктурные кредиты</w:t>
            </w:r>
          </w:p>
        </w:tc>
        <w:tc>
          <w:tcPr>
            <w:tcW w:w="0" w:type="auto"/>
            <w:tcBorders>
              <w:top w:val="nil"/>
              <w:left w:val="nil"/>
              <w:bottom w:val="single" w:sz="4" w:space="0" w:color="auto"/>
              <w:right w:val="single" w:sz="4" w:space="0" w:color="auto"/>
            </w:tcBorders>
            <w:noWrap/>
            <w:vAlign w:val="center"/>
          </w:tcPr>
          <w:p w14:paraId="467CB93D"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1 039,4</w:t>
            </w:r>
          </w:p>
        </w:tc>
        <w:tc>
          <w:tcPr>
            <w:tcW w:w="0" w:type="auto"/>
            <w:tcBorders>
              <w:top w:val="nil"/>
              <w:left w:val="nil"/>
              <w:bottom w:val="single" w:sz="4" w:space="0" w:color="auto"/>
              <w:right w:val="single" w:sz="4" w:space="0" w:color="auto"/>
            </w:tcBorders>
            <w:vAlign w:val="center"/>
          </w:tcPr>
          <w:p w14:paraId="39DB4369"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nil"/>
              <w:left w:val="nil"/>
              <w:bottom w:val="single" w:sz="4" w:space="0" w:color="auto"/>
              <w:right w:val="single" w:sz="4" w:space="0" w:color="auto"/>
            </w:tcBorders>
            <w:noWrap/>
            <w:vAlign w:val="center"/>
          </w:tcPr>
          <w:p w14:paraId="2BB5DC5A"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- 76,4</w:t>
            </w:r>
          </w:p>
        </w:tc>
        <w:tc>
          <w:tcPr>
            <w:tcW w:w="0" w:type="auto"/>
            <w:tcBorders>
              <w:top w:val="single" w:sz="4" w:space="0" w:color="auto"/>
              <w:left w:val="nil"/>
              <w:bottom w:val="single" w:sz="4" w:space="0" w:color="auto"/>
              <w:right w:val="single" w:sz="4" w:space="0" w:color="auto"/>
            </w:tcBorders>
            <w:vAlign w:val="center"/>
          </w:tcPr>
          <w:p w14:paraId="7AD32DED"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nil"/>
              <w:left w:val="single" w:sz="4" w:space="0" w:color="auto"/>
              <w:bottom w:val="single" w:sz="4" w:space="0" w:color="auto"/>
              <w:right w:val="single" w:sz="4" w:space="0" w:color="auto"/>
            </w:tcBorders>
            <w:noWrap/>
            <w:vAlign w:val="center"/>
          </w:tcPr>
          <w:p w14:paraId="1295D702"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963,0</w:t>
            </w:r>
          </w:p>
        </w:tc>
      </w:tr>
      <w:tr w:rsidR="00FE6F91" w:rsidRPr="00196648" w14:paraId="07DFC0BB" w14:textId="77777777" w:rsidTr="00FE6F91">
        <w:trPr>
          <w:trHeight w:val="206"/>
          <w:jc w:val="center"/>
        </w:trPr>
        <w:tc>
          <w:tcPr>
            <w:tcW w:w="0" w:type="auto"/>
            <w:tcBorders>
              <w:top w:val="nil"/>
              <w:left w:val="single" w:sz="4" w:space="0" w:color="auto"/>
              <w:bottom w:val="single" w:sz="4" w:space="0" w:color="auto"/>
              <w:right w:val="single" w:sz="4" w:space="0" w:color="auto"/>
            </w:tcBorders>
          </w:tcPr>
          <w:p w14:paraId="003C4864" w14:textId="77777777" w:rsidR="00FE6F91" w:rsidRPr="00196648" w:rsidRDefault="00FE6F91" w:rsidP="008E68AB">
            <w:pPr>
              <w:widowControl/>
              <w:tabs>
                <w:tab w:val="left" w:pos="993"/>
              </w:tabs>
              <w:ind w:firstLine="0"/>
              <w:jc w:val="left"/>
              <w:rPr>
                <w:color w:val="000000"/>
                <w:sz w:val="24"/>
                <w:szCs w:val="24"/>
                <w:lang w:eastAsia="ru-RU"/>
              </w:rPr>
            </w:pPr>
            <w:r w:rsidRPr="00196648">
              <w:rPr>
                <w:color w:val="000000"/>
                <w:sz w:val="24"/>
                <w:szCs w:val="24"/>
                <w:lang w:eastAsia="ru-RU"/>
              </w:rPr>
              <w:t>Специальный казначейский кредит</w:t>
            </w:r>
          </w:p>
        </w:tc>
        <w:tc>
          <w:tcPr>
            <w:tcW w:w="0" w:type="auto"/>
            <w:tcBorders>
              <w:top w:val="nil"/>
              <w:left w:val="nil"/>
              <w:bottom w:val="single" w:sz="4" w:space="0" w:color="auto"/>
              <w:right w:val="single" w:sz="4" w:space="0" w:color="auto"/>
            </w:tcBorders>
            <w:noWrap/>
            <w:vAlign w:val="center"/>
          </w:tcPr>
          <w:p w14:paraId="23B1CEF7"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398,6</w:t>
            </w:r>
          </w:p>
        </w:tc>
        <w:tc>
          <w:tcPr>
            <w:tcW w:w="0" w:type="auto"/>
            <w:tcBorders>
              <w:top w:val="nil"/>
              <w:left w:val="nil"/>
              <w:bottom w:val="single" w:sz="4" w:space="0" w:color="auto"/>
              <w:right w:val="single" w:sz="4" w:space="0" w:color="auto"/>
            </w:tcBorders>
            <w:vAlign w:val="center"/>
          </w:tcPr>
          <w:p w14:paraId="775D9AC4"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nil"/>
              <w:left w:val="nil"/>
              <w:bottom w:val="single" w:sz="4" w:space="0" w:color="auto"/>
              <w:right w:val="single" w:sz="4" w:space="0" w:color="auto"/>
            </w:tcBorders>
            <w:noWrap/>
            <w:vAlign w:val="center"/>
          </w:tcPr>
          <w:p w14:paraId="5D0752E7"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- 28,5</w:t>
            </w:r>
          </w:p>
        </w:tc>
        <w:tc>
          <w:tcPr>
            <w:tcW w:w="0" w:type="auto"/>
            <w:tcBorders>
              <w:top w:val="single" w:sz="4" w:space="0" w:color="auto"/>
              <w:left w:val="nil"/>
              <w:bottom w:val="single" w:sz="4" w:space="0" w:color="auto"/>
              <w:right w:val="single" w:sz="4" w:space="0" w:color="auto"/>
            </w:tcBorders>
            <w:vAlign w:val="center"/>
          </w:tcPr>
          <w:p w14:paraId="7D0451F0"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nil"/>
              <w:left w:val="single" w:sz="4" w:space="0" w:color="auto"/>
              <w:bottom w:val="single" w:sz="4" w:space="0" w:color="auto"/>
              <w:right w:val="single" w:sz="4" w:space="0" w:color="auto"/>
            </w:tcBorders>
            <w:noWrap/>
            <w:vAlign w:val="center"/>
          </w:tcPr>
          <w:p w14:paraId="29C86537"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370,1</w:t>
            </w:r>
          </w:p>
        </w:tc>
      </w:tr>
      <w:tr w:rsidR="00FE6F91" w:rsidRPr="00196648" w14:paraId="6EAD40AD" w14:textId="77777777" w:rsidTr="00FE6F91">
        <w:trPr>
          <w:trHeight w:val="206"/>
          <w:jc w:val="center"/>
        </w:trPr>
        <w:tc>
          <w:tcPr>
            <w:tcW w:w="0" w:type="auto"/>
            <w:tcBorders>
              <w:top w:val="nil"/>
              <w:left w:val="single" w:sz="4" w:space="0" w:color="auto"/>
              <w:bottom w:val="single" w:sz="4" w:space="0" w:color="auto"/>
              <w:right w:val="single" w:sz="4" w:space="0" w:color="auto"/>
            </w:tcBorders>
          </w:tcPr>
          <w:p w14:paraId="2DF17FEE" w14:textId="77777777" w:rsidR="00FE6F91" w:rsidRPr="00196648" w:rsidRDefault="00FE6F91" w:rsidP="008E68AB">
            <w:pPr>
              <w:widowControl/>
              <w:tabs>
                <w:tab w:val="left" w:pos="993"/>
              </w:tabs>
              <w:ind w:firstLine="0"/>
              <w:jc w:val="left"/>
              <w:rPr>
                <w:color w:val="000000"/>
                <w:sz w:val="24"/>
                <w:szCs w:val="24"/>
                <w:lang w:eastAsia="ru-RU"/>
              </w:rPr>
            </w:pPr>
            <w:r w:rsidRPr="00196648">
              <w:rPr>
                <w:color w:val="000000"/>
                <w:sz w:val="24"/>
                <w:szCs w:val="24"/>
                <w:lang w:eastAsia="ru-RU"/>
              </w:rPr>
              <w:t>Казначейский инфраструктурный кредит</w:t>
            </w:r>
          </w:p>
        </w:tc>
        <w:tc>
          <w:tcPr>
            <w:tcW w:w="0" w:type="auto"/>
            <w:tcBorders>
              <w:top w:val="nil"/>
              <w:left w:val="nil"/>
              <w:bottom w:val="single" w:sz="4" w:space="0" w:color="auto"/>
              <w:right w:val="single" w:sz="4" w:space="0" w:color="auto"/>
            </w:tcBorders>
            <w:noWrap/>
            <w:vAlign w:val="center"/>
          </w:tcPr>
          <w:p w14:paraId="24C59791"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0,0</w:t>
            </w:r>
          </w:p>
        </w:tc>
        <w:tc>
          <w:tcPr>
            <w:tcW w:w="0" w:type="auto"/>
            <w:tcBorders>
              <w:top w:val="nil"/>
              <w:left w:val="nil"/>
              <w:bottom w:val="single" w:sz="4" w:space="0" w:color="auto"/>
              <w:right w:val="single" w:sz="4" w:space="0" w:color="auto"/>
            </w:tcBorders>
            <w:vAlign w:val="center"/>
          </w:tcPr>
          <w:p w14:paraId="4B5461CD" w14:textId="77777777" w:rsidR="00FE6F91" w:rsidRPr="00196648" w:rsidRDefault="00FE6F91" w:rsidP="008E68AB">
            <w:pPr>
              <w:widowControl/>
              <w:ind w:firstLine="0"/>
              <w:jc w:val="center"/>
              <w:rPr>
                <w:color w:val="000000"/>
                <w:sz w:val="24"/>
                <w:szCs w:val="24"/>
                <w:lang w:eastAsia="ru-RU"/>
              </w:rPr>
            </w:pPr>
            <w:r w:rsidRPr="00196648">
              <w:rPr>
                <w:color w:val="000000"/>
                <w:sz w:val="24"/>
                <w:szCs w:val="24"/>
                <w:lang w:eastAsia="ru-RU"/>
              </w:rPr>
              <w:t>1 672,5</w:t>
            </w:r>
          </w:p>
        </w:tc>
        <w:tc>
          <w:tcPr>
            <w:tcW w:w="0" w:type="auto"/>
            <w:tcBorders>
              <w:top w:val="nil"/>
              <w:left w:val="nil"/>
              <w:bottom w:val="single" w:sz="4" w:space="0" w:color="auto"/>
              <w:right w:val="single" w:sz="4" w:space="0" w:color="auto"/>
            </w:tcBorders>
            <w:noWrap/>
            <w:vAlign w:val="center"/>
          </w:tcPr>
          <w:p w14:paraId="7F38E44A"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single" w:sz="4" w:space="0" w:color="auto"/>
              <w:left w:val="nil"/>
              <w:bottom w:val="single" w:sz="4" w:space="0" w:color="auto"/>
              <w:right w:val="single" w:sz="4" w:space="0" w:color="auto"/>
            </w:tcBorders>
            <w:vAlign w:val="center"/>
          </w:tcPr>
          <w:p w14:paraId="449ADD86"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nil"/>
              <w:left w:val="single" w:sz="4" w:space="0" w:color="auto"/>
              <w:bottom w:val="single" w:sz="4" w:space="0" w:color="auto"/>
              <w:right w:val="single" w:sz="4" w:space="0" w:color="auto"/>
            </w:tcBorders>
            <w:noWrap/>
            <w:vAlign w:val="center"/>
          </w:tcPr>
          <w:p w14:paraId="0431343A"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1 672,5</w:t>
            </w:r>
          </w:p>
        </w:tc>
      </w:tr>
      <w:tr w:rsidR="00FE6F91" w:rsidRPr="00196648" w14:paraId="1882AAE0" w14:textId="77777777" w:rsidTr="00FE6F91">
        <w:trPr>
          <w:trHeight w:val="206"/>
          <w:jc w:val="center"/>
        </w:trPr>
        <w:tc>
          <w:tcPr>
            <w:tcW w:w="0" w:type="auto"/>
            <w:tcBorders>
              <w:top w:val="nil"/>
              <w:left w:val="single" w:sz="4" w:space="0" w:color="auto"/>
              <w:bottom w:val="single" w:sz="4" w:space="0" w:color="auto"/>
              <w:right w:val="single" w:sz="4" w:space="0" w:color="auto"/>
            </w:tcBorders>
            <w:hideMark/>
          </w:tcPr>
          <w:p w14:paraId="0797221D" w14:textId="77777777" w:rsidR="00FE6F91" w:rsidRPr="00196648" w:rsidRDefault="00FE6F91" w:rsidP="008E68AB">
            <w:pPr>
              <w:widowControl/>
              <w:tabs>
                <w:tab w:val="left" w:pos="993"/>
              </w:tabs>
              <w:ind w:firstLine="0"/>
              <w:jc w:val="left"/>
              <w:rPr>
                <w:color w:val="000000"/>
                <w:sz w:val="24"/>
                <w:szCs w:val="24"/>
                <w:lang w:eastAsia="ru-RU"/>
              </w:rPr>
            </w:pPr>
            <w:r w:rsidRPr="00196648">
              <w:rPr>
                <w:color w:val="000000"/>
                <w:sz w:val="24"/>
                <w:szCs w:val="24"/>
                <w:lang w:eastAsia="ru-RU"/>
              </w:rPr>
              <w:t>Выданные гарантии</w:t>
            </w:r>
            <w:r w:rsidRPr="00196648">
              <w:rPr>
                <w:color w:val="auto"/>
                <w:sz w:val="24"/>
                <w:szCs w:val="24"/>
                <w:lang w:eastAsia="ru-RU"/>
              </w:rPr>
              <w:t xml:space="preserve"> </w:t>
            </w:r>
          </w:p>
        </w:tc>
        <w:tc>
          <w:tcPr>
            <w:tcW w:w="0" w:type="auto"/>
            <w:tcBorders>
              <w:top w:val="nil"/>
              <w:left w:val="nil"/>
              <w:bottom w:val="single" w:sz="4" w:space="0" w:color="auto"/>
              <w:right w:val="single" w:sz="4" w:space="0" w:color="auto"/>
            </w:tcBorders>
            <w:noWrap/>
            <w:vAlign w:val="center"/>
          </w:tcPr>
          <w:p w14:paraId="4C04705A"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0,0</w:t>
            </w:r>
          </w:p>
        </w:tc>
        <w:tc>
          <w:tcPr>
            <w:tcW w:w="0" w:type="auto"/>
            <w:tcBorders>
              <w:top w:val="nil"/>
              <w:left w:val="nil"/>
              <w:bottom w:val="single" w:sz="4" w:space="0" w:color="auto"/>
              <w:right w:val="single" w:sz="4" w:space="0" w:color="auto"/>
            </w:tcBorders>
            <w:vAlign w:val="center"/>
          </w:tcPr>
          <w:p w14:paraId="615700EA"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nil"/>
              <w:left w:val="nil"/>
              <w:bottom w:val="single" w:sz="4" w:space="0" w:color="auto"/>
              <w:right w:val="single" w:sz="4" w:space="0" w:color="auto"/>
            </w:tcBorders>
            <w:noWrap/>
            <w:vAlign w:val="center"/>
          </w:tcPr>
          <w:p w14:paraId="61CAF124"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single" w:sz="4" w:space="0" w:color="auto"/>
              <w:left w:val="nil"/>
              <w:bottom w:val="single" w:sz="4" w:space="0" w:color="auto"/>
              <w:right w:val="single" w:sz="4" w:space="0" w:color="auto"/>
            </w:tcBorders>
            <w:vAlign w:val="center"/>
          </w:tcPr>
          <w:p w14:paraId="4191CDA4"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w:t>
            </w:r>
          </w:p>
        </w:tc>
        <w:tc>
          <w:tcPr>
            <w:tcW w:w="0" w:type="auto"/>
            <w:tcBorders>
              <w:top w:val="nil"/>
              <w:left w:val="single" w:sz="4" w:space="0" w:color="auto"/>
              <w:bottom w:val="single" w:sz="4" w:space="0" w:color="auto"/>
              <w:right w:val="single" w:sz="4" w:space="0" w:color="auto"/>
            </w:tcBorders>
            <w:noWrap/>
            <w:vAlign w:val="center"/>
          </w:tcPr>
          <w:p w14:paraId="118AE512" w14:textId="77777777" w:rsidR="00FE6F91" w:rsidRPr="00196648" w:rsidRDefault="00FE6F91" w:rsidP="008E68AB">
            <w:pPr>
              <w:widowControl/>
              <w:tabs>
                <w:tab w:val="left" w:pos="993"/>
              </w:tabs>
              <w:ind w:firstLine="0"/>
              <w:jc w:val="center"/>
              <w:rPr>
                <w:color w:val="000000"/>
                <w:sz w:val="24"/>
                <w:szCs w:val="24"/>
                <w:lang w:eastAsia="ru-RU"/>
              </w:rPr>
            </w:pPr>
            <w:r w:rsidRPr="00196648">
              <w:rPr>
                <w:color w:val="000000"/>
                <w:sz w:val="24"/>
                <w:szCs w:val="24"/>
                <w:lang w:eastAsia="ru-RU"/>
              </w:rPr>
              <w:t>0,0</w:t>
            </w:r>
          </w:p>
        </w:tc>
      </w:tr>
      <w:tr w:rsidR="00FE6F91" w:rsidRPr="00196648" w14:paraId="027ACD5C" w14:textId="77777777" w:rsidTr="00A77BA1">
        <w:trPr>
          <w:trHeight w:val="520"/>
          <w:jc w:val="center"/>
        </w:trPr>
        <w:tc>
          <w:tcPr>
            <w:tcW w:w="0" w:type="auto"/>
            <w:tcBorders>
              <w:top w:val="nil"/>
              <w:left w:val="single" w:sz="4" w:space="0" w:color="auto"/>
              <w:bottom w:val="single" w:sz="4" w:space="0" w:color="auto"/>
              <w:right w:val="single" w:sz="4" w:space="0" w:color="auto"/>
            </w:tcBorders>
            <w:vAlign w:val="center"/>
            <w:hideMark/>
          </w:tcPr>
          <w:p w14:paraId="67E203DA" w14:textId="77777777" w:rsidR="00FE6F91" w:rsidRPr="00196648" w:rsidRDefault="00FE6F91" w:rsidP="008E68AB">
            <w:pPr>
              <w:widowControl/>
              <w:tabs>
                <w:tab w:val="left" w:pos="993"/>
              </w:tabs>
              <w:ind w:firstLine="0"/>
              <w:jc w:val="left"/>
              <w:rPr>
                <w:b/>
                <w:color w:val="000000"/>
                <w:sz w:val="24"/>
                <w:szCs w:val="24"/>
                <w:lang w:eastAsia="ru-RU"/>
              </w:rPr>
            </w:pPr>
            <w:r w:rsidRPr="00196648">
              <w:rPr>
                <w:b/>
                <w:color w:val="000000"/>
                <w:sz w:val="24"/>
                <w:szCs w:val="24"/>
                <w:lang w:eastAsia="ru-RU"/>
              </w:rPr>
              <w:t>ИТОГО</w:t>
            </w:r>
          </w:p>
        </w:tc>
        <w:tc>
          <w:tcPr>
            <w:tcW w:w="0" w:type="auto"/>
            <w:tcBorders>
              <w:top w:val="nil"/>
              <w:left w:val="nil"/>
              <w:bottom w:val="single" w:sz="4" w:space="0" w:color="auto"/>
              <w:right w:val="single" w:sz="4" w:space="0" w:color="auto"/>
            </w:tcBorders>
            <w:noWrap/>
            <w:vAlign w:val="center"/>
          </w:tcPr>
          <w:p w14:paraId="64BAB00A" w14:textId="77777777" w:rsidR="00FE6F91" w:rsidRPr="00196648" w:rsidRDefault="00FE6F91" w:rsidP="008E68AB">
            <w:pPr>
              <w:widowControl/>
              <w:tabs>
                <w:tab w:val="left" w:pos="993"/>
              </w:tabs>
              <w:ind w:firstLine="0"/>
              <w:jc w:val="center"/>
              <w:rPr>
                <w:b/>
                <w:color w:val="000000"/>
                <w:sz w:val="24"/>
                <w:szCs w:val="24"/>
                <w:lang w:eastAsia="ru-RU"/>
              </w:rPr>
            </w:pPr>
            <w:r w:rsidRPr="00196648">
              <w:rPr>
                <w:b/>
                <w:color w:val="000000"/>
                <w:sz w:val="24"/>
                <w:szCs w:val="24"/>
                <w:lang w:eastAsia="ru-RU"/>
              </w:rPr>
              <w:t>7 559,7</w:t>
            </w:r>
          </w:p>
        </w:tc>
        <w:tc>
          <w:tcPr>
            <w:tcW w:w="0" w:type="auto"/>
            <w:tcBorders>
              <w:top w:val="nil"/>
              <w:left w:val="nil"/>
              <w:bottom w:val="single" w:sz="4" w:space="0" w:color="auto"/>
              <w:right w:val="single" w:sz="4" w:space="0" w:color="auto"/>
            </w:tcBorders>
            <w:vAlign w:val="center"/>
          </w:tcPr>
          <w:p w14:paraId="69005469" w14:textId="77777777" w:rsidR="00FE6F91" w:rsidRPr="00196648" w:rsidRDefault="00FE6F91" w:rsidP="008E68AB">
            <w:pPr>
              <w:widowControl/>
              <w:tabs>
                <w:tab w:val="left" w:pos="993"/>
              </w:tabs>
              <w:ind w:firstLine="0"/>
              <w:jc w:val="center"/>
              <w:rPr>
                <w:b/>
                <w:bCs/>
                <w:color w:val="000000"/>
                <w:sz w:val="24"/>
                <w:szCs w:val="24"/>
                <w:lang w:eastAsia="ru-RU"/>
              </w:rPr>
            </w:pPr>
            <w:r w:rsidRPr="00196648">
              <w:rPr>
                <w:b/>
                <w:bCs/>
                <w:color w:val="000000"/>
                <w:sz w:val="24"/>
                <w:szCs w:val="24"/>
                <w:lang w:eastAsia="ru-RU"/>
              </w:rPr>
              <w:t>1 672,5</w:t>
            </w:r>
          </w:p>
        </w:tc>
        <w:tc>
          <w:tcPr>
            <w:tcW w:w="0" w:type="auto"/>
            <w:tcBorders>
              <w:top w:val="nil"/>
              <w:left w:val="nil"/>
              <w:bottom w:val="single" w:sz="4" w:space="0" w:color="auto"/>
              <w:right w:val="single" w:sz="4" w:space="0" w:color="auto"/>
            </w:tcBorders>
            <w:noWrap/>
            <w:vAlign w:val="center"/>
          </w:tcPr>
          <w:p w14:paraId="4CB325BF" w14:textId="77777777" w:rsidR="00FE6F91" w:rsidRPr="00196648" w:rsidRDefault="00FE6F91" w:rsidP="008E68AB">
            <w:pPr>
              <w:widowControl/>
              <w:tabs>
                <w:tab w:val="left" w:pos="993"/>
              </w:tabs>
              <w:ind w:firstLine="0"/>
              <w:jc w:val="center"/>
              <w:rPr>
                <w:b/>
                <w:bCs/>
                <w:color w:val="000000"/>
                <w:sz w:val="24"/>
                <w:szCs w:val="24"/>
                <w:lang w:eastAsia="ru-RU"/>
              </w:rPr>
            </w:pPr>
            <w:r w:rsidRPr="00196648">
              <w:rPr>
                <w:b/>
                <w:bCs/>
                <w:color w:val="000000"/>
                <w:sz w:val="24"/>
                <w:szCs w:val="24"/>
                <w:lang w:eastAsia="ru-RU"/>
              </w:rPr>
              <w:t>- 461,7</w:t>
            </w:r>
          </w:p>
        </w:tc>
        <w:tc>
          <w:tcPr>
            <w:tcW w:w="0" w:type="auto"/>
            <w:tcBorders>
              <w:top w:val="single" w:sz="4" w:space="0" w:color="auto"/>
              <w:left w:val="nil"/>
              <w:bottom w:val="single" w:sz="4" w:space="0" w:color="auto"/>
              <w:right w:val="single" w:sz="4" w:space="0" w:color="auto"/>
            </w:tcBorders>
            <w:vAlign w:val="center"/>
          </w:tcPr>
          <w:p w14:paraId="0FBBF5EB" w14:textId="231BA235" w:rsidR="00FE6F91" w:rsidRPr="00196648" w:rsidRDefault="00FE6F91" w:rsidP="008E68AB">
            <w:pPr>
              <w:widowControl/>
              <w:tabs>
                <w:tab w:val="left" w:pos="993"/>
              </w:tabs>
              <w:ind w:firstLine="0"/>
              <w:jc w:val="center"/>
              <w:rPr>
                <w:b/>
                <w:bCs/>
                <w:color w:val="000000"/>
                <w:sz w:val="24"/>
                <w:szCs w:val="24"/>
                <w:lang w:eastAsia="ru-RU"/>
              </w:rPr>
            </w:pPr>
            <w:r w:rsidRPr="00196648">
              <w:rPr>
                <w:b/>
                <w:bCs/>
                <w:color w:val="000000"/>
                <w:sz w:val="24"/>
                <w:szCs w:val="24"/>
                <w:lang w:eastAsia="ru-RU"/>
              </w:rPr>
              <w:t>- 3 556,8</w:t>
            </w:r>
          </w:p>
        </w:tc>
        <w:tc>
          <w:tcPr>
            <w:tcW w:w="0" w:type="auto"/>
            <w:tcBorders>
              <w:top w:val="nil"/>
              <w:left w:val="single" w:sz="4" w:space="0" w:color="auto"/>
              <w:bottom w:val="single" w:sz="4" w:space="0" w:color="auto"/>
              <w:right w:val="single" w:sz="4" w:space="0" w:color="auto"/>
            </w:tcBorders>
            <w:noWrap/>
            <w:vAlign w:val="center"/>
          </w:tcPr>
          <w:p w14:paraId="38D5F091" w14:textId="77777777" w:rsidR="00FE6F91" w:rsidRPr="00196648" w:rsidRDefault="00FE6F91" w:rsidP="008E68AB">
            <w:pPr>
              <w:widowControl/>
              <w:tabs>
                <w:tab w:val="left" w:pos="993"/>
              </w:tabs>
              <w:ind w:firstLine="0"/>
              <w:jc w:val="center"/>
              <w:rPr>
                <w:b/>
                <w:bCs/>
                <w:color w:val="000000"/>
                <w:sz w:val="24"/>
                <w:szCs w:val="24"/>
                <w:lang w:eastAsia="ru-RU"/>
              </w:rPr>
            </w:pPr>
            <w:r w:rsidRPr="00196648">
              <w:rPr>
                <w:b/>
                <w:bCs/>
                <w:color w:val="000000"/>
                <w:sz w:val="24"/>
                <w:szCs w:val="24"/>
                <w:lang w:eastAsia="ru-RU"/>
              </w:rPr>
              <w:t>5 213,8</w:t>
            </w:r>
          </w:p>
        </w:tc>
      </w:tr>
    </w:tbl>
    <w:p w14:paraId="5BBB65CB" w14:textId="77777777" w:rsidR="004C3927" w:rsidRPr="00C014DC" w:rsidRDefault="004C3927" w:rsidP="006B3DF7">
      <w:pPr>
        <w:rPr>
          <w:color w:val="FF0000"/>
          <w:sz w:val="16"/>
          <w:szCs w:val="16"/>
        </w:rPr>
      </w:pPr>
    </w:p>
    <w:p w14:paraId="3F3CF696" w14:textId="4AD225BC" w:rsidR="004C3927" w:rsidRPr="00BD5780" w:rsidRDefault="004C3927" w:rsidP="00BD5780">
      <w:pPr>
        <w:rPr>
          <w:color w:val="auto"/>
        </w:rPr>
      </w:pPr>
      <w:r w:rsidRPr="00BD5780">
        <w:rPr>
          <w:color w:val="auto"/>
        </w:rPr>
        <w:t>По итогам 202</w:t>
      </w:r>
      <w:r w:rsidR="002F769C" w:rsidRPr="00BD5780">
        <w:rPr>
          <w:color w:val="auto"/>
        </w:rPr>
        <w:t>5</w:t>
      </w:r>
      <w:r w:rsidRPr="00BD5780">
        <w:rPr>
          <w:color w:val="auto"/>
        </w:rPr>
        <w:t xml:space="preserve"> года республиканский бюджет</w:t>
      </w:r>
      <w:r w:rsidRPr="00BD5780">
        <w:rPr>
          <w:rFonts w:eastAsia="Calibri"/>
          <w:color w:val="auto"/>
        </w:rPr>
        <w:t xml:space="preserve"> Кабардино-Балкарской Республики исполнен с </w:t>
      </w:r>
      <w:r w:rsidRPr="00BD5780">
        <w:rPr>
          <w:color w:val="auto"/>
        </w:rPr>
        <w:t xml:space="preserve">дефицитом </w:t>
      </w:r>
      <w:r w:rsidR="002F769C" w:rsidRPr="00BD5780">
        <w:rPr>
          <w:color w:val="auto"/>
        </w:rPr>
        <w:t>1 987,2</w:t>
      </w:r>
      <w:r w:rsidRPr="00BD5780">
        <w:rPr>
          <w:color w:val="auto"/>
        </w:rPr>
        <w:t xml:space="preserve"> млн рублей</w:t>
      </w:r>
      <w:r w:rsidR="00A02F01" w:rsidRPr="00BD5780">
        <w:rPr>
          <w:color w:val="auto"/>
        </w:rPr>
        <w:t xml:space="preserve"> при прогнозируемом дефиците </w:t>
      </w:r>
      <w:r w:rsidR="00A02F01" w:rsidRPr="00BD5780">
        <w:rPr>
          <w:color w:val="auto"/>
        </w:rPr>
        <w:br/>
        <w:t>4 696,8 млн рублей</w:t>
      </w:r>
      <w:r w:rsidRPr="00BD5780">
        <w:rPr>
          <w:color w:val="auto"/>
        </w:rPr>
        <w:t>.</w:t>
      </w:r>
      <w:r w:rsidR="00A02F01" w:rsidRPr="00BD5780">
        <w:rPr>
          <w:color w:val="auto"/>
        </w:rPr>
        <w:t xml:space="preserve"> </w:t>
      </w:r>
      <w:r w:rsidR="00BD5780" w:rsidRPr="00BD5780">
        <w:rPr>
          <w:color w:val="auto"/>
        </w:rPr>
        <w:t xml:space="preserve">Дефицит обусловлен расходами, источником финансирования которых были переходящие общие остатки на едином счете республиканского бюджета, а также «целевые» остатки (дорожного фонда и казенных учреждений, полученных от приносящей доход деятельности) сложившиеся </w:t>
      </w:r>
      <w:r w:rsidR="00A90622" w:rsidRPr="00BD5780">
        <w:rPr>
          <w:color w:val="auto"/>
        </w:rPr>
        <w:t>на 01.01.2025</w:t>
      </w:r>
      <w:r w:rsidR="00BD5780" w:rsidRPr="00BD5780">
        <w:rPr>
          <w:color w:val="auto"/>
        </w:rPr>
        <w:t xml:space="preserve"> года.</w:t>
      </w:r>
    </w:p>
    <w:p w14:paraId="19BE17ED" w14:textId="77777777" w:rsidR="00A02F01" w:rsidRPr="00A02F01" w:rsidRDefault="00A02F01" w:rsidP="00A02F01">
      <w:pPr>
        <w:pStyle w:val="ab"/>
        <w:tabs>
          <w:tab w:val="left" w:pos="993"/>
        </w:tabs>
        <w:spacing w:after="0"/>
        <w:rPr>
          <w:sz w:val="28"/>
          <w:szCs w:val="28"/>
        </w:rPr>
      </w:pPr>
      <w:r w:rsidRPr="00A02F01">
        <w:rPr>
          <w:sz w:val="28"/>
          <w:szCs w:val="28"/>
        </w:rPr>
        <w:t xml:space="preserve">Расходы на обслуживание государственного долга республиканского бюджета КБР по итогам 2025 года составили 63,5 млн рублей и увеличились относительно предыдущего года на 12,6 млн рублей за счет обслуживания привлеченных бюджетных кредитов на реализацию инфраструктурных проектов (строительство </w:t>
      </w:r>
      <w:proofErr w:type="spellStart"/>
      <w:r w:rsidRPr="00A02F01">
        <w:rPr>
          <w:sz w:val="28"/>
          <w:szCs w:val="28"/>
        </w:rPr>
        <w:t>Баксанского</w:t>
      </w:r>
      <w:proofErr w:type="spellEnd"/>
      <w:r w:rsidRPr="00A02F01">
        <w:rPr>
          <w:sz w:val="28"/>
          <w:szCs w:val="28"/>
        </w:rPr>
        <w:t xml:space="preserve"> группового водопровода и приобретение пассажирского транспорта общего пользования). </w:t>
      </w:r>
    </w:p>
    <w:p w14:paraId="4F1A4B8A" w14:textId="0C404C5C" w:rsidR="00A02F01" w:rsidRPr="00BF3E7D" w:rsidRDefault="00A02F01" w:rsidP="00A02F01">
      <w:pPr>
        <w:pStyle w:val="ab"/>
        <w:tabs>
          <w:tab w:val="left" w:pos="993"/>
        </w:tabs>
        <w:spacing w:after="0"/>
        <w:rPr>
          <w:rFonts w:eastAsia="Calibri"/>
          <w:bCs/>
          <w:color w:val="auto"/>
          <w:sz w:val="28"/>
          <w:szCs w:val="28"/>
        </w:rPr>
      </w:pPr>
      <w:r w:rsidRPr="00BF3E7D">
        <w:rPr>
          <w:rFonts w:eastAsia="Calibri"/>
          <w:bCs/>
          <w:color w:val="auto"/>
          <w:sz w:val="28"/>
          <w:szCs w:val="28"/>
        </w:rPr>
        <w:t>Привлечение коммерческих и иных заимствований в 2025 году не осуществлялось.</w:t>
      </w:r>
    </w:p>
    <w:p w14:paraId="62DE7509" w14:textId="20798B6A" w:rsidR="006D5682" w:rsidRPr="00BF3E7D" w:rsidRDefault="006D5682" w:rsidP="006B3DF7">
      <w:pPr>
        <w:autoSpaceDE w:val="0"/>
        <w:autoSpaceDN w:val="0"/>
        <w:adjustRightInd w:val="0"/>
        <w:contextualSpacing/>
        <w:rPr>
          <w:color w:val="auto"/>
          <w:sz w:val="20"/>
          <w:szCs w:val="20"/>
        </w:rPr>
      </w:pPr>
    </w:p>
    <w:p w14:paraId="78A53C87" w14:textId="2A4D0BC0" w:rsidR="00D54BB6" w:rsidRPr="00A77BA1" w:rsidRDefault="00D54BB6" w:rsidP="00A77BA1">
      <w:pPr>
        <w:pStyle w:val="24"/>
        <w:spacing w:before="0" w:after="0"/>
        <w:ind w:left="0" w:firstLine="709"/>
        <w:rPr>
          <w:color w:val="000000" w:themeColor="text1"/>
        </w:rPr>
      </w:pPr>
      <w:bookmarkStart w:id="87" w:name="_Toc131085637"/>
      <w:bookmarkStart w:id="88" w:name="_Toc162008793"/>
      <w:bookmarkStart w:id="89" w:name="_Toc482701246"/>
      <w:r w:rsidRPr="00C32F32">
        <w:rPr>
          <w:color w:val="568D11" w:themeColor="accent3" w:themeShade="80"/>
        </w:rPr>
        <w:t>Мероприятия по предупреждению влияния изменения геополитической и экономической ситуации на развитие отраслей экономики Кабардино-Балкарской Республики</w:t>
      </w:r>
      <w:bookmarkEnd w:id="87"/>
      <w:bookmarkEnd w:id="88"/>
    </w:p>
    <w:p w14:paraId="68C89718" w14:textId="77777777" w:rsidR="00A77BA1" w:rsidRPr="002724E6" w:rsidRDefault="00A77BA1" w:rsidP="00A77BA1">
      <w:pPr>
        <w:pStyle w:val="24"/>
        <w:numPr>
          <w:ilvl w:val="0"/>
          <w:numId w:val="0"/>
        </w:numPr>
        <w:spacing w:before="0" w:after="0"/>
        <w:ind w:left="709"/>
        <w:jc w:val="both"/>
        <w:rPr>
          <w:color w:val="000000" w:themeColor="text1"/>
        </w:rPr>
      </w:pPr>
    </w:p>
    <w:p w14:paraId="6CFF7596" w14:textId="2CAD0805" w:rsidR="00542B65" w:rsidRPr="00542B65" w:rsidRDefault="00542B65" w:rsidP="006B3DF7">
      <w:pPr>
        <w:contextualSpacing/>
        <w:rPr>
          <w:rFonts w:eastAsia="Calibri"/>
        </w:rPr>
      </w:pPr>
      <w:r w:rsidRPr="00542B65">
        <w:rPr>
          <w:rFonts w:eastAsia="Calibri"/>
        </w:rPr>
        <w:t xml:space="preserve">В целях обеспечения социально-экономической и финансовой устойчивости в Кабардино-Балкарской Республике, в рамках реализации Плана первоочередных мероприятий по предупреждению влияния обстоятельств, связанных с изменением геополитической и экономической ситуации, на развитие отраслей экономики Кабардино-Балкарской Республики, утвержденному распоряжением Главы </w:t>
      </w:r>
      <w:r w:rsidR="00F86884">
        <w:rPr>
          <w:rFonts w:eastAsia="Calibri"/>
        </w:rPr>
        <w:br/>
      </w:r>
      <w:r w:rsidRPr="00542B65">
        <w:rPr>
          <w:rFonts w:eastAsia="Calibri"/>
        </w:rPr>
        <w:t xml:space="preserve">Кабардино-Балкарской Республики от 5 мая 2022 года № 45-РГ, на региональном уровне реализовывались установленные на федеральном уровне меры, направленные на налоговое стимулирование граждан и бизнеса, с представлением информации в оперативный штаб по обеспечению стабильного функционирования сфер малого бизнеса, инвестиций и экспорта. </w:t>
      </w:r>
    </w:p>
    <w:p w14:paraId="1F4EDFE6" w14:textId="77777777" w:rsidR="00542B65" w:rsidRPr="00542B65" w:rsidRDefault="00542B65" w:rsidP="006B3DF7">
      <w:pPr>
        <w:contextualSpacing/>
        <w:rPr>
          <w:rFonts w:eastAsia="Calibri"/>
        </w:rPr>
      </w:pPr>
      <w:r w:rsidRPr="00542B65">
        <w:rPr>
          <w:rFonts w:eastAsia="Calibri"/>
        </w:rPr>
        <w:t xml:space="preserve">Благодаря принимаемым Правительством Кабардино-Балкарской Республики мерам по итогам 2025 года достигнут прирост налоговых и неналоговых доходов республиканского бюджета на 14,9 %. </w:t>
      </w:r>
    </w:p>
    <w:p w14:paraId="2FF03D51" w14:textId="77777777" w:rsidR="00542B65" w:rsidRPr="00542B65" w:rsidRDefault="00542B65" w:rsidP="006B3DF7">
      <w:pPr>
        <w:contextualSpacing/>
        <w:rPr>
          <w:rFonts w:eastAsia="Calibri"/>
        </w:rPr>
      </w:pPr>
      <w:r w:rsidRPr="00542B65">
        <w:rPr>
          <w:rFonts w:eastAsia="Calibri"/>
        </w:rPr>
        <w:t>Вследствие положительной динамики исполнения доходной части республиканского бюджета КБР темп роста расходов республиканского бюджета составил 109,4 %, в том числе собственных расходов 114,4 %.</w:t>
      </w:r>
    </w:p>
    <w:p w14:paraId="2E6D2032" w14:textId="77777777" w:rsidR="00542B65" w:rsidRPr="00542B65" w:rsidRDefault="00542B65" w:rsidP="006B3DF7">
      <w:pPr>
        <w:contextualSpacing/>
        <w:rPr>
          <w:rFonts w:eastAsia="Calibri"/>
        </w:rPr>
      </w:pPr>
      <w:r w:rsidRPr="00542B65">
        <w:rPr>
          <w:rFonts w:eastAsia="Calibri"/>
        </w:rPr>
        <w:t>Основной объем расходов был направлен на выполнение государственных заданий по предоставлению населению республики услуг в сфере образования, здравоохранения, социальной защиты, культуры, физкультуры, спорта и сельского хозяйства.</w:t>
      </w:r>
    </w:p>
    <w:p w14:paraId="2B78FADA" w14:textId="77777777" w:rsidR="00542B65" w:rsidRPr="00542B65" w:rsidRDefault="00542B65" w:rsidP="006B3DF7">
      <w:pPr>
        <w:contextualSpacing/>
        <w:rPr>
          <w:rFonts w:eastAsia="Calibri"/>
        </w:rPr>
      </w:pPr>
      <w:r w:rsidRPr="00542B65">
        <w:rPr>
          <w:rFonts w:eastAsia="Calibri"/>
        </w:rPr>
        <w:t>Обязательства Кабардино-Балкарской Республики были исполнены в установленные сроки в полном объеме.</w:t>
      </w:r>
    </w:p>
    <w:p w14:paraId="5B3C4B1F" w14:textId="77777777" w:rsidR="00542B65" w:rsidRPr="00542B65" w:rsidRDefault="00542B65" w:rsidP="006B3DF7">
      <w:pPr>
        <w:contextualSpacing/>
        <w:rPr>
          <w:rFonts w:eastAsia="Calibri"/>
        </w:rPr>
      </w:pPr>
      <w:r w:rsidRPr="00542B65">
        <w:rPr>
          <w:rFonts w:eastAsia="Calibri"/>
        </w:rPr>
        <w:t>Кроме того, принятые в 2022-2025 годах нормы бюджетного законодательства, позволили оперативно, без процедуры внесения изменений в закон о республиканском бюджете направлять средства республиканского бюджета на финансирование всех необходимых мероприятий, связанных с предотвращением влияния ухудшения геополитической и экономической ситуации на развитие отраслей экономики.</w:t>
      </w:r>
    </w:p>
    <w:p w14:paraId="2371C354" w14:textId="5ABA720E" w:rsidR="00542B65" w:rsidRPr="00542B65" w:rsidRDefault="00542B65" w:rsidP="006B3DF7">
      <w:pPr>
        <w:contextualSpacing/>
        <w:rPr>
          <w:rFonts w:eastAsia="Calibri"/>
        </w:rPr>
      </w:pPr>
      <w:r w:rsidRPr="00542B65">
        <w:rPr>
          <w:rFonts w:eastAsia="Calibri"/>
        </w:rPr>
        <w:t xml:space="preserve">В 2025 году дополнительные расходы республиканского бюджета </w:t>
      </w:r>
      <w:r w:rsidR="002F7FB1">
        <w:rPr>
          <w:rFonts w:eastAsia="Calibri"/>
        </w:rPr>
        <w:br/>
      </w:r>
      <w:r w:rsidRPr="00542B65">
        <w:rPr>
          <w:rFonts w:eastAsia="Calibri"/>
        </w:rPr>
        <w:t xml:space="preserve">Кабардино-Балкарской Республики, обусловленные реализацией мероприятий по предупреждению влияния обстоятельств, связанных с изменением геополитической и экономической ситуации, а также Указа Президента РФ от 21 сентября 2022 года </w:t>
      </w:r>
      <w:r w:rsidR="002F7FB1">
        <w:rPr>
          <w:rFonts w:eastAsia="Calibri"/>
        </w:rPr>
        <w:br/>
      </w:r>
      <w:r w:rsidRPr="00542B65">
        <w:rPr>
          <w:rFonts w:eastAsia="Calibri"/>
        </w:rPr>
        <w:t xml:space="preserve">№ 647 </w:t>
      </w:r>
      <w:r w:rsidR="006B3DF7">
        <w:rPr>
          <w:rFonts w:eastAsia="Calibri"/>
        </w:rPr>
        <w:t>«</w:t>
      </w:r>
      <w:r w:rsidRPr="00542B65">
        <w:rPr>
          <w:rFonts w:eastAsia="Calibri"/>
        </w:rPr>
        <w:t>Об объявлении частичной мобилизации в Российской Федерации</w:t>
      </w:r>
      <w:r w:rsidR="006B3DF7">
        <w:rPr>
          <w:rFonts w:eastAsia="Calibri"/>
        </w:rPr>
        <w:t>»</w:t>
      </w:r>
      <w:r w:rsidRPr="00542B65">
        <w:rPr>
          <w:rFonts w:eastAsia="Calibri"/>
        </w:rPr>
        <w:t xml:space="preserve">, составили </w:t>
      </w:r>
      <w:r w:rsidR="00A77BA1">
        <w:rPr>
          <w:rFonts w:eastAsia="Calibri"/>
        </w:rPr>
        <w:br/>
      </w:r>
      <w:r w:rsidRPr="00542B65">
        <w:rPr>
          <w:rFonts w:eastAsia="Calibri"/>
        </w:rPr>
        <w:t>4 624,9 млн рублей, из них:</w:t>
      </w:r>
    </w:p>
    <w:p w14:paraId="03563861" w14:textId="4C6399AF" w:rsidR="00542B65" w:rsidRPr="00542B65" w:rsidRDefault="00542B65" w:rsidP="006B3DF7">
      <w:pPr>
        <w:contextualSpacing/>
        <w:rPr>
          <w:rFonts w:eastAsia="Calibri"/>
        </w:rPr>
      </w:pPr>
      <w:r w:rsidRPr="00542B65">
        <w:rPr>
          <w:rFonts w:eastAsia="Calibri"/>
        </w:rPr>
        <w:t xml:space="preserve">- на реализацию дополнительных мер социальной поддержки, установленных Указом Главы Кабардино-Балкарской Республики от 1 августа 2024 года № 63-УГ </w:t>
      </w:r>
      <w:r w:rsidR="006B3DF7">
        <w:rPr>
          <w:rFonts w:eastAsia="Calibri"/>
        </w:rPr>
        <w:t>«</w:t>
      </w:r>
      <w:r w:rsidRPr="00542B65">
        <w:rPr>
          <w:rFonts w:eastAsia="Calibri"/>
        </w:rPr>
        <w:t>О единовременной денежной выплате военнослужащим, проходящим военную службу по контракту в Вооруженных силах Российской Федерации</w:t>
      </w:r>
      <w:r w:rsidR="006B3DF7">
        <w:rPr>
          <w:rFonts w:eastAsia="Calibri"/>
        </w:rPr>
        <w:t>»</w:t>
      </w:r>
      <w:r w:rsidRPr="00542B65">
        <w:rPr>
          <w:rFonts w:eastAsia="Calibri"/>
        </w:rPr>
        <w:t xml:space="preserve"> - 3 373,5 млн рублей;</w:t>
      </w:r>
    </w:p>
    <w:p w14:paraId="4B82B15F" w14:textId="3A48C17D" w:rsidR="00542B65" w:rsidRPr="00542B65" w:rsidRDefault="00542B65" w:rsidP="006B3DF7">
      <w:pPr>
        <w:contextualSpacing/>
        <w:rPr>
          <w:rFonts w:eastAsia="Calibri"/>
        </w:rPr>
      </w:pPr>
      <w:r w:rsidRPr="00542B65">
        <w:rPr>
          <w:rFonts w:eastAsia="Calibri"/>
        </w:rPr>
        <w:t xml:space="preserve">- на реализацию дополнительных мер социальной поддержки, установленных Указом Главы Кабардино-Балкарской Республики от 24 сентября 2022 года № 92-УГ </w:t>
      </w:r>
      <w:r w:rsidR="006B3DF7">
        <w:rPr>
          <w:rFonts w:eastAsia="Calibri"/>
        </w:rPr>
        <w:t>«</w:t>
      </w:r>
      <w:r w:rsidRPr="00542B65">
        <w:rPr>
          <w:rFonts w:eastAsia="Calibri"/>
        </w:rPr>
        <w:t>О дополнительных мерах социальной поддержки военнослужащих, иных категорий лиц и членов их семей</w:t>
      </w:r>
      <w:r w:rsidR="006B3DF7">
        <w:rPr>
          <w:rFonts w:eastAsia="Calibri"/>
        </w:rPr>
        <w:t>»</w:t>
      </w:r>
      <w:r w:rsidRPr="00542B65">
        <w:rPr>
          <w:rFonts w:eastAsia="Calibri"/>
        </w:rPr>
        <w:t xml:space="preserve"> - 1 010,0 млн рублей;</w:t>
      </w:r>
    </w:p>
    <w:p w14:paraId="527440A0" w14:textId="756D275C" w:rsidR="00542B65" w:rsidRPr="00542B65" w:rsidRDefault="00542B65" w:rsidP="006B3DF7">
      <w:pPr>
        <w:contextualSpacing/>
        <w:rPr>
          <w:rFonts w:eastAsia="Calibri"/>
        </w:rPr>
      </w:pPr>
      <w:r w:rsidRPr="00542B65">
        <w:rPr>
          <w:rFonts w:eastAsia="Calibri"/>
        </w:rPr>
        <w:t xml:space="preserve">- на реализацию специальной меры в сфере экономики, установленной постановлением Правительства Российской Федерации от 3 октября 2022 года № 1745 </w:t>
      </w:r>
      <w:r w:rsidR="006B3DF7">
        <w:rPr>
          <w:rFonts w:eastAsia="Calibri"/>
        </w:rPr>
        <w:t>«</w:t>
      </w:r>
      <w:r w:rsidRPr="00542B65">
        <w:rPr>
          <w:rFonts w:eastAsia="Calibri"/>
        </w:rPr>
        <w:t>О специальной мере в сфере экономики и внесении изменения в постановление Правительства Российской Федерации от 30 апреля 2020 года № 616</w:t>
      </w:r>
      <w:r w:rsidR="006B3DF7">
        <w:rPr>
          <w:rFonts w:eastAsia="Calibri"/>
        </w:rPr>
        <w:t>»</w:t>
      </w:r>
      <w:r w:rsidRPr="00542B65">
        <w:rPr>
          <w:rFonts w:eastAsia="Calibri"/>
        </w:rPr>
        <w:t xml:space="preserve"> - </w:t>
      </w:r>
      <w:r w:rsidR="00A77BA1">
        <w:rPr>
          <w:rFonts w:eastAsia="Calibri"/>
        </w:rPr>
        <w:br/>
      </w:r>
      <w:r w:rsidRPr="00542B65">
        <w:rPr>
          <w:rFonts w:eastAsia="Calibri"/>
        </w:rPr>
        <w:t>171,4 млн рублей;</w:t>
      </w:r>
    </w:p>
    <w:p w14:paraId="50E02113" w14:textId="37F036B4" w:rsidR="00542B65" w:rsidRPr="00542B65" w:rsidRDefault="00542B65" w:rsidP="006B3DF7">
      <w:pPr>
        <w:contextualSpacing/>
        <w:rPr>
          <w:rFonts w:eastAsia="Calibri"/>
        </w:rPr>
      </w:pPr>
      <w:r w:rsidRPr="00542B65">
        <w:rPr>
          <w:rFonts w:eastAsia="Calibri"/>
        </w:rPr>
        <w:t>- на размещение и питание граждан РФ, Украины, ДНР, ЛНР и лиц без гражданства, постоянно проживающих на территориях Украины, ДНР, ЛНР, вынужденно покинувших территорию Украины, ДНР, ЛНР, прибывших на территорию РФ в экстренном массовом порядке и находившихся в пунктах вре</w:t>
      </w:r>
      <w:r w:rsidR="00392D60">
        <w:rPr>
          <w:rFonts w:eastAsia="Calibri"/>
        </w:rPr>
        <w:t>менного размещения и питания – 7</w:t>
      </w:r>
      <w:r w:rsidRPr="00542B65">
        <w:rPr>
          <w:rFonts w:eastAsia="Calibri"/>
        </w:rPr>
        <w:t>,1 млн рублей;</w:t>
      </w:r>
    </w:p>
    <w:p w14:paraId="240581BB" w14:textId="34762D78" w:rsidR="009A3C64" w:rsidRDefault="00542B65" w:rsidP="006B3DF7">
      <w:pPr>
        <w:contextualSpacing/>
        <w:rPr>
          <w:rFonts w:eastAsia="Calibri"/>
        </w:rPr>
      </w:pPr>
      <w:r w:rsidRPr="00542B65">
        <w:rPr>
          <w:rFonts w:eastAsia="Calibri"/>
        </w:rPr>
        <w:t xml:space="preserve">- на реализацию мер социальной поддержки, установленных Указом Главы Кабардино-Балкарской Республики от 26 октября 2023 года № 105-УГ </w:t>
      </w:r>
      <w:r w:rsidR="006B3DF7">
        <w:rPr>
          <w:rFonts w:eastAsia="Calibri"/>
        </w:rPr>
        <w:t>«</w:t>
      </w:r>
      <w:r w:rsidRPr="00542B65">
        <w:rPr>
          <w:rFonts w:eastAsia="Calibri"/>
        </w:rPr>
        <w:t>О предоставлении дополнительной социальной поддержки лицам из числа ветеранов боевых действий и членам семей погибших (умерших) участников специальной военной операции</w:t>
      </w:r>
      <w:r w:rsidR="006B3DF7">
        <w:rPr>
          <w:rFonts w:eastAsia="Calibri"/>
        </w:rPr>
        <w:t>»</w:t>
      </w:r>
      <w:r w:rsidRPr="00542B65">
        <w:rPr>
          <w:rFonts w:eastAsia="Calibri"/>
        </w:rPr>
        <w:t xml:space="preserve"> - 5,2 млн рублей.</w:t>
      </w:r>
    </w:p>
    <w:p w14:paraId="132FA809" w14:textId="77777777" w:rsidR="002F7FB1" w:rsidRPr="00542B65" w:rsidRDefault="002F7FB1" w:rsidP="006B3DF7">
      <w:pPr>
        <w:contextualSpacing/>
      </w:pPr>
    </w:p>
    <w:p w14:paraId="024EA519" w14:textId="77777777" w:rsidR="00CB25D6" w:rsidRPr="00CB25D6" w:rsidRDefault="00F811F4" w:rsidP="006B3DF7">
      <w:pPr>
        <w:pStyle w:val="24"/>
        <w:spacing w:before="0" w:after="0"/>
        <w:ind w:left="0" w:firstLine="709"/>
        <w:rPr>
          <w:color w:val="000000" w:themeColor="text1"/>
        </w:rPr>
      </w:pPr>
      <w:bookmarkStart w:id="90" w:name="_Toc482701248"/>
      <w:bookmarkStart w:id="91" w:name="_Toc131085638"/>
      <w:bookmarkStart w:id="92" w:name="_Toc162008794"/>
      <w:bookmarkEnd w:id="89"/>
      <w:r w:rsidRPr="00C32F32">
        <w:rPr>
          <w:color w:val="568D11" w:themeColor="accent3" w:themeShade="80"/>
        </w:rPr>
        <w:t>Деятельность Министерства финансов КБР в области</w:t>
      </w:r>
      <w:bookmarkStart w:id="93" w:name="_Toc482701249"/>
      <w:bookmarkEnd w:id="90"/>
    </w:p>
    <w:p w14:paraId="1E207279" w14:textId="77777777" w:rsidR="00CB25D6" w:rsidRDefault="00F811F4" w:rsidP="006B3DF7">
      <w:pPr>
        <w:pStyle w:val="24"/>
        <w:numPr>
          <w:ilvl w:val="0"/>
          <w:numId w:val="0"/>
        </w:numPr>
        <w:spacing w:before="0" w:after="0"/>
        <w:ind w:firstLine="709"/>
        <w:rPr>
          <w:color w:val="568D11" w:themeColor="accent3" w:themeShade="80"/>
        </w:rPr>
      </w:pPr>
      <w:r w:rsidRPr="00C32F32">
        <w:rPr>
          <w:color w:val="568D11" w:themeColor="accent3" w:themeShade="80"/>
        </w:rPr>
        <w:t>проведения налоговой политики и политики</w:t>
      </w:r>
    </w:p>
    <w:p w14:paraId="5DD43CE3" w14:textId="77777777" w:rsidR="00F811F4" w:rsidRPr="00F36373" w:rsidRDefault="00F811F4" w:rsidP="006B3DF7">
      <w:pPr>
        <w:pStyle w:val="24"/>
        <w:numPr>
          <w:ilvl w:val="0"/>
          <w:numId w:val="0"/>
        </w:numPr>
        <w:spacing w:before="0" w:after="0"/>
        <w:ind w:firstLine="709"/>
        <w:rPr>
          <w:color w:val="000000" w:themeColor="text1"/>
        </w:rPr>
      </w:pPr>
      <w:r w:rsidRPr="00C32F32">
        <w:rPr>
          <w:color w:val="568D11" w:themeColor="accent3" w:themeShade="80"/>
        </w:rPr>
        <w:t>доходов</w:t>
      </w:r>
      <w:bookmarkStart w:id="94" w:name="_Toc482701250"/>
      <w:bookmarkEnd w:id="93"/>
      <w:r w:rsidR="006842E2">
        <w:rPr>
          <w:color w:val="568D11" w:themeColor="accent3" w:themeShade="80"/>
        </w:rPr>
        <w:t xml:space="preserve"> </w:t>
      </w:r>
      <w:r w:rsidRPr="00C32F32">
        <w:rPr>
          <w:color w:val="568D11" w:themeColor="accent3" w:themeShade="80"/>
        </w:rPr>
        <w:t>республиканского бюджета КБР</w:t>
      </w:r>
      <w:bookmarkEnd w:id="91"/>
      <w:bookmarkEnd w:id="94"/>
      <w:bookmarkEnd w:id="92"/>
    </w:p>
    <w:p w14:paraId="1138B60B" w14:textId="77777777" w:rsidR="00D04A66" w:rsidRPr="00133486" w:rsidRDefault="00D04A66" w:rsidP="006B3DF7">
      <w:pPr>
        <w:pStyle w:val="24"/>
        <w:keepNext w:val="0"/>
        <w:keepLines w:val="0"/>
        <w:numPr>
          <w:ilvl w:val="0"/>
          <w:numId w:val="0"/>
        </w:numPr>
        <w:spacing w:before="0" w:after="0"/>
        <w:ind w:firstLine="709"/>
        <w:jc w:val="both"/>
        <w:rPr>
          <w:color w:val="FF0000"/>
          <w:sz w:val="16"/>
          <w:szCs w:val="16"/>
        </w:rPr>
      </w:pPr>
    </w:p>
    <w:p w14:paraId="5A37AE5E" w14:textId="77777777" w:rsidR="00FE6F91" w:rsidRPr="00FE32E2" w:rsidRDefault="00FE6F91" w:rsidP="006B3DF7">
      <w:pPr>
        <w:tabs>
          <w:tab w:val="left" w:pos="0"/>
        </w:tabs>
        <w:contextualSpacing/>
        <w:rPr>
          <w:rFonts w:eastAsia="Calibri"/>
          <w:color w:val="auto"/>
        </w:rPr>
      </w:pPr>
      <w:bookmarkStart w:id="95" w:name="_Hlk173167717"/>
      <w:bookmarkStart w:id="96" w:name="_Toc131085639"/>
      <w:bookmarkStart w:id="97" w:name="_Toc162008795"/>
      <w:bookmarkStart w:id="98" w:name="_Toc482701247"/>
      <w:bookmarkStart w:id="99" w:name="_Toc482701251"/>
      <w:r w:rsidRPr="00FE32E2">
        <w:rPr>
          <w:rFonts w:eastAsia="Calibri"/>
          <w:color w:val="auto"/>
        </w:rPr>
        <w:t xml:space="preserve">Сохранение позитивной динамики </w:t>
      </w:r>
      <w:r>
        <w:rPr>
          <w:rFonts w:eastAsia="Calibri"/>
          <w:color w:val="auto"/>
        </w:rPr>
        <w:t>доходов консолидированного бюджета Кабардино-Балкарской Республики</w:t>
      </w:r>
      <w:r w:rsidRPr="00FE32E2">
        <w:rPr>
          <w:rFonts w:eastAsia="Calibri"/>
          <w:color w:val="auto"/>
        </w:rPr>
        <w:t xml:space="preserve"> </w:t>
      </w:r>
      <w:r>
        <w:rPr>
          <w:rFonts w:eastAsia="Calibri"/>
          <w:color w:val="auto"/>
        </w:rPr>
        <w:t xml:space="preserve">на протяжении ряда последних лет </w:t>
      </w:r>
      <w:r w:rsidRPr="00FE32E2">
        <w:rPr>
          <w:rFonts w:eastAsia="Calibri"/>
          <w:color w:val="auto"/>
        </w:rPr>
        <w:t>явилось следствием реализации эффективной бюджетной и налоговой политики, подтвердившей свою устойчивость и последовательность в развитии налогового потенциала, в достижении целей, определенных документами стратегического планирования, что свидетельствует об успешной адаптации к структурной перестройке экономики государства.</w:t>
      </w:r>
    </w:p>
    <w:p w14:paraId="2529253D" w14:textId="7A29237E" w:rsidR="00FE6F91" w:rsidRDefault="00FE6F91" w:rsidP="006B3DF7">
      <w:pPr>
        <w:tabs>
          <w:tab w:val="left" w:pos="0"/>
        </w:tabs>
        <w:contextualSpacing/>
        <w:rPr>
          <w:rFonts w:eastAsia="Calibri"/>
          <w:color w:val="auto"/>
        </w:rPr>
      </w:pPr>
      <w:r w:rsidRPr="00FE32E2">
        <w:rPr>
          <w:rFonts w:eastAsia="Calibri"/>
          <w:color w:val="auto"/>
        </w:rPr>
        <w:t>Оперативное управления данными о фактических поступлениях и прогнозирование налоговых доходов в консолидированный бюджет</w:t>
      </w:r>
      <w:r w:rsidR="00A77BA1">
        <w:rPr>
          <w:rFonts w:eastAsia="Calibri"/>
          <w:color w:val="auto"/>
        </w:rPr>
        <w:t xml:space="preserve"> КБР Министерством </w:t>
      </w:r>
      <w:r w:rsidRPr="00FE32E2">
        <w:rPr>
          <w:rFonts w:eastAsia="Calibri"/>
          <w:color w:val="auto"/>
        </w:rPr>
        <w:t xml:space="preserve">совместно с Управлением ФНС России осуществляется в режиме  ежедневного мониторинга поступлений на основе сведений, размещаемых на Внешней платформе данных ФНС России для финансовых органов субъектов РФ  о суммах и причинах списаний на единый налоговый счет налогоплательщика налогов, уплаченных в качестве единого налогового платежа, ежемесячных данных об отрицательном (недоимка) и положительном (переплата) сальдо, выгрузки </w:t>
      </w:r>
      <w:proofErr w:type="spellStart"/>
      <w:r w:rsidRPr="00FE32E2">
        <w:rPr>
          <w:rFonts w:eastAsia="Calibri"/>
          <w:color w:val="auto"/>
        </w:rPr>
        <w:t>Дашборд</w:t>
      </w:r>
      <w:proofErr w:type="spellEnd"/>
      <w:r w:rsidRPr="00FE32E2">
        <w:rPr>
          <w:rFonts w:eastAsia="Calibri"/>
          <w:color w:val="auto"/>
        </w:rPr>
        <w:t xml:space="preserve"> и </w:t>
      </w:r>
      <w:proofErr w:type="spellStart"/>
      <w:r w:rsidRPr="00FE32E2">
        <w:rPr>
          <w:rFonts w:eastAsia="Calibri"/>
          <w:color w:val="auto"/>
        </w:rPr>
        <w:t>Дашборд</w:t>
      </w:r>
      <w:proofErr w:type="spellEnd"/>
      <w:r w:rsidRPr="00FE32E2">
        <w:rPr>
          <w:rFonts w:eastAsia="Calibri"/>
          <w:color w:val="auto"/>
        </w:rPr>
        <w:t xml:space="preserve"> Губернатора, а также показателей рейтинга муниципалитетов в составе субъектов РФ. Налажена работа в раках утвержденного между Правительством КБР и Управлением ФНС России по КБР межведомственного плана по сокращению задолженности по налогам, сборам, страховым взносам бюджетных учреждений, а также улучшению показателей Рейтинга муниципальных образований в 2025 году.</w:t>
      </w:r>
    </w:p>
    <w:p w14:paraId="36866DE0" w14:textId="5556AE11" w:rsidR="00FE6F91" w:rsidRDefault="00FE6F91" w:rsidP="006B3DF7">
      <w:pPr>
        <w:tabs>
          <w:tab w:val="left" w:pos="0"/>
        </w:tabs>
        <w:contextualSpacing/>
        <w:rPr>
          <w:rFonts w:eastAsia="Calibri"/>
          <w:color w:val="auto"/>
        </w:rPr>
      </w:pPr>
      <w:r>
        <w:rPr>
          <w:rFonts w:eastAsia="Calibri"/>
          <w:color w:val="auto"/>
        </w:rPr>
        <w:t xml:space="preserve">При взаимодействии с </w:t>
      </w:r>
      <w:r w:rsidRPr="005B204D">
        <w:rPr>
          <w:rFonts w:eastAsia="Calibri"/>
          <w:color w:val="auto"/>
        </w:rPr>
        <w:t>Управление</w:t>
      </w:r>
      <w:r>
        <w:rPr>
          <w:rFonts w:eastAsia="Calibri"/>
          <w:color w:val="auto"/>
        </w:rPr>
        <w:t>м</w:t>
      </w:r>
      <w:r w:rsidRPr="005B204D">
        <w:rPr>
          <w:rFonts w:eastAsia="Calibri"/>
          <w:color w:val="auto"/>
        </w:rPr>
        <w:t xml:space="preserve"> ФНС России по Кабардино-Балкарской Республике в рамках реализации проекта по оптимизации процессов бюджетного планирования и межведомственного взаимодействия </w:t>
      </w:r>
      <w:r>
        <w:rPr>
          <w:rFonts w:eastAsia="Calibri"/>
          <w:color w:val="auto"/>
        </w:rPr>
        <w:t xml:space="preserve">Министерство подключено </w:t>
      </w:r>
      <w:proofErr w:type="gramStart"/>
      <w:r>
        <w:rPr>
          <w:rFonts w:eastAsia="Calibri"/>
          <w:color w:val="auto"/>
        </w:rPr>
        <w:t xml:space="preserve">к </w:t>
      </w:r>
      <w:r w:rsidRPr="005B204D">
        <w:rPr>
          <w:rFonts w:eastAsia="Calibri"/>
          <w:color w:val="auto"/>
        </w:rPr>
        <w:t xml:space="preserve"> един</w:t>
      </w:r>
      <w:r>
        <w:rPr>
          <w:rFonts w:eastAsia="Calibri"/>
          <w:color w:val="auto"/>
        </w:rPr>
        <w:t>ому</w:t>
      </w:r>
      <w:proofErr w:type="gramEnd"/>
      <w:r>
        <w:rPr>
          <w:rFonts w:eastAsia="Calibri"/>
          <w:color w:val="auto"/>
        </w:rPr>
        <w:t xml:space="preserve"> </w:t>
      </w:r>
      <w:r w:rsidRPr="005B204D">
        <w:rPr>
          <w:rFonts w:eastAsia="Calibri"/>
          <w:color w:val="auto"/>
        </w:rPr>
        <w:t>контур</w:t>
      </w:r>
      <w:r>
        <w:rPr>
          <w:rFonts w:eastAsia="Calibri"/>
          <w:color w:val="auto"/>
        </w:rPr>
        <w:t>у</w:t>
      </w:r>
      <w:r w:rsidRPr="005B204D">
        <w:rPr>
          <w:rFonts w:eastAsia="Calibri"/>
          <w:color w:val="auto"/>
        </w:rPr>
        <w:t xml:space="preserve"> данных - информационно-аналитическ</w:t>
      </w:r>
      <w:r>
        <w:rPr>
          <w:rFonts w:eastAsia="Calibri"/>
          <w:color w:val="auto"/>
        </w:rPr>
        <w:t>ой</w:t>
      </w:r>
      <w:r w:rsidRPr="005B204D">
        <w:rPr>
          <w:rFonts w:eastAsia="Calibri"/>
          <w:color w:val="auto"/>
        </w:rPr>
        <w:t xml:space="preserve"> платформ</w:t>
      </w:r>
      <w:r>
        <w:rPr>
          <w:rFonts w:eastAsia="Calibri"/>
          <w:color w:val="auto"/>
        </w:rPr>
        <w:t>е</w:t>
      </w:r>
      <w:r w:rsidRPr="005B204D">
        <w:rPr>
          <w:rFonts w:eastAsia="Calibri"/>
          <w:color w:val="auto"/>
        </w:rPr>
        <w:t xml:space="preserve"> </w:t>
      </w:r>
      <w:r w:rsidR="006B3DF7">
        <w:rPr>
          <w:rFonts w:eastAsia="Calibri"/>
          <w:color w:val="auto"/>
        </w:rPr>
        <w:t>«</w:t>
      </w:r>
      <w:r w:rsidRPr="005B204D">
        <w:rPr>
          <w:rFonts w:eastAsia="Calibri"/>
          <w:color w:val="auto"/>
        </w:rPr>
        <w:t>Консолидированные бюджеты субъектов</w:t>
      </w:r>
      <w:r w:rsidR="006B3DF7">
        <w:rPr>
          <w:rFonts w:eastAsia="Calibri"/>
          <w:color w:val="auto"/>
        </w:rPr>
        <w:t>»</w:t>
      </w:r>
      <w:r w:rsidRPr="005B204D">
        <w:rPr>
          <w:rFonts w:eastAsia="Calibri"/>
          <w:color w:val="auto"/>
        </w:rPr>
        <w:t xml:space="preserve"> (Платформа, ИАП КБС)</w:t>
      </w:r>
      <w:r>
        <w:rPr>
          <w:rFonts w:eastAsia="Calibri"/>
          <w:color w:val="auto"/>
        </w:rPr>
        <w:t>.</w:t>
      </w:r>
    </w:p>
    <w:p w14:paraId="5E32069C" w14:textId="77777777" w:rsidR="00FE6F91" w:rsidRPr="00FE32E2" w:rsidRDefault="00FE6F91" w:rsidP="006B3DF7">
      <w:pPr>
        <w:tabs>
          <w:tab w:val="left" w:pos="0"/>
        </w:tabs>
        <w:contextualSpacing/>
        <w:rPr>
          <w:rFonts w:eastAsia="Calibri"/>
          <w:color w:val="auto"/>
        </w:rPr>
      </w:pPr>
      <w:r w:rsidRPr="00FE32E2">
        <w:rPr>
          <w:rFonts w:eastAsia="Calibri"/>
          <w:color w:val="auto"/>
        </w:rPr>
        <w:t xml:space="preserve"> На региональном уровне в 2025 году реализованы следующие мероприятия, направленные на бюджетную консолидацию:</w:t>
      </w:r>
    </w:p>
    <w:p w14:paraId="40347F84" w14:textId="3C9D817E" w:rsidR="00FE6F91" w:rsidRPr="00FE32E2" w:rsidRDefault="00FE6F91" w:rsidP="006B3DF7">
      <w:pPr>
        <w:tabs>
          <w:tab w:val="left" w:pos="0"/>
        </w:tabs>
        <w:contextualSpacing/>
        <w:rPr>
          <w:rFonts w:eastAsia="Calibri"/>
          <w:color w:val="auto"/>
        </w:rPr>
      </w:pPr>
      <w:r w:rsidRPr="00FE32E2">
        <w:rPr>
          <w:rFonts w:eastAsia="Calibri"/>
          <w:color w:val="auto"/>
        </w:rPr>
        <w:t xml:space="preserve">1. Обеспечено заключение между </w:t>
      </w:r>
      <w:r w:rsidR="00AA0DE8" w:rsidRPr="009B4E24">
        <w:t>Мин</w:t>
      </w:r>
      <w:r w:rsidR="00AA0DE8">
        <w:t>фином РФ</w:t>
      </w:r>
      <w:r w:rsidRPr="00FE32E2">
        <w:rPr>
          <w:rFonts w:eastAsia="Calibri"/>
          <w:color w:val="auto"/>
        </w:rPr>
        <w:t xml:space="preserve"> и Кабардино-Балкарской Республикой Соглашения о мерах по социально-экономическому развитию и оздоровлению государственных финансов Кабардино-Балкарской Республики на </w:t>
      </w:r>
      <w:r w:rsidR="00AA0DE8">
        <w:rPr>
          <w:rFonts w:eastAsia="Calibri"/>
          <w:color w:val="auto"/>
        </w:rPr>
        <w:br/>
      </w:r>
      <w:r w:rsidRPr="00FE32E2">
        <w:rPr>
          <w:rFonts w:eastAsia="Calibri"/>
          <w:color w:val="auto"/>
        </w:rPr>
        <w:t>2025 год (далее - Соглашение) от 2</w:t>
      </w:r>
      <w:r>
        <w:rPr>
          <w:rFonts w:eastAsia="Calibri"/>
          <w:color w:val="auto"/>
        </w:rPr>
        <w:t>3</w:t>
      </w:r>
      <w:r w:rsidR="00AA0DE8">
        <w:rPr>
          <w:rFonts w:eastAsia="Calibri"/>
          <w:color w:val="auto"/>
        </w:rPr>
        <w:t xml:space="preserve"> декабря 2024 года</w:t>
      </w:r>
      <w:r>
        <w:rPr>
          <w:rFonts w:eastAsia="Calibri"/>
          <w:color w:val="auto"/>
        </w:rPr>
        <w:t xml:space="preserve"> </w:t>
      </w:r>
      <w:r w:rsidRPr="00FE32E2">
        <w:rPr>
          <w:rFonts w:eastAsia="Calibri"/>
          <w:color w:val="auto"/>
        </w:rPr>
        <w:t xml:space="preserve">№ 2024-00281. В рамках исполнения обязательств по Соглашению обеспечена реализация мер в следующих направлениях. </w:t>
      </w:r>
    </w:p>
    <w:p w14:paraId="390CB38F" w14:textId="77777777" w:rsidR="00FE6F91" w:rsidRPr="00FE32E2" w:rsidRDefault="00FE6F91" w:rsidP="006B3DF7">
      <w:pPr>
        <w:tabs>
          <w:tab w:val="left" w:pos="0"/>
        </w:tabs>
        <w:contextualSpacing/>
        <w:rPr>
          <w:rFonts w:eastAsia="Calibri"/>
          <w:color w:val="auto"/>
        </w:rPr>
      </w:pPr>
      <w:r w:rsidRPr="00FE32E2">
        <w:rPr>
          <w:rFonts w:eastAsia="Calibri"/>
          <w:color w:val="auto"/>
        </w:rPr>
        <w:t xml:space="preserve">Меры, направленные на увеличение налоговых и неналоговых доходов консолидированного бюджета: </w:t>
      </w:r>
    </w:p>
    <w:p w14:paraId="37514F2A" w14:textId="77777777" w:rsidR="00FE6F91" w:rsidRPr="00FE32E2" w:rsidRDefault="00FE6F91" w:rsidP="006B3DF7">
      <w:pPr>
        <w:tabs>
          <w:tab w:val="left" w:pos="0"/>
        </w:tabs>
        <w:contextualSpacing/>
        <w:rPr>
          <w:rFonts w:eastAsia="Calibri"/>
          <w:color w:val="auto"/>
        </w:rPr>
      </w:pPr>
      <w:r w:rsidRPr="00FE32E2">
        <w:rPr>
          <w:rFonts w:eastAsia="Calibri"/>
          <w:color w:val="auto"/>
        </w:rPr>
        <w:t>- обеспечен прирост налоговых и неналоговых доходов республиканского бюджета КБР на 14,9 %;</w:t>
      </w:r>
    </w:p>
    <w:p w14:paraId="4556CC68" w14:textId="191E114E" w:rsidR="00FE6F91" w:rsidRPr="00FE32E2" w:rsidRDefault="00FE6F91" w:rsidP="006B3DF7">
      <w:pPr>
        <w:tabs>
          <w:tab w:val="left" w:pos="0"/>
        </w:tabs>
        <w:contextualSpacing/>
        <w:rPr>
          <w:rFonts w:eastAsia="Calibri"/>
          <w:color w:val="auto"/>
        </w:rPr>
      </w:pPr>
      <w:r w:rsidRPr="00FE32E2">
        <w:rPr>
          <w:rFonts w:eastAsia="Calibri"/>
          <w:color w:val="auto"/>
        </w:rPr>
        <w:t>- реализуется утвержденный распоряжением Правительства Кабардино-Балкарской Республики от 25 марта 2024 года № 179-рп план (</w:t>
      </w:r>
      <w:r w:rsidR="006B3DF7">
        <w:rPr>
          <w:rFonts w:eastAsia="Calibri"/>
          <w:color w:val="auto"/>
        </w:rPr>
        <w:t>«</w:t>
      </w:r>
      <w:r w:rsidRPr="00FE32E2">
        <w:rPr>
          <w:rFonts w:eastAsia="Calibri"/>
          <w:color w:val="auto"/>
        </w:rPr>
        <w:t>дорожная карта</w:t>
      </w:r>
      <w:r w:rsidR="006B3DF7">
        <w:rPr>
          <w:rFonts w:eastAsia="Calibri"/>
          <w:color w:val="auto"/>
        </w:rPr>
        <w:t>»</w:t>
      </w:r>
      <w:r w:rsidRPr="00FE32E2">
        <w:rPr>
          <w:rFonts w:eastAsia="Calibri"/>
          <w:color w:val="auto"/>
        </w:rPr>
        <w:t>) по взысканию дебиторской задолженности по платежам в бюджет субъекта Российской Федерации, пеням и штрафам по ним, разработанного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14:paraId="2DEC9CEE" w14:textId="72A13C73" w:rsidR="00FE6F91" w:rsidRPr="00FE32E2" w:rsidRDefault="00FE6F91" w:rsidP="006B3DF7">
      <w:pPr>
        <w:tabs>
          <w:tab w:val="left" w:pos="0"/>
        </w:tabs>
        <w:contextualSpacing/>
        <w:rPr>
          <w:rFonts w:eastAsia="Calibri"/>
          <w:color w:val="auto"/>
        </w:rPr>
      </w:pPr>
      <w:r w:rsidRPr="00FE32E2">
        <w:rPr>
          <w:rFonts w:eastAsia="Calibri"/>
          <w:color w:val="auto"/>
        </w:rPr>
        <w:t xml:space="preserve">- направлены на согласование в </w:t>
      </w:r>
      <w:r w:rsidR="00AA0DE8" w:rsidRPr="009B4E24">
        <w:t>Мин</w:t>
      </w:r>
      <w:r w:rsidR="00AA0DE8">
        <w:t>фин РФ</w:t>
      </w:r>
      <w:r w:rsidR="00AA0DE8" w:rsidRPr="00FE32E2">
        <w:rPr>
          <w:rFonts w:eastAsia="Calibri"/>
          <w:color w:val="auto"/>
        </w:rPr>
        <w:t xml:space="preserve"> </w:t>
      </w:r>
      <w:r w:rsidRPr="00FE32E2">
        <w:rPr>
          <w:rFonts w:eastAsia="Calibri"/>
          <w:color w:val="auto"/>
        </w:rPr>
        <w:t xml:space="preserve">в установленном порядке проекты законов о внесении изменений в республиканский бюджет на 2025 год и на плановый период 2026 и 2027 годов и о республиканском бюджете на 2026 год и на плановый период 2027 и 2028 годов. При принятии вышеуказанных законопроектов представленные </w:t>
      </w:r>
      <w:r w:rsidR="00AA0DE8" w:rsidRPr="009B4E24">
        <w:t>Мин</w:t>
      </w:r>
      <w:r w:rsidR="00AA0DE8">
        <w:t>фином РФ</w:t>
      </w:r>
      <w:r w:rsidR="00AA0DE8" w:rsidRPr="00FE32E2">
        <w:rPr>
          <w:rFonts w:eastAsia="Calibri"/>
          <w:color w:val="auto"/>
        </w:rPr>
        <w:t xml:space="preserve"> </w:t>
      </w:r>
      <w:r w:rsidRPr="00FE32E2">
        <w:rPr>
          <w:rFonts w:eastAsia="Calibri"/>
          <w:color w:val="auto"/>
        </w:rPr>
        <w:t>рекомендации учтены в полном объеме;</w:t>
      </w:r>
    </w:p>
    <w:p w14:paraId="694D268F" w14:textId="77777777" w:rsidR="00FE6F91" w:rsidRPr="00FE32E2" w:rsidRDefault="00FE6F91" w:rsidP="006B3DF7">
      <w:pPr>
        <w:tabs>
          <w:tab w:val="left" w:pos="0"/>
        </w:tabs>
        <w:contextualSpacing/>
        <w:rPr>
          <w:rFonts w:eastAsia="Calibri"/>
          <w:color w:val="auto"/>
        </w:rPr>
      </w:pPr>
      <w:r w:rsidRPr="00FE32E2">
        <w:rPr>
          <w:rFonts w:eastAsia="Calibri"/>
          <w:color w:val="auto"/>
        </w:rPr>
        <w:t>- обеспечено представление ежеквартальных отчетов об исполнении обязательств по соглашению о мерах по социально-экономическому развитию и оздоровлению государственных финансов в установленные сроки.</w:t>
      </w:r>
    </w:p>
    <w:p w14:paraId="4FCD1C75" w14:textId="77777777" w:rsidR="00FE6F91" w:rsidRPr="00FE32E2" w:rsidRDefault="00FE6F91" w:rsidP="006B3DF7">
      <w:pPr>
        <w:tabs>
          <w:tab w:val="left" w:pos="0"/>
        </w:tabs>
        <w:contextualSpacing/>
        <w:rPr>
          <w:rFonts w:eastAsia="Calibri"/>
          <w:color w:val="auto"/>
        </w:rPr>
      </w:pPr>
      <w:r w:rsidRPr="00FE32E2">
        <w:rPr>
          <w:rFonts w:eastAsia="Calibri"/>
          <w:color w:val="auto"/>
        </w:rPr>
        <w:t>Меры, направленные на оптимизацию расходов:</w:t>
      </w:r>
    </w:p>
    <w:p w14:paraId="0AC98C8C" w14:textId="77777777" w:rsidR="00FE6F91" w:rsidRPr="00FE32E2" w:rsidRDefault="00FE6F91" w:rsidP="006B3DF7">
      <w:pPr>
        <w:tabs>
          <w:tab w:val="left" w:pos="0"/>
        </w:tabs>
        <w:contextualSpacing/>
        <w:rPr>
          <w:rFonts w:eastAsia="Calibri"/>
          <w:color w:val="auto"/>
        </w:rPr>
      </w:pPr>
      <w:r w:rsidRPr="00FE32E2">
        <w:rPr>
          <w:rFonts w:eastAsia="Calibri"/>
          <w:color w:val="auto"/>
        </w:rPr>
        <w:t>- обеспечено соблюдение норматива формирования расходов на содержание органов государственной власти КБР по итогам 2025 года;</w:t>
      </w:r>
    </w:p>
    <w:p w14:paraId="71219ABE" w14:textId="77777777" w:rsidR="00FE6F91" w:rsidRPr="00FE32E2" w:rsidRDefault="00FE6F91" w:rsidP="006B3DF7">
      <w:pPr>
        <w:tabs>
          <w:tab w:val="left" w:pos="0"/>
        </w:tabs>
        <w:contextualSpacing/>
        <w:rPr>
          <w:rFonts w:eastAsia="Calibri"/>
          <w:color w:val="auto"/>
        </w:rPr>
      </w:pPr>
      <w:r w:rsidRPr="00FE32E2">
        <w:rPr>
          <w:rFonts w:eastAsia="Calibri"/>
          <w:color w:val="auto"/>
        </w:rPr>
        <w:t>- прирост дотации на выравнивание бюджетной обеспеченности в полном объеме направлен на финансовое обеспечение расходов на оплату труда, меры социальной поддержки граждан;</w:t>
      </w:r>
    </w:p>
    <w:p w14:paraId="313A5A98" w14:textId="0D378E79" w:rsidR="00FE6F91" w:rsidRPr="00FE32E2" w:rsidRDefault="00FE6F91" w:rsidP="006B3DF7">
      <w:pPr>
        <w:tabs>
          <w:tab w:val="left" w:pos="0"/>
        </w:tabs>
        <w:contextualSpacing/>
        <w:rPr>
          <w:rFonts w:eastAsia="Calibri"/>
          <w:color w:val="auto"/>
        </w:rPr>
      </w:pPr>
      <w:r w:rsidRPr="00FE32E2">
        <w:rPr>
          <w:rFonts w:eastAsia="Calibri"/>
          <w:color w:val="auto"/>
        </w:rPr>
        <w:t xml:space="preserve">- реализуется утвержденный распоряжением Правительства </w:t>
      </w:r>
      <w:r w:rsidR="004F0760">
        <w:rPr>
          <w:rFonts w:eastAsia="Calibri"/>
          <w:color w:val="auto"/>
        </w:rPr>
        <w:br/>
      </w:r>
      <w:r w:rsidRPr="00FE32E2">
        <w:rPr>
          <w:rFonts w:eastAsia="Calibri"/>
          <w:color w:val="auto"/>
        </w:rPr>
        <w:t>Кабардино-Балкарской Республики от 25 марта 2024 года № 178-рп план (</w:t>
      </w:r>
      <w:r w:rsidR="006B3DF7">
        <w:rPr>
          <w:rFonts w:eastAsia="Calibri"/>
          <w:color w:val="auto"/>
        </w:rPr>
        <w:t>«</w:t>
      </w:r>
      <w:r w:rsidRPr="00FE32E2">
        <w:rPr>
          <w:rFonts w:eastAsia="Calibri"/>
          <w:color w:val="auto"/>
        </w:rPr>
        <w:t>дорожная карта</w:t>
      </w:r>
      <w:r w:rsidR="006B3DF7">
        <w:rPr>
          <w:rFonts w:eastAsia="Calibri"/>
          <w:color w:val="auto"/>
        </w:rPr>
        <w:t>»</w:t>
      </w:r>
      <w:r w:rsidRPr="00FE32E2">
        <w:rPr>
          <w:rFonts w:eastAsia="Calibri"/>
          <w:color w:val="auto"/>
        </w:rPr>
        <w:t>) по погашению кредиторской задолженности консолидированного бюджета Кабардино-Балкарской Республики  на 2024 - 2026 годы, по итогам года соблюдается предельный размер целевого показателя по снижению (</w:t>
      </w:r>
      <w:proofErr w:type="spellStart"/>
      <w:r w:rsidRPr="00FE32E2">
        <w:rPr>
          <w:rFonts w:eastAsia="Calibri"/>
          <w:color w:val="auto"/>
        </w:rPr>
        <w:t>неувеличению</w:t>
      </w:r>
      <w:proofErr w:type="spellEnd"/>
      <w:r w:rsidRPr="00FE32E2">
        <w:rPr>
          <w:rFonts w:eastAsia="Calibri"/>
          <w:color w:val="auto"/>
        </w:rPr>
        <w:t>) просроченной кредиторской задолженности бюджета субъекта Российской Федерации и бюджетных и автономных учреждений субъекта Российской Федерации;</w:t>
      </w:r>
    </w:p>
    <w:p w14:paraId="26B23E87" w14:textId="77777777" w:rsidR="00FE6F91" w:rsidRPr="00FE32E2" w:rsidRDefault="00FE6F91" w:rsidP="006B3DF7">
      <w:pPr>
        <w:tabs>
          <w:tab w:val="left" w:pos="0"/>
        </w:tabs>
        <w:contextualSpacing/>
        <w:rPr>
          <w:rFonts w:eastAsia="Calibri"/>
          <w:color w:val="auto"/>
        </w:rPr>
      </w:pPr>
      <w:r w:rsidRPr="00FE32E2">
        <w:rPr>
          <w:rFonts w:eastAsia="Calibri"/>
          <w:color w:val="auto"/>
        </w:rPr>
        <w:t>- обеспечено утверждение плана по инвентаризации и оценке эффективности мер социальной поддержки граждан, предоставляемых из консолидированного бюджета Кабардино-Балкарской Республики (распоряжение Правительства КБР от 28 февраля 2025 года № 83-рп).</w:t>
      </w:r>
    </w:p>
    <w:p w14:paraId="1F159B8F" w14:textId="415B74CC" w:rsidR="00FE6F91" w:rsidRPr="00FE32E2" w:rsidRDefault="00FE6F91" w:rsidP="006B3DF7">
      <w:pPr>
        <w:tabs>
          <w:tab w:val="left" w:pos="0"/>
        </w:tabs>
        <w:contextualSpacing/>
        <w:rPr>
          <w:rFonts w:eastAsia="Calibri"/>
          <w:color w:val="auto"/>
        </w:rPr>
      </w:pPr>
      <w:r w:rsidRPr="00FE32E2">
        <w:rPr>
          <w:rFonts w:eastAsia="Calibri"/>
          <w:color w:val="auto"/>
        </w:rPr>
        <w:t xml:space="preserve">2. Принято постановление Правительства КБР от 23 января 2024 года   № 9-ПП </w:t>
      </w:r>
      <w:r w:rsidR="006B3DF7">
        <w:rPr>
          <w:rFonts w:eastAsia="Calibri"/>
          <w:color w:val="auto"/>
        </w:rPr>
        <w:t>«</w:t>
      </w:r>
      <w:r w:rsidRPr="00FE32E2">
        <w:rPr>
          <w:rFonts w:eastAsia="Calibri"/>
          <w:color w:val="auto"/>
        </w:rPr>
        <w:t>О соглашениях, которые предусматривают меры по социально-экономическому развитию и оздоровлению муниципальных финансов муниципальных образований</w:t>
      </w:r>
      <w:r w:rsidR="006B3DF7">
        <w:rPr>
          <w:rFonts w:eastAsia="Calibri"/>
          <w:color w:val="auto"/>
        </w:rPr>
        <w:t>»</w:t>
      </w:r>
      <w:r w:rsidRPr="00FE32E2">
        <w:rPr>
          <w:rFonts w:eastAsia="Calibri"/>
          <w:color w:val="auto"/>
        </w:rPr>
        <w:t xml:space="preserve">, согласно которому для муниципальных образований, являющихся получателями дотации на выравнивание бюджетной обеспеченности, предусмотрены аналогичные обязательства. </w:t>
      </w:r>
      <w:r w:rsidR="00DA247E">
        <w:rPr>
          <w:rFonts w:eastAsia="Calibri"/>
          <w:color w:val="auto"/>
        </w:rPr>
        <w:t xml:space="preserve"> </w:t>
      </w:r>
      <w:r w:rsidR="00480521" w:rsidRPr="00480521">
        <w:rPr>
          <w:rFonts w:eastAsia="Calibri"/>
        </w:rPr>
        <w:t>Ре</w:t>
      </w:r>
      <w:r w:rsidR="00DA247E" w:rsidRPr="00480521">
        <w:rPr>
          <w:rFonts w:eastAsia="Calibri"/>
        </w:rPr>
        <w:t xml:space="preserve">ализация соглашений позволила обеспечить рост </w:t>
      </w:r>
      <w:r w:rsidR="00A546A8" w:rsidRPr="00480521">
        <w:rPr>
          <w:rFonts w:eastAsia="Calibri"/>
        </w:rPr>
        <w:t xml:space="preserve">налоговых </w:t>
      </w:r>
      <w:r w:rsidR="00480521" w:rsidRPr="00480521">
        <w:rPr>
          <w:rFonts w:eastAsia="Calibri"/>
        </w:rPr>
        <w:t xml:space="preserve">и </w:t>
      </w:r>
      <w:proofErr w:type="gramStart"/>
      <w:r w:rsidR="00480521" w:rsidRPr="00480521">
        <w:rPr>
          <w:rFonts w:eastAsia="Calibri"/>
        </w:rPr>
        <w:t xml:space="preserve">неналоговых  </w:t>
      </w:r>
      <w:r w:rsidR="00A546A8" w:rsidRPr="00480521">
        <w:rPr>
          <w:rFonts w:eastAsia="Calibri"/>
        </w:rPr>
        <w:t>доходов</w:t>
      </w:r>
      <w:proofErr w:type="gramEnd"/>
      <w:r w:rsidR="00A546A8" w:rsidRPr="00480521">
        <w:rPr>
          <w:rFonts w:eastAsia="Calibri"/>
        </w:rPr>
        <w:t xml:space="preserve"> местных бюджетов на 12,9%. </w:t>
      </w:r>
    </w:p>
    <w:p w14:paraId="1AFD809D" w14:textId="37D9F01F" w:rsidR="00FE6F91" w:rsidRPr="00FE32E2" w:rsidRDefault="00FE6F91" w:rsidP="006B3DF7">
      <w:pPr>
        <w:tabs>
          <w:tab w:val="left" w:pos="0"/>
        </w:tabs>
        <w:contextualSpacing/>
        <w:rPr>
          <w:rFonts w:eastAsia="Calibri"/>
          <w:color w:val="auto"/>
        </w:rPr>
      </w:pPr>
      <w:r w:rsidRPr="00FE32E2">
        <w:rPr>
          <w:rFonts w:eastAsia="Calibri"/>
          <w:color w:val="auto"/>
        </w:rPr>
        <w:t xml:space="preserve">3. В связи с опережающими темпами поступлений доходов в республиканский бюджет КБР Законом КБР 29 декабря 2025 года № 58-РЗ </w:t>
      </w:r>
      <w:r w:rsidR="006B3DF7">
        <w:rPr>
          <w:rFonts w:eastAsia="Calibri"/>
          <w:color w:val="auto"/>
        </w:rPr>
        <w:t>«</w:t>
      </w:r>
      <w:r w:rsidRPr="00FE32E2">
        <w:rPr>
          <w:rFonts w:eastAsia="Calibri"/>
          <w:color w:val="auto"/>
        </w:rPr>
        <w:t xml:space="preserve">О внесении изменений в Закон Кабардино-Балкарской Республики </w:t>
      </w:r>
      <w:r w:rsidR="006B3DF7">
        <w:rPr>
          <w:rFonts w:eastAsia="Calibri"/>
          <w:color w:val="auto"/>
        </w:rPr>
        <w:t>«</w:t>
      </w:r>
      <w:r w:rsidRPr="00FE32E2">
        <w:rPr>
          <w:rFonts w:eastAsia="Calibri"/>
          <w:color w:val="auto"/>
        </w:rPr>
        <w:t xml:space="preserve">О республиканском бюджете </w:t>
      </w:r>
      <w:r w:rsidR="004F0760">
        <w:rPr>
          <w:rFonts w:eastAsia="Calibri"/>
          <w:color w:val="auto"/>
        </w:rPr>
        <w:br/>
      </w:r>
      <w:r w:rsidRPr="00FE32E2">
        <w:rPr>
          <w:rFonts w:eastAsia="Calibri"/>
          <w:color w:val="auto"/>
        </w:rPr>
        <w:t>Кабардино-Балкарской Республики на 2025 год и на плановый период 2026 и 2027 годов</w:t>
      </w:r>
      <w:r w:rsidR="006B3DF7">
        <w:rPr>
          <w:rFonts w:eastAsia="Calibri"/>
          <w:color w:val="auto"/>
        </w:rPr>
        <w:t>»</w:t>
      </w:r>
      <w:r w:rsidRPr="00FE32E2">
        <w:rPr>
          <w:rFonts w:eastAsia="Calibri"/>
          <w:color w:val="auto"/>
        </w:rPr>
        <w:t xml:space="preserve"> был увеличен прогноз доходов республиканского бюджета на 2025 год с учетом фактических темпов поступлений, обеспеченных ответственной бюджетной и налоговой политикой, а также результатами реализации мероприятий, направленных на бюджетную консолидацию, увеличение налоговых и неналоговых доходов консолидированного бюджета Кабардино-Балкарской Республики. </w:t>
      </w:r>
    </w:p>
    <w:p w14:paraId="0A3BBB57" w14:textId="77777777" w:rsidR="00FE6F91" w:rsidRPr="00FE32E2" w:rsidRDefault="00FE6F91" w:rsidP="006B3DF7">
      <w:pPr>
        <w:tabs>
          <w:tab w:val="left" w:pos="0"/>
        </w:tabs>
        <w:contextualSpacing/>
        <w:rPr>
          <w:rFonts w:eastAsia="Calibri"/>
          <w:color w:val="auto"/>
        </w:rPr>
      </w:pPr>
      <w:r w:rsidRPr="00FE32E2">
        <w:rPr>
          <w:rFonts w:eastAsia="Calibri"/>
          <w:color w:val="auto"/>
        </w:rPr>
        <w:t>4. Успешно реализована принятая Правительством Кабардино-Балкарской Республики Программа оздоровления государственных финансов (оптимизации расходов) на 2018 - 2026 годы, которая определяет основные направления деятельности исполнительных органов государственной власти Кабардино-Балкарской Республики и органов местного самоуправления в целях создания условий для результативного управления государственными финансами и эффективного использования бюджетных средств путем осуществления мер, направленных на мобилизацию доходов, оптимизацию расходов бюджетов бюджетной системы Кабардино-Балкарской Республики, снижение долговой нагрузки на период до 2026 года.</w:t>
      </w:r>
    </w:p>
    <w:p w14:paraId="308EA3D7" w14:textId="02D285E2" w:rsidR="00FE6F91" w:rsidRPr="00FE32E2" w:rsidRDefault="00FE6F91" w:rsidP="006B3DF7">
      <w:pPr>
        <w:tabs>
          <w:tab w:val="left" w:pos="0"/>
        </w:tabs>
        <w:contextualSpacing/>
        <w:rPr>
          <w:rFonts w:eastAsia="Calibri"/>
          <w:color w:val="auto"/>
        </w:rPr>
      </w:pPr>
      <w:r w:rsidRPr="00FE32E2">
        <w:rPr>
          <w:rFonts w:eastAsia="Calibri"/>
          <w:color w:val="auto"/>
        </w:rPr>
        <w:t xml:space="preserve"> Совокупный бюджетный эффект от реализации принятого в рамках Программы плана мероприятий по итогам 2025 года составил 5 499,4 млн рублей, или в 21,9 раз больше годовых плановых показателей и в 1,3 раза больше, чем за 2024 год, в том числе по увеличению доходов – 5 229,8 млн рублей, по оптимизации расходов – </w:t>
      </w:r>
      <w:r w:rsidR="00840C6F">
        <w:rPr>
          <w:rFonts w:eastAsia="Calibri"/>
          <w:color w:val="auto"/>
        </w:rPr>
        <w:br/>
      </w:r>
      <w:r w:rsidRPr="00FE32E2">
        <w:rPr>
          <w:rFonts w:eastAsia="Calibri"/>
          <w:color w:val="auto"/>
        </w:rPr>
        <w:t xml:space="preserve">69,6 млн рублей. </w:t>
      </w:r>
    </w:p>
    <w:p w14:paraId="6B304186" w14:textId="77777777" w:rsidR="00FE6F91" w:rsidRPr="00FE32E2" w:rsidRDefault="00FE6F91" w:rsidP="006B3DF7">
      <w:pPr>
        <w:tabs>
          <w:tab w:val="left" w:pos="0"/>
        </w:tabs>
        <w:contextualSpacing/>
        <w:rPr>
          <w:rFonts w:eastAsia="Calibri"/>
          <w:color w:val="auto"/>
        </w:rPr>
      </w:pPr>
      <w:r w:rsidRPr="00FE32E2">
        <w:rPr>
          <w:rFonts w:eastAsia="Calibri"/>
          <w:color w:val="auto"/>
        </w:rPr>
        <w:t>Бюджетный эффект получен от мероприятий по повышению поступлений налоговых и неналоговых доходов, роста собираемости начисленных платежей, в том числе:</w:t>
      </w:r>
    </w:p>
    <w:p w14:paraId="354EAA64" w14:textId="77777777" w:rsidR="00FE6F91" w:rsidRPr="00FE32E2" w:rsidRDefault="00FE6F91" w:rsidP="006B3DF7">
      <w:pPr>
        <w:tabs>
          <w:tab w:val="left" w:pos="0"/>
        </w:tabs>
        <w:contextualSpacing/>
        <w:rPr>
          <w:rFonts w:eastAsia="Calibri"/>
          <w:color w:val="auto"/>
        </w:rPr>
      </w:pPr>
      <w:r w:rsidRPr="00FE32E2">
        <w:rPr>
          <w:rFonts w:eastAsia="Calibri"/>
          <w:color w:val="auto"/>
        </w:rPr>
        <w:t>– увеличение поступлений по налоговым доходам от мероприятий по развитию налогооблагаемой базы, улучшению администрирования доходов, а также по результатам межведомственного взаимодействия исполнительных органов государственной власти Кабардино-Балкарской Республики с территориальными органами федеральных органов исполнительной власти в Кабардино-Балкарской Республике и органами местного самоуправления по выполнению мероприятий по увеличению налоговых поступлений на сумму 1 692,3 млн рублей;</w:t>
      </w:r>
    </w:p>
    <w:p w14:paraId="25EB89C8" w14:textId="782DC3BA" w:rsidR="00FE6F91" w:rsidRPr="00FE32E2" w:rsidRDefault="00FE6F91" w:rsidP="006B3DF7">
      <w:pPr>
        <w:tabs>
          <w:tab w:val="left" w:pos="0"/>
        </w:tabs>
        <w:contextualSpacing/>
        <w:rPr>
          <w:rFonts w:eastAsia="Calibri"/>
          <w:color w:val="auto"/>
        </w:rPr>
      </w:pPr>
      <w:r w:rsidRPr="00FE32E2">
        <w:rPr>
          <w:rFonts w:eastAsia="Calibri"/>
          <w:color w:val="auto"/>
        </w:rPr>
        <w:t xml:space="preserve">– увеличение собираемости неналоговых доходов (арендных платежей, штрафов ГИБДД, иных штрафов и доходов от оказания платных услуг) на сумму </w:t>
      </w:r>
      <w:r>
        <w:rPr>
          <w:rFonts w:eastAsia="Calibri"/>
          <w:color w:val="auto"/>
        </w:rPr>
        <w:br/>
      </w:r>
      <w:r w:rsidRPr="00FE32E2">
        <w:rPr>
          <w:rFonts w:eastAsia="Calibri"/>
          <w:color w:val="auto"/>
        </w:rPr>
        <w:t>697,1 млн рублей;</w:t>
      </w:r>
    </w:p>
    <w:p w14:paraId="5811941F" w14:textId="77777777" w:rsidR="00FE6F91" w:rsidRPr="00FE32E2" w:rsidRDefault="00FE6F91" w:rsidP="006B3DF7">
      <w:pPr>
        <w:tabs>
          <w:tab w:val="left" w:pos="0"/>
        </w:tabs>
        <w:contextualSpacing/>
        <w:rPr>
          <w:rFonts w:eastAsia="Calibri"/>
          <w:color w:val="auto"/>
        </w:rPr>
      </w:pPr>
      <w:r w:rsidRPr="00FE32E2">
        <w:rPr>
          <w:rFonts w:eastAsia="Calibri"/>
          <w:color w:val="auto"/>
        </w:rPr>
        <w:t>– получение доходов от эффективного управления остатками средств на едином счете бюджета в сумме 2 464,4 млн рублей, в результате реализованных мер по эффективному использованию временно свободных остатков средств автономных и бюджетных учреждений, посредством механизма их привлечения с казначейских счетов на единый счет республиканского бюджета в целях получения доходов от операций по управлению остатками средств на едином казначейском счете. Использование данного механизма позволило существенно увеличить неналоговые доходы республиканского бюджета, что в свою очередь способствовало повышению доходного потенциала республиканского бюджета. Полученная по итогам 2025 года сумма доходов от операций по управлению остатками средств на едином казначейском счете превысила аналогичны показатель за 2024 год на 611,4 млн рублей (прирост на 33,0 %).</w:t>
      </w:r>
    </w:p>
    <w:p w14:paraId="18DDA583" w14:textId="277B8276" w:rsidR="00FE6F91" w:rsidRPr="00FE32E2" w:rsidRDefault="00FE6F91" w:rsidP="006B3DF7">
      <w:pPr>
        <w:tabs>
          <w:tab w:val="left" w:pos="0"/>
        </w:tabs>
        <w:contextualSpacing/>
        <w:rPr>
          <w:rFonts w:eastAsia="Calibri"/>
          <w:color w:val="auto"/>
        </w:rPr>
      </w:pPr>
      <w:r w:rsidRPr="00FE32E2">
        <w:rPr>
          <w:rFonts w:eastAsia="Calibri"/>
          <w:color w:val="auto"/>
        </w:rPr>
        <w:t xml:space="preserve">5. Продолжена работа по расширению налоговой базы по налогу на имущество организаций путем вовлечения объектов в налоговый оборот, в том числе объектов незавершенного строительства, жилых помещений, гаражей, </w:t>
      </w:r>
      <w:proofErr w:type="spellStart"/>
      <w:r w:rsidRPr="00FE32E2">
        <w:rPr>
          <w:rFonts w:eastAsia="Calibri"/>
          <w:color w:val="auto"/>
        </w:rPr>
        <w:t>машино</w:t>
      </w:r>
      <w:proofErr w:type="spellEnd"/>
      <w:r w:rsidRPr="00FE32E2">
        <w:rPr>
          <w:rFonts w:eastAsia="Calibri"/>
          <w:color w:val="auto"/>
        </w:rPr>
        <w:t>-мест, а также жилых строений, садовых домов,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Постановлениями Правительства КБР ежегодно утверждаются перечни объектов недвижимого имущества, в отношении которых налоговая база определяется, как кадастровая стоимость. Перечень таких объектов на 2026 год утвержден постановлением Правительства КБР от 29 декабря 2025 года № 225-ПП и включает 1059 объектов недвижимости (в 2025 году с учетом внесенных изменений перечень состоял из 1038 объектов).</w:t>
      </w:r>
    </w:p>
    <w:p w14:paraId="0A234FF6" w14:textId="7022AE5A" w:rsidR="00FE6F91" w:rsidRPr="00FE32E2" w:rsidRDefault="00FE6F91" w:rsidP="006B3DF7">
      <w:pPr>
        <w:tabs>
          <w:tab w:val="left" w:pos="0"/>
        </w:tabs>
        <w:contextualSpacing/>
        <w:rPr>
          <w:rFonts w:eastAsia="Calibri"/>
          <w:color w:val="auto"/>
        </w:rPr>
      </w:pPr>
      <w:r w:rsidRPr="00FE32E2">
        <w:rPr>
          <w:rFonts w:eastAsia="Calibri"/>
          <w:color w:val="auto"/>
        </w:rPr>
        <w:t xml:space="preserve">В соответствии с Постановлением Правительства КБР от 17 марта 2015 года </w:t>
      </w:r>
      <w:r>
        <w:rPr>
          <w:rFonts w:eastAsia="Calibri"/>
          <w:color w:val="auto"/>
        </w:rPr>
        <w:br/>
      </w:r>
      <w:r w:rsidRPr="00FE32E2">
        <w:rPr>
          <w:rFonts w:eastAsia="Calibri"/>
          <w:color w:val="auto"/>
        </w:rPr>
        <w:t>№ 53-ПП уполномоченной комиссией в 2025 году было проведено 50 обследований по определению вида фактического использования зданий (строений, сооружений) и помещений для целей налогообложения, в том числе 39 из них проведены по инициативе комиссии, 11 по запросам собственников объектов.</w:t>
      </w:r>
    </w:p>
    <w:p w14:paraId="07BF3AC8" w14:textId="77777777" w:rsidR="00FE6F91" w:rsidRPr="00FE32E2" w:rsidRDefault="00FE6F91" w:rsidP="006B3DF7">
      <w:pPr>
        <w:tabs>
          <w:tab w:val="left" w:pos="0"/>
        </w:tabs>
        <w:contextualSpacing/>
        <w:rPr>
          <w:rFonts w:eastAsia="Calibri"/>
          <w:color w:val="auto"/>
        </w:rPr>
      </w:pPr>
      <w:r w:rsidRPr="00FE32E2">
        <w:rPr>
          <w:rFonts w:eastAsia="Calibri"/>
          <w:color w:val="auto"/>
        </w:rPr>
        <w:t>На основании документального и визуального обследования включены 21 объект недвижимости (по информации, представленной УФНС России по КБР). В соответствии с решениями Верховного суда КБР исключены 3 объекта.</w:t>
      </w:r>
    </w:p>
    <w:p w14:paraId="4E3EB6CA" w14:textId="77777777" w:rsidR="00FE6F91" w:rsidRPr="00FE32E2" w:rsidRDefault="00FE6F91" w:rsidP="006B3DF7">
      <w:pPr>
        <w:tabs>
          <w:tab w:val="left" w:pos="0"/>
        </w:tabs>
        <w:contextualSpacing/>
        <w:rPr>
          <w:rFonts w:eastAsia="Calibri"/>
          <w:color w:val="auto"/>
        </w:rPr>
      </w:pPr>
      <w:r w:rsidRPr="00FE32E2">
        <w:rPr>
          <w:rFonts w:eastAsia="Calibri"/>
          <w:color w:val="auto"/>
        </w:rPr>
        <w:t>Материалы проведенных уполномоченной комиссией обследований размещены на едином портале исполнительных органов государственной власти Кабардино-Балкарской Республики и органов местного самоуправления (www.pravitelstvokbr.ru).</w:t>
      </w:r>
    </w:p>
    <w:p w14:paraId="56F73CB2" w14:textId="5A3C009D" w:rsidR="00FE6F91" w:rsidRPr="00FE32E2" w:rsidRDefault="00FE6F91" w:rsidP="006B3DF7">
      <w:pPr>
        <w:tabs>
          <w:tab w:val="left" w:pos="0"/>
        </w:tabs>
        <w:contextualSpacing/>
        <w:rPr>
          <w:rFonts w:eastAsia="Calibri"/>
          <w:color w:val="auto"/>
        </w:rPr>
      </w:pPr>
      <w:r w:rsidRPr="00FE32E2">
        <w:rPr>
          <w:rFonts w:eastAsia="Calibri"/>
          <w:color w:val="auto"/>
        </w:rPr>
        <w:t xml:space="preserve">6. В целях расширения налоговой базы путем максимального вовлечения объектов недвижимого имущества в налоговый оборот в рамках исполнения поручения Президента Российской Федерации от 18 марта 2024 года № Пр-509 реализуется </w:t>
      </w:r>
      <w:r w:rsidR="001B68C0">
        <w:rPr>
          <w:rFonts w:eastAsia="Calibri"/>
          <w:color w:val="auto"/>
        </w:rPr>
        <w:br/>
      </w:r>
      <w:r w:rsidRPr="00FE32E2">
        <w:rPr>
          <w:rFonts w:eastAsia="Calibri"/>
          <w:color w:val="auto"/>
        </w:rPr>
        <w:t xml:space="preserve">План-график проведения работ по государственному кадастровому учету и государственной регистрации права собственности в отношении государственного и муниципального имущества. </w:t>
      </w:r>
    </w:p>
    <w:p w14:paraId="65E06648" w14:textId="39CC2FC9" w:rsidR="00FE6F91" w:rsidRPr="00FE32E2" w:rsidRDefault="00FE6F91" w:rsidP="006B3DF7">
      <w:pPr>
        <w:tabs>
          <w:tab w:val="left" w:pos="0"/>
        </w:tabs>
        <w:contextualSpacing/>
        <w:rPr>
          <w:rFonts w:eastAsia="Calibri"/>
          <w:color w:val="auto"/>
        </w:rPr>
      </w:pPr>
      <w:r w:rsidRPr="00FE32E2">
        <w:rPr>
          <w:rFonts w:eastAsia="Calibri"/>
          <w:color w:val="auto"/>
        </w:rPr>
        <w:t xml:space="preserve">Согласно утвержденным планам-графикам проведения работ по государственному кадастровому учету и государственной регистрации прав на недвижимое имущество в 2025 году из общего количества объектов недвижимости, подлежащих государственной регистрации и закрепленных за государственными учреждениями, права собственности зарегистрированы (либо не подлежат государственной регистрации) на 929 объектов недвижимости и на 487 объектов муниципального имущества. Обеспечена постановка на кадастровый учет, регистрация прав в ЕГРН и внесение сведений в систему контроля дорожных фондов (СКДФ) по </w:t>
      </w:r>
      <w:r w:rsidR="001B68C0">
        <w:rPr>
          <w:rFonts w:eastAsia="Calibri"/>
          <w:color w:val="auto"/>
        </w:rPr>
        <w:br/>
      </w:r>
      <w:r w:rsidRPr="00FE32E2">
        <w:rPr>
          <w:rFonts w:eastAsia="Calibri"/>
          <w:color w:val="auto"/>
        </w:rPr>
        <w:t>300 региональным автомобильным дорогам, или 100 % подлежащих постановке на учет.</w:t>
      </w:r>
    </w:p>
    <w:p w14:paraId="6CC0CE64" w14:textId="77777777" w:rsidR="00FE6F91" w:rsidRPr="00FE32E2" w:rsidRDefault="00FE6F91" w:rsidP="006B3DF7">
      <w:pPr>
        <w:tabs>
          <w:tab w:val="left" w:pos="0"/>
        </w:tabs>
        <w:contextualSpacing/>
        <w:rPr>
          <w:rFonts w:eastAsia="Calibri"/>
          <w:color w:val="auto"/>
        </w:rPr>
      </w:pPr>
      <w:r w:rsidRPr="00FE32E2">
        <w:rPr>
          <w:rFonts w:eastAsia="Calibri"/>
          <w:color w:val="auto"/>
        </w:rPr>
        <w:t>За 2025 год бюджетный эффект от вовлечения в налоговый оборот земельных участков и иных объектов недвижимости, в том числе, по налогу, исчисляемому от кадастровой стоимости, составил 19,2 млн рублей.</w:t>
      </w:r>
    </w:p>
    <w:p w14:paraId="3BBAC44B" w14:textId="7E7F07EC" w:rsidR="00FE6F91" w:rsidRPr="00FE32E2" w:rsidRDefault="00FE6F91" w:rsidP="006B3DF7">
      <w:pPr>
        <w:tabs>
          <w:tab w:val="left" w:pos="0"/>
        </w:tabs>
        <w:contextualSpacing/>
        <w:rPr>
          <w:rFonts w:eastAsia="Calibri"/>
          <w:color w:val="auto"/>
        </w:rPr>
      </w:pPr>
      <w:r w:rsidRPr="00FE32E2">
        <w:rPr>
          <w:rFonts w:eastAsia="Calibri"/>
          <w:color w:val="auto"/>
        </w:rPr>
        <w:t xml:space="preserve">7. По состоянию на 1 января 2026 года по данным мониторинга ФНС России реализации специального налогового режима </w:t>
      </w:r>
      <w:r w:rsidR="006B3DF7">
        <w:rPr>
          <w:rFonts w:eastAsia="Calibri"/>
          <w:color w:val="auto"/>
        </w:rPr>
        <w:t>«</w:t>
      </w:r>
      <w:r w:rsidRPr="00FE32E2">
        <w:rPr>
          <w:rFonts w:eastAsia="Calibri"/>
          <w:color w:val="auto"/>
        </w:rPr>
        <w:t>Налог на профессиональный доход</w:t>
      </w:r>
      <w:r w:rsidR="006B3DF7">
        <w:rPr>
          <w:rFonts w:eastAsia="Calibri"/>
          <w:color w:val="auto"/>
        </w:rPr>
        <w:t>»</w:t>
      </w:r>
      <w:r w:rsidRPr="00FE32E2">
        <w:rPr>
          <w:rFonts w:eastAsia="Calibri"/>
          <w:color w:val="auto"/>
        </w:rPr>
        <w:t>, в Кабардино-Балкарской Республике зарегистрировано 96 тысяч налогоплательщиков НПД. Сумма уплаченных налогов за 2025 год по НПД составила 198,5 млн рублей, что в 1,8 раза больше поступлений за 2024 год.</w:t>
      </w:r>
    </w:p>
    <w:p w14:paraId="070955BB" w14:textId="77777777" w:rsidR="00FE6F91" w:rsidRPr="00FE32E2" w:rsidRDefault="00FE6F91" w:rsidP="006B3DF7">
      <w:pPr>
        <w:tabs>
          <w:tab w:val="left" w:pos="0"/>
        </w:tabs>
        <w:contextualSpacing/>
        <w:rPr>
          <w:rFonts w:eastAsia="Calibri"/>
          <w:color w:val="auto"/>
        </w:rPr>
      </w:pPr>
      <w:r w:rsidRPr="00FE32E2">
        <w:rPr>
          <w:rFonts w:eastAsia="Calibri"/>
          <w:color w:val="auto"/>
        </w:rPr>
        <w:t>8. В соответствии с изменением налогового законодательства в целях увеличения доходного потенциала своевременно подготовлены и приняты региональные законы, вступившие в силу с 1 января 2025 года, в том числе:</w:t>
      </w:r>
    </w:p>
    <w:p w14:paraId="0C2A8A4E" w14:textId="77777777" w:rsidR="00FE6F91" w:rsidRPr="00FE32E2" w:rsidRDefault="00FE6F91" w:rsidP="006B3DF7">
      <w:pPr>
        <w:tabs>
          <w:tab w:val="left" w:pos="0"/>
        </w:tabs>
        <w:contextualSpacing/>
        <w:rPr>
          <w:rFonts w:eastAsia="Calibri"/>
          <w:color w:val="auto"/>
        </w:rPr>
      </w:pPr>
      <w:r w:rsidRPr="00FE32E2">
        <w:rPr>
          <w:rFonts w:eastAsia="Calibri"/>
          <w:color w:val="auto"/>
        </w:rPr>
        <w:t xml:space="preserve">от 12 ноября 2024 года № 34-РЗ об актуализации налоговых ставок в отношении объектов налогообложения стоимостью свыше 300,0 млн рублей по налогу на имущество организаций; </w:t>
      </w:r>
    </w:p>
    <w:p w14:paraId="57087B9F" w14:textId="77777777" w:rsidR="00FE6F91" w:rsidRPr="00FE32E2" w:rsidRDefault="00FE6F91" w:rsidP="006B3DF7">
      <w:pPr>
        <w:tabs>
          <w:tab w:val="left" w:pos="0"/>
        </w:tabs>
        <w:contextualSpacing/>
        <w:rPr>
          <w:rFonts w:eastAsia="Calibri"/>
          <w:color w:val="auto"/>
        </w:rPr>
      </w:pPr>
      <w:r w:rsidRPr="00FE32E2">
        <w:rPr>
          <w:rFonts w:eastAsia="Calibri"/>
          <w:color w:val="auto"/>
        </w:rPr>
        <w:t>от 28 ноября 2024 года № 35-РЗ о поэтапной отмене корректирующих коэффициентов к налоговым ставкам по транспортному налогу в зависимости от года выпуска транспортного средства, а также о предоставлении социальной поддержки в виде освобождения от уплаты транспортного налога участникам специальной военной операции и членам их семей;</w:t>
      </w:r>
    </w:p>
    <w:p w14:paraId="7B7B5FD2" w14:textId="77777777" w:rsidR="00FE6F91" w:rsidRPr="00FE32E2" w:rsidRDefault="00FE6F91" w:rsidP="006B3DF7">
      <w:pPr>
        <w:tabs>
          <w:tab w:val="left" w:pos="0"/>
        </w:tabs>
        <w:contextualSpacing/>
        <w:rPr>
          <w:rFonts w:eastAsia="Calibri"/>
          <w:color w:val="auto"/>
        </w:rPr>
      </w:pPr>
      <w:r w:rsidRPr="00FE32E2">
        <w:rPr>
          <w:rFonts w:eastAsia="Calibri"/>
          <w:color w:val="auto"/>
        </w:rPr>
        <w:t>от 28 ноября 2024 года № 36-РЗ о продлении действия нулевой налоговой ставки до 1 января 2026 года для отдельных категорий налогоплательщиков, индивидуальных предпринимателей при применении упрощенной и патентной системы налогообложения в целях поддержки субъектов МСП;</w:t>
      </w:r>
    </w:p>
    <w:p w14:paraId="4717EC0E" w14:textId="77777777" w:rsidR="00FE6F91" w:rsidRPr="00FE32E2" w:rsidRDefault="00FE6F91" w:rsidP="006B3DF7">
      <w:pPr>
        <w:tabs>
          <w:tab w:val="left" w:pos="0"/>
        </w:tabs>
        <w:contextualSpacing/>
        <w:rPr>
          <w:rFonts w:eastAsia="Calibri"/>
          <w:color w:val="auto"/>
        </w:rPr>
      </w:pPr>
      <w:r w:rsidRPr="00FE32E2">
        <w:rPr>
          <w:rFonts w:eastAsia="Calibri"/>
          <w:color w:val="auto"/>
        </w:rPr>
        <w:t xml:space="preserve">от 28 ноября 2024 года № 38-РЗ о введении с 1 января 2025 года на территории Кабардино-Балкарской Республики автоматизированной упрощенной системы налогообложения, поступления </w:t>
      </w:r>
      <w:proofErr w:type="spellStart"/>
      <w:r w:rsidRPr="00FE32E2">
        <w:rPr>
          <w:rFonts w:eastAsia="Calibri"/>
          <w:color w:val="auto"/>
        </w:rPr>
        <w:t>АвтоУСН</w:t>
      </w:r>
      <w:proofErr w:type="spellEnd"/>
      <w:r w:rsidRPr="00FE32E2">
        <w:rPr>
          <w:rFonts w:eastAsia="Calibri"/>
          <w:color w:val="auto"/>
        </w:rPr>
        <w:t xml:space="preserve"> за 2025 год составили 1,0 млн рублей;</w:t>
      </w:r>
    </w:p>
    <w:p w14:paraId="7BC7BD28" w14:textId="77777777" w:rsidR="00FE6F91" w:rsidRPr="00FE32E2" w:rsidRDefault="00FE6F91" w:rsidP="006B3DF7">
      <w:pPr>
        <w:tabs>
          <w:tab w:val="left" w:pos="0"/>
        </w:tabs>
        <w:contextualSpacing/>
        <w:rPr>
          <w:rFonts w:eastAsia="Calibri"/>
          <w:color w:val="auto"/>
        </w:rPr>
      </w:pPr>
      <w:r w:rsidRPr="00FE32E2">
        <w:rPr>
          <w:rFonts w:eastAsia="Calibri"/>
          <w:color w:val="auto"/>
        </w:rPr>
        <w:t>от 28 ноября 2024 года № 37-РЗ об актуализации налоговых ставок по налогу на игорный бизнес.</w:t>
      </w:r>
    </w:p>
    <w:p w14:paraId="38B0B333" w14:textId="2709A299" w:rsidR="00FE6F91" w:rsidRPr="00FE32E2" w:rsidRDefault="00FE6F91" w:rsidP="008B3339">
      <w:pPr>
        <w:tabs>
          <w:tab w:val="left" w:pos="0"/>
        </w:tabs>
        <w:contextualSpacing/>
        <w:rPr>
          <w:rFonts w:eastAsia="Calibri"/>
          <w:color w:val="auto"/>
        </w:rPr>
      </w:pPr>
      <w:r w:rsidRPr="00FE32E2">
        <w:rPr>
          <w:rFonts w:eastAsia="Calibri"/>
          <w:color w:val="auto"/>
        </w:rPr>
        <w:t xml:space="preserve">9. На местном уровне муниципальными образованиями Кабардино-Балкарской Республики приняты нормативные правовые акты по актуализации налоговых ставок по земельному налогу и налогу на имущество физических лиц (в отношении объектов недвижимости и земельных участков стоимостью свыше 300 млн рублей), </w:t>
      </w:r>
      <w:r w:rsidR="008B3339">
        <w:rPr>
          <w:rFonts w:eastAsia="Calibri"/>
          <w:color w:val="auto"/>
        </w:rPr>
        <w:br/>
      </w:r>
      <w:r w:rsidRPr="00FE32E2">
        <w:rPr>
          <w:rFonts w:eastAsia="Calibri"/>
          <w:color w:val="auto"/>
        </w:rPr>
        <w:t>а также установлению на подведомственных территориях с 1 января 2025 года туристического налога. По состоянию на 1 января 2026 года туристический налог установлен в 94 муниципальных образованиях республики, сумма поступлений в местные бюджеты составила 28,7 млн рублей.</w:t>
      </w:r>
    </w:p>
    <w:p w14:paraId="6DD7752E" w14:textId="4968DC4B" w:rsidR="00FE6F91" w:rsidRDefault="00FE6F91" w:rsidP="006B3DF7">
      <w:pPr>
        <w:tabs>
          <w:tab w:val="left" w:pos="0"/>
        </w:tabs>
        <w:contextualSpacing/>
        <w:rPr>
          <w:rFonts w:eastAsia="Calibri"/>
          <w:color w:val="auto"/>
        </w:rPr>
      </w:pPr>
      <w:r w:rsidRPr="00FE32E2">
        <w:rPr>
          <w:rFonts w:eastAsia="Calibri"/>
          <w:color w:val="auto"/>
        </w:rPr>
        <w:t xml:space="preserve">10. </w:t>
      </w:r>
      <w:r w:rsidRPr="00B33D75">
        <w:rPr>
          <w:rFonts w:eastAsia="Calibri"/>
          <w:iCs/>
          <w:color w:val="auto"/>
        </w:rPr>
        <w:t>В рамках работы Комисси</w:t>
      </w:r>
      <w:r>
        <w:rPr>
          <w:rFonts w:eastAsia="Calibri"/>
          <w:iCs/>
          <w:color w:val="auto"/>
        </w:rPr>
        <w:t>и</w:t>
      </w:r>
      <w:r w:rsidRPr="00B33D75">
        <w:rPr>
          <w:rFonts w:eastAsia="Calibri"/>
          <w:iCs/>
          <w:color w:val="auto"/>
        </w:rPr>
        <w:t xml:space="preserve"> Правительства Кабардино-Балкарской Республики по обеспечению мобилизации доходов в бюджетную систему, контролю </w:t>
      </w:r>
      <w:r w:rsidR="008B3339">
        <w:rPr>
          <w:rFonts w:eastAsia="Calibri"/>
          <w:iCs/>
          <w:color w:val="auto"/>
        </w:rPr>
        <w:br/>
      </w:r>
      <w:r w:rsidRPr="00B33D75">
        <w:rPr>
          <w:rFonts w:eastAsia="Calibri"/>
          <w:iCs/>
          <w:color w:val="auto"/>
        </w:rPr>
        <w:t xml:space="preserve">за соблюдением финансовой, бюджетной и налоговой дисциплины </w:t>
      </w:r>
      <w:r w:rsidR="008B3339">
        <w:rPr>
          <w:rFonts w:eastAsia="Calibri"/>
          <w:iCs/>
          <w:color w:val="auto"/>
        </w:rPr>
        <w:br/>
      </w:r>
      <w:r w:rsidRPr="00B33D75">
        <w:rPr>
          <w:rFonts w:eastAsia="Calibri"/>
          <w:iCs/>
          <w:color w:val="auto"/>
        </w:rPr>
        <w:t xml:space="preserve">в 2025 году рассмотрены и вынесены протокольные поручения по основным мероприятиям для обеспечения исполнения плановых бюджетных назначений </w:t>
      </w:r>
      <w:r w:rsidR="008B3339">
        <w:rPr>
          <w:rFonts w:eastAsia="Calibri"/>
          <w:iCs/>
          <w:color w:val="auto"/>
        </w:rPr>
        <w:br/>
      </w:r>
      <w:r w:rsidRPr="00B33D75">
        <w:rPr>
          <w:rFonts w:eastAsia="Calibri"/>
          <w:iCs/>
          <w:color w:val="auto"/>
        </w:rPr>
        <w:t xml:space="preserve">на 2026 год; о повышении эффективности работы по управлению дебиторской задолженностью (в том числе просроченной) по неналоговым доходам (от аренды земельных участков и недвижимого имущества); о результатах деятельности муниципальных Комиссий по обеспечению мобилизации доходов в </w:t>
      </w:r>
      <w:r w:rsidR="008B3339">
        <w:rPr>
          <w:rFonts w:eastAsia="Calibri"/>
          <w:iCs/>
          <w:color w:val="auto"/>
        </w:rPr>
        <w:br/>
      </w:r>
      <w:r w:rsidRPr="00B33D75">
        <w:rPr>
          <w:rFonts w:eastAsia="Calibri"/>
          <w:iCs/>
          <w:color w:val="auto"/>
        </w:rPr>
        <w:t>бюджетную систему, контролю за соблюдением финансовой, бюджетной и налоговой дисциплины (с учетом мониторинга оценочных показателей деятельности муниципальных Комиссий).</w:t>
      </w:r>
      <w:r w:rsidRPr="00B33D75">
        <w:rPr>
          <w:rFonts w:eastAsia="Calibri"/>
          <w:color w:val="auto"/>
        </w:rPr>
        <w:t xml:space="preserve"> </w:t>
      </w:r>
    </w:p>
    <w:p w14:paraId="7DB754C0" w14:textId="43D2CBBA" w:rsidR="00FE6F91" w:rsidRPr="00B33D75" w:rsidRDefault="00FE6F91" w:rsidP="006B3DF7">
      <w:pPr>
        <w:tabs>
          <w:tab w:val="left" w:pos="0"/>
        </w:tabs>
        <w:contextualSpacing/>
        <w:rPr>
          <w:rFonts w:eastAsia="Calibri"/>
          <w:color w:val="auto"/>
        </w:rPr>
      </w:pPr>
      <w:r w:rsidRPr="00B33D75">
        <w:rPr>
          <w:rFonts w:eastAsia="Calibri"/>
          <w:color w:val="auto"/>
        </w:rPr>
        <w:t xml:space="preserve">В соответствии с результатами оценочных показателей работы муниципальных комиссий по обеспечению мобилизации доходов по итогам 2025 года </w:t>
      </w:r>
      <w:r w:rsidR="008B3339">
        <w:rPr>
          <w:rFonts w:eastAsia="Calibri"/>
          <w:color w:val="auto"/>
        </w:rPr>
        <w:br/>
      </w:r>
      <w:r w:rsidRPr="00B33D75">
        <w:rPr>
          <w:rFonts w:eastAsia="Calibri"/>
          <w:color w:val="auto"/>
        </w:rPr>
        <w:t xml:space="preserve">на заседаниях комиссий заслушаны 630 налогоплательщиков. Бюджетный эффект </w:t>
      </w:r>
      <w:r w:rsidR="008B3339">
        <w:rPr>
          <w:rFonts w:eastAsia="Calibri"/>
          <w:color w:val="auto"/>
        </w:rPr>
        <w:br/>
      </w:r>
      <w:r w:rsidRPr="00B33D75">
        <w:rPr>
          <w:rFonts w:eastAsia="Calibri"/>
          <w:color w:val="auto"/>
        </w:rPr>
        <w:t xml:space="preserve">от проведенной работы оценивается администрациями в объеме 635,5 млн рублей, </w:t>
      </w:r>
      <w:bookmarkStart w:id="100" w:name="_GoBack"/>
      <w:bookmarkEnd w:id="100"/>
      <w:r w:rsidR="008B3339">
        <w:rPr>
          <w:rFonts w:eastAsia="Calibri"/>
          <w:color w:val="auto"/>
        </w:rPr>
        <w:br/>
      </w:r>
      <w:r w:rsidRPr="00B33D75">
        <w:rPr>
          <w:rFonts w:eastAsia="Calibri"/>
          <w:color w:val="auto"/>
        </w:rPr>
        <w:t xml:space="preserve">в том числе по налоговым доходам – 511,5 млн рублей, по </w:t>
      </w:r>
      <w:r w:rsidR="008B3339">
        <w:rPr>
          <w:rFonts w:eastAsia="Calibri"/>
          <w:color w:val="auto"/>
        </w:rPr>
        <w:br/>
      </w:r>
      <w:r w:rsidRPr="00B33D75">
        <w:rPr>
          <w:rFonts w:eastAsia="Calibri"/>
          <w:color w:val="auto"/>
        </w:rPr>
        <w:t xml:space="preserve">неналоговым доходам (погашение просроченной дебиторской задолженности) – </w:t>
      </w:r>
      <w:r w:rsidR="008B3339">
        <w:rPr>
          <w:rFonts w:eastAsia="Calibri"/>
          <w:color w:val="auto"/>
        </w:rPr>
        <w:br/>
      </w:r>
      <w:r w:rsidRPr="00B33D75">
        <w:rPr>
          <w:rFonts w:eastAsia="Calibri"/>
          <w:color w:val="auto"/>
        </w:rPr>
        <w:t>124,0 млн рублей.</w:t>
      </w:r>
    </w:p>
    <w:p w14:paraId="7D3B5171" w14:textId="05213D22" w:rsidR="00FE6F91" w:rsidRPr="00B33D75" w:rsidRDefault="00FE6F91" w:rsidP="006B3DF7">
      <w:pPr>
        <w:tabs>
          <w:tab w:val="left" w:pos="0"/>
        </w:tabs>
        <w:contextualSpacing/>
        <w:rPr>
          <w:rFonts w:eastAsia="Calibri"/>
          <w:color w:val="auto"/>
        </w:rPr>
      </w:pPr>
      <w:r w:rsidRPr="00B33D75">
        <w:rPr>
          <w:rFonts w:eastAsia="Calibri"/>
          <w:color w:val="auto"/>
        </w:rPr>
        <w:t xml:space="preserve">По результатам работы рабочих групп по противодействию нелегальной занятости по состоянию на 1 января 2026 года общее количество легализованных граждан, находящихся в неформальных трудовых отношениях, </w:t>
      </w:r>
      <w:r w:rsidR="008B3339">
        <w:rPr>
          <w:rFonts w:eastAsia="Calibri"/>
          <w:color w:val="auto"/>
        </w:rPr>
        <w:br/>
      </w:r>
      <w:r w:rsidRPr="00B33D75">
        <w:rPr>
          <w:rFonts w:eastAsia="Calibri"/>
          <w:color w:val="auto"/>
        </w:rPr>
        <w:t xml:space="preserve">составило 7 058 человек, </w:t>
      </w:r>
      <w:r w:rsidRPr="00B33D75">
        <w:rPr>
          <w:rFonts w:eastAsia="Calibri"/>
          <w:bCs/>
          <w:color w:val="auto"/>
        </w:rPr>
        <w:t>б</w:t>
      </w:r>
      <w:r w:rsidRPr="00B33D75">
        <w:rPr>
          <w:rFonts w:eastAsia="Calibri"/>
          <w:color w:val="auto"/>
        </w:rPr>
        <w:t xml:space="preserve">юджетный эффект от проведенных мероприятий составил </w:t>
      </w:r>
      <w:r w:rsidR="008B3339">
        <w:rPr>
          <w:rFonts w:eastAsia="Calibri"/>
          <w:color w:val="auto"/>
        </w:rPr>
        <w:br/>
      </w:r>
      <w:r w:rsidRPr="00B33D75">
        <w:rPr>
          <w:rFonts w:eastAsia="Calibri"/>
          <w:color w:val="auto"/>
        </w:rPr>
        <w:t>6,7 млн рублей дополнительного НДФЛ.</w:t>
      </w:r>
    </w:p>
    <w:p w14:paraId="3650EB68" w14:textId="09763C6D" w:rsidR="00FE6F91" w:rsidRPr="00FE32E2" w:rsidRDefault="00FE6F91" w:rsidP="006B3DF7">
      <w:pPr>
        <w:tabs>
          <w:tab w:val="left" w:pos="0"/>
        </w:tabs>
        <w:contextualSpacing/>
        <w:rPr>
          <w:rFonts w:eastAsia="Calibri"/>
          <w:color w:val="auto"/>
        </w:rPr>
      </w:pPr>
      <w:r w:rsidRPr="00FE32E2">
        <w:rPr>
          <w:rFonts w:eastAsia="Calibri"/>
          <w:color w:val="auto"/>
        </w:rPr>
        <w:t>Принят закон Кабардино-Балкарской Республики от 28 ноября 2025 года</w:t>
      </w:r>
      <w:r>
        <w:rPr>
          <w:rFonts w:eastAsia="Calibri"/>
          <w:color w:val="auto"/>
        </w:rPr>
        <w:t xml:space="preserve"> </w:t>
      </w:r>
      <w:r w:rsidR="008B3339">
        <w:rPr>
          <w:rFonts w:eastAsia="Calibri"/>
          <w:color w:val="auto"/>
        </w:rPr>
        <w:br/>
      </w:r>
      <w:r w:rsidRPr="00FE32E2">
        <w:rPr>
          <w:rFonts w:eastAsia="Calibri"/>
          <w:color w:val="auto"/>
        </w:rPr>
        <w:t xml:space="preserve">№ 41-РЗ </w:t>
      </w:r>
      <w:r w:rsidR="006B3DF7">
        <w:rPr>
          <w:rFonts w:eastAsia="Calibri"/>
          <w:color w:val="auto"/>
        </w:rPr>
        <w:t>«</w:t>
      </w:r>
      <w:r w:rsidRPr="00FE32E2">
        <w:rPr>
          <w:rFonts w:eastAsia="Calibri"/>
          <w:color w:val="auto"/>
        </w:rPr>
        <w:t xml:space="preserve">О внесении изменений в отдельные республиканские законы в сфере налогообложения и признании утратившим силу Закона Кабардино-Балкарской Республики </w:t>
      </w:r>
      <w:r w:rsidR="006B3DF7">
        <w:rPr>
          <w:rFonts w:eastAsia="Calibri"/>
          <w:color w:val="auto"/>
        </w:rPr>
        <w:t>«</w:t>
      </w:r>
      <w:r w:rsidRPr="00FE32E2">
        <w:rPr>
          <w:rFonts w:eastAsia="Calibri"/>
          <w:color w:val="auto"/>
        </w:rPr>
        <w:t>О ставках налога на игорный бизнес</w:t>
      </w:r>
      <w:r w:rsidR="006B3DF7">
        <w:rPr>
          <w:rFonts w:eastAsia="Calibri"/>
          <w:color w:val="auto"/>
        </w:rPr>
        <w:t>»</w:t>
      </w:r>
      <w:r w:rsidRPr="00FE32E2">
        <w:rPr>
          <w:rFonts w:eastAsia="Calibri"/>
          <w:color w:val="auto"/>
        </w:rPr>
        <w:t xml:space="preserve">, в соответствии с которым: </w:t>
      </w:r>
    </w:p>
    <w:p w14:paraId="5963B60B" w14:textId="4157982E" w:rsidR="00FE6F91" w:rsidRPr="00FE32E2" w:rsidRDefault="00FE6F91" w:rsidP="006B3DF7">
      <w:pPr>
        <w:tabs>
          <w:tab w:val="left" w:pos="0"/>
        </w:tabs>
        <w:contextualSpacing/>
        <w:rPr>
          <w:rFonts w:eastAsia="Calibri"/>
          <w:color w:val="auto"/>
        </w:rPr>
      </w:pPr>
      <w:r w:rsidRPr="00FE32E2">
        <w:rPr>
          <w:rFonts w:eastAsia="Calibri"/>
          <w:color w:val="auto"/>
        </w:rPr>
        <w:t xml:space="preserve">в целях оптимизации патентной системы налогообложения на территории Кабардино-Балкарской Республики внесены изменения в закон </w:t>
      </w:r>
      <w:r w:rsidR="008B3339">
        <w:rPr>
          <w:rFonts w:eastAsia="Calibri"/>
          <w:color w:val="auto"/>
        </w:rPr>
        <w:br/>
      </w:r>
      <w:r w:rsidRPr="00FE32E2">
        <w:rPr>
          <w:rFonts w:eastAsia="Calibri"/>
          <w:color w:val="auto"/>
        </w:rPr>
        <w:t xml:space="preserve">от 29 ноября 2012 года № 86-РЗ  </w:t>
      </w:r>
      <w:r w:rsidR="006B3DF7">
        <w:rPr>
          <w:rFonts w:eastAsia="Calibri"/>
          <w:color w:val="auto"/>
        </w:rPr>
        <w:t>«</w:t>
      </w:r>
      <w:r w:rsidRPr="00FE32E2">
        <w:rPr>
          <w:rFonts w:eastAsia="Calibri"/>
          <w:color w:val="auto"/>
        </w:rPr>
        <w:t xml:space="preserve">О патентной системе налогообложения </w:t>
      </w:r>
      <w:r w:rsidR="008B3339">
        <w:rPr>
          <w:rFonts w:eastAsia="Calibri"/>
          <w:color w:val="auto"/>
        </w:rPr>
        <w:br/>
      </w:r>
      <w:r w:rsidRPr="00FE32E2">
        <w:rPr>
          <w:rFonts w:eastAsia="Calibri"/>
          <w:color w:val="auto"/>
        </w:rPr>
        <w:t>на территории</w:t>
      </w:r>
      <w:r w:rsidR="008B3339" w:rsidRPr="008B3339">
        <w:rPr>
          <w:rFonts w:eastAsia="Calibri"/>
          <w:color w:val="auto"/>
        </w:rPr>
        <w:t xml:space="preserve"> </w:t>
      </w:r>
      <w:r w:rsidRPr="00FE32E2">
        <w:rPr>
          <w:rFonts w:eastAsia="Calibri"/>
          <w:color w:val="auto"/>
        </w:rPr>
        <w:t>Кабардино-Балкарской Республики</w:t>
      </w:r>
      <w:r w:rsidR="006B3DF7">
        <w:rPr>
          <w:rFonts w:eastAsia="Calibri"/>
          <w:color w:val="auto"/>
        </w:rPr>
        <w:t>»</w:t>
      </w:r>
      <w:r w:rsidRPr="00FE32E2">
        <w:rPr>
          <w:rFonts w:eastAsia="Calibri"/>
          <w:color w:val="auto"/>
        </w:rPr>
        <w:t xml:space="preserve">, увеличивающие </w:t>
      </w:r>
      <w:r w:rsidR="008B3339">
        <w:rPr>
          <w:rFonts w:eastAsia="Calibri"/>
          <w:color w:val="auto"/>
        </w:rPr>
        <w:br/>
      </w:r>
      <w:r w:rsidRPr="00FE32E2">
        <w:rPr>
          <w:rFonts w:eastAsia="Calibri"/>
          <w:color w:val="auto"/>
        </w:rPr>
        <w:t>с 1 января 2026 года</w:t>
      </w:r>
      <w:r w:rsidR="008B3339" w:rsidRPr="008B3339">
        <w:rPr>
          <w:rFonts w:eastAsia="Calibri"/>
          <w:color w:val="auto"/>
        </w:rPr>
        <w:t xml:space="preserve"> </w:t>
      </w:r>
      <w:r w:rsidRPr="00FE32E2">
        <w:rPr>
          <w:rFonts w:eastAsia="Calibri"/>
          <w:color w:val="auto"/>
        </w:rPr>
        <w:t xml:space="preserve">в 2 раза размеры потенциально возможного к </w:t>
      </w:r>
      <w:r w:rsidR="008B3339">
        <w:rPr>
          <w:rFonts w:eastAsia="Calibri"/>
          <w:color w:val="auto"/>
        </w:rPr>
        <w:br/>
      </w:r>
      <w:r w:rsidRPr="00FE32E2">
        <w:rPr>
          <w:rFonts w:eastAsia="Calibri"/>
          <w:color w:val="auto"/>
        </w:rPr>
        <w:t>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 применением в 2026 году  коэффициента 0,75;</w:t>
      </w:r>
    </w:p>
    <w:p w14:paraId="614BA5DA" w14:textId="77974FD8" w:rsidR="00FE6F91" w:rsidRPr="00FE32E2" w:rsidRDefault="00FE6F91" w:rsidP="008B3339">
      <w:pPr>
        <w:tabs>
          <w:tab w:val="left" w:pos="0"/>
        </w:tabs>
        <w:contextualSpacing/>
        <w:rPr>
          <w:rFonts w:eastAsia="Calibri"/>
          <w:color w:val="auto"/>
        </w:rPr>
      </w:pPr>
      <w:r w:rsidRPr="00FE32E2">
        <w:rPr>
          <w:rFonts w:eastAsia="Calibri"/>
          <w:color w:val="auto"/>
        </w:rPr>
        <w:t xml:space="preserve">внесены необходимые корректировки в закон Кабардино-Балкарской Республики от 28 ноября 2002 года № 83-РЗ </w:t>
      </w:r>
      <w:r w:rsidR="006B3DF7">
        <w:rPr>
          <w:rFonts w:eastAsia="Calibri"/>
          <w:color w:val="auto"/>
        </w:rPr>
        <w:t>«</w:t>
      </w:r>
      <w:r w:rsidRPr="00FE32E2">
        <w:rPr>
          <w:rFonts w:eastAsia="Calibri"/>
          <w:color w:val="auto"/>
        </w:rPr>
        <w:t>О транспортном налоге</w:t>
      </w:r>
      <w:r w:rsidR="006B3DF7">
        <w:rPr>
          <w:rFonts w:eastAsia="Calibri"/>
          <w:color w:val="auto"/>
        </w:rPr>
        <w:t>»</w:t>
      </w:r>
      <w:r w:rsidRPr="00FE32E2">
        <w:rPr>
          <w:rFonts w:eastAsia="Calibri"/>
          <w:color w:val="auto"/>
        </w:rPr>
        <w:t>, в связи с передачей</w:t>
      </w:r>
      <w:r w:rsidR="008B3339" w:rsidRPr="008B3339">
        <w:rPr>
          <w:rFonts w:eastAsia="Calibri"/>
          <w:color w:val="auto"/>
        </w:rPr>
        <w:t xml:space="preserve"> </w:t>
      </w:r>
      <w:r w:rsidRPr="00FE32E2">
        <w:rPr>
          <w:rFonts w:eastAsia="Calibri"/>
          <w:color w:val="auto"/>
        </w:rPr>
        <w:t>на федеральный уровень налоговых льгот для участников СВО и членов их семей в</w:t>
      </w:r>
      <w:r w:rsidR="008B3339">
        <w:rPr>
          <w:rFonts w:eastAsia="Calibri"/>
          <w:color w:val="auto"/>
        </w:rPr>
        <w:t xml:space="preserve"> </w:t>
      </w:r>
      <w:r w:rsidRPr="00FE32E2">
        <w:rPr>
          <w:rFonts w:eastAsia="Calibri"/>
          <w:color w:val="auto"/>
        </w:rPr>
        <w:t xml:space="preserve">соответствии с изменениями, внесенными в Налоговый Кодекс Российской Федерации; </w:t>
      </w:r>
    </w:p>
    <w:p w14:paraId="2E267E94" w14:textId="32DB9CA8" w:rsidR="00FE6F91" w:rsidRPr="00FE32E2" w:rsidRDefault="00FE6F91" w:rsidP="006B3DF7">
      <w:pPr>
        <w:tabs>
          <w:tab w:val="left" w:pos="0"/>
        </w:tabs>
        <w:contextualSpacing/>
        <w:rPr>
          <w:rFonts w:eastAsia="Calibri"/>
          <w:color w:val="auto"/>
        </w:rPr>
      </w:pPr>
      <w:r w:rsidRPr="00FE32E2">
        <w:rPr>
          <w:rFonts w:eastAsia="Calibri"/>
          <w:color w:val="auto"/>
        </w:rPr>
        <w:t xml:space="preserve">признан утратившим силу Закон Кабардино-Балкарской Республики </w:t>
      </w:r>
      <w:r w:rsidR="004F0760">
        <w:rPr>
          <w:rFonts w:eastAsia="Calibri"/>
          <w:color w:val="auto"/>
        </w:rPr>
        <w:br/>
      </w:r>
      <w:r w:rsidRPr="00FE32E2">
        <w:rPr>
          <w:rFonts w:eastAsia="Calibri"/>
          <w:color w:val="auto"/>
        </w:rPr>
        <w:t xml:space="preserve">от 28 июня 2003 года № 59-РЗ </w:t>
      </w:r>
      <w:r w:rsidR="006B3DF7">
        <w:rPr>
          <w:rFonts w:eastAsia="Calibri"/>
          <w:color w:val="auto"/>
        </w:rPr>
        <w:t>«</w:t>
      </w:r>
      <w:r w:rsidRPr="00FE32E2">
        <w:rPr>
          <w:rFonts w:eastAsia="Calibri"/>
          <w:color w:val="auto"/>
        </w:rPr>
        <w:t>О ставках налога на игорный бизнес</w:t>
      </w:r>
      <w:r w:rsidR="006B3DF7">
        <w:rPr>
          <w:rFonts w:eastAsia="Calibri"/>
          <w:color w:val="auto"/>
        </w:rPr>
        <w:t>»</w:t>
      </w:r>
      <w:r w:rsidRPr="00FE32E2">
        <w:rPr>
          <w:rFonts w:eastAsia="Calibri"/>
          <w:color w:val="auto"/>
        </w:rPr>
        <w:t xml:space="preserve">, в связи с введением Главы 25.5 Налогового кодекса Российской Федерации </w:t>
      </w:r>
      <w:r w:rsidR="006B3DF7">
        <w:rPr>
          <w:rFonts w:eastAsia="Calibri"/>
          <w:color w:val="auto"/>
        </w:rPr>
        <w:t>«</w:t>
      </w:r>
      <w:r w:rsidRPr="00FE32E2">
        <w:rPr>
          <w:rFonts w:eastAsia="Calibri"/>
          <w:color w:val="auto"/>
        </w:rPr>
        <w:t>Налог на игорный бизнес</w:t>
      </w:r>
      <w:r w:rsidR="006B3DF7">
        <w:rPr>
          <w:rFonts w:eastAsia="Calibri"/>
          <w:color w:val="auto"/>
        </w:rPr>
        <w:t>»</w:t>
      </w:r>
      <w:r w:rsidRPr="00FE32E2">
        <w:rPr>
          <w:rFonts w:eastAsia="Calibri"/>
          <w:color w:val="auto"/>
        </w:rPr>
        <w:t>.</w:t>
      </w:r>
    </w:p>
    <w:p w14:paraId="15D2BA33" w14:textId="6DBC4C80" w:rsidR="00FE6F91" w:rsidRPr="00FE32E2" w:rsidRDefault="00FE6F91" w:rsidP="006B3DF7">
      <w:pPr>
        <w:tabs>
          <w:tab w:val="left" w:pos="0"/>
        </w:tabs>
        <w:contextualSpacing/>
        <w:rPr>
          <w:rFonts w:eastAsia="Calibri"/>
          <w:color w:val="auto"/>
        </w:rPr>
      </w:pPr>
      <w:r w:rsidRPr="00FE32E2">
        <w:rPr>
          <w:rFonts w:eastAsia="Calibri"/>
          <w:color w:val="auto"/>
        </w:rPr>
        <w:t xml:space="preserve">11. В связи с принятием постановления Правительства Российской Федерации от 31 мая 2025 года № 828 </w:t>
      </w:r>
      <w:r w:rsidR="006B3DF7">
        <w:rPr>
          <w:rFonts w:eastAsia="Calibri"/>
          <w:color w:val="auto"/>
        </w:rPr>
        <w:t>«</w:t>
      </w:r>
      <w:r w:rsidRPr="00FE32E2">
        <w:rPr>
          <w:rFonts w:eastAsia="Calibri"/>
          <w:color w:val="auto"/>
        </w:rPr>
        <w:t xml:space="preserve">О внесении изменений в постановление Правительства Российской Федерации от 22 июня 2019 года № 769 </w:t>
      </w:r>
      <w:r w:rsidR="006B3DF7">
        <w:rPr>
          <w:rFonts w:eastAsia="Calibri"/>
          <w:color w:val="auto"/>
        </w:rPr>
        <w:t>«</w:t>
      </w:r>
      <w:r w:rsidRPr="00FE32E2">
        <w:rPr>
          <w:rFonts w:eastAsia="Calibri"/>
          <w:color w:val="auto"/>
        </w:rPr>
        <w:t>Об общих требованиях к оценке налоговых расходов субъектов Российской Федерации и муниципальных образований</w:t>
      </w:r>
      <w:r w:rsidR="006B3DF7">
        <w:rPr>
          <w:rFonts w:eastAsia="Calibri"/>
          <w:color w:val="auto"/>
        </w:rPr>
        <w:t>»</w:t>
      </w:r>
      <w:r w:rsidRPr="00FE32E2">
        <w:rPr>
          <w:rFonts w:eastAsia="Calibri"/>
          <w:color w:val="auto"/>
        </w:rPr>
        <w:t xml:space="preserve"> (далее - Общие требования) и  постановления Правительства Российской Федерации от 13 июля 2024 года и № 955 </w:t>
      </w:r>
      <w:r w:rsidR="006B3DF7">
        <w:rPr>
          <w:rFonts w:eastAsia="Calibri"/>
          <w:color w:val="auto"/>
        </w:rPr>
        <w:t>«</w:t>
      </w:r>
      <w:r w:rsidRPr="00FE32E2">
        <w:rPr>
          <w:rFonts w:eastAsia="Calibri"/>
          <w:color w:val="auto"/>
        </w:rPr>
        <w:t xml:space="preserve">О внесении изменений в постановление Правительства Российской Федерации от 12 апреля 2019 года № 439 </w:t>
      </w:r>
      <w:r w:rsidR="006B3DF7">
        <w:rPr>
          <w:rFonts w:eastAsia="Calibri"/>
          <w:color w:val="auto"/>
        </w:rPr>
        <w:t>«</w:t>
      </w:r>
      <w:r w:rsidRPr="00FE32E2">
        <w:rPr>
          <w:rFonts w:eastAsia="Calibri"/>
          <w:color w:val="auto"/>
        </w:rPr>
        <w:t>Об утверждении Правил формирования перечня налоговых расходов Российской Федерации и оценки налоговых расходов Российской Федерации</w:t>
      </w:r>
      <w:r w:rsidR="006B3DF7">
        <w:rPr>
          <w:rFonts w:eastAsia="Calibri"/>
          <w:color w:val="auto"/>
        </w:rPr>
        <w:t>»</w:t>
      </w:r>
      <w:r w:rsidRPr="00FE32E2">
        <w:rPr>
          <w:rFonts w:eastAsia="Calibri"/>
          <w:color w:val="auto"/>
        </w:rPr>
        <w:t xml:space="preserve">  постановлением Правительства </w:t>
      </w:r>
      <w:r w:rsidR="004F0760">
        <w:rPr>
          <w:rFonts w:eastAsia="Calibri"/>
          <w:color w:val="auto"/>
        </w:rPr>
        <w:br/>
      </w:r>
      <w:r w:rsidRPr="00FE32E2">
        <w:rPr>
          <w:rFonts w:eastAsia="Calibri"/>
          <w:color w:val="auto"/>
        </w:rPr>
        <w:t xml:space="preserve">Кабардино-Балкарской Республики от 25 июля 2025 года № 120-ПП </w:t>
      </w:r>
      <w:r w:rsidR="006B3DF7">
        <w:rPr>
          <w:rFonts w:eastAsia="Calibri"/>
          <w:color w:val="auto"/>
        </w:rPr>
        <w:t>«</w:t>
      </w:r>
      <w:r w:rsidRPr="00FE32E2">
        <w:rPr>
          <w:rFonts w:eastAsia="Calibri"/>
          <w:color w:val="auto"/>
        </w:rPr>
        <w:t>О внесении изменений в некоторые акты Правительства Кабардино-Балкарской Республики</w:t>
      </w:r>
      <w:r w:rsidR="006B3DF7">
        <w:rPr>
          <w:rFonts w:eastAsia="Calibri"/>
          <w:color w:val="auto"/>
        </w:rPr>
        <w:t>»</w:t>
      </w:r>
      <w:r w:rsidRPr="00FE32E2">
        <w:rPr>
          <w:rFonts w:eastAsia="Calibri"/>
          <w:color w:val="auto"/>
        </w:rPr>
        <w:t xml:space="preserve">  актуализирован  Порядок формирования перечня налоговых расходов </w:t>
      </w:r>
      <w:r w:rsidR="004F0760">
        <w:rPr>
          <w:rFonts w:eastAsia="Calibri"/>
          <w:color w:val="auto"/>
        </w:rPr>
        <w:br/>
      </w:r>
      <w:r w:rsidRPr="00FE32E2">
        <w:rPr>
          <w:rFonts w:eastAsia="Calibri"/>
          <w:color w:val="auto"/>
        </w:rPr>
        <w:t xml:space="preserve">Кабардино-Балкарской Республики, утвержденный постановлением Правительства Кабардино-Балкарской Республики от 15 ноября 2019 года № 198-ПП, Порядок оценки налоговых расходов Кабардино-Балкарской Республики, утвержденный постановлением Правительства Кабардино-Балкарской Республики от   </w:t>
      </w:r>
      <w:r w:rsidR="004F0760">
        <w:rPr>
          <w:rFonts w:eastAsia="Calibri"/>
          <w:color w:val="auto"/>
        </w:rPr>
        <w:br/>
      </w:r>
      <w:r w:rsidRPr="00FE32E2">
        <w:rPr>
          <w:rFonts w:eastAsia="Calibri"/>
          <w:color w:val="auto"/>
        </w:rPr>
        <w:t>25 декабря 2019 года</w:t>
      </w:r>
      <w:r w:rsidR="001B68C0">
        <w:rPr>
          <w:rFonts w:eastAsia="Calibri"/>
          <w:color w:val="auto"/>
        </w:rPr>
        <w:t xml:space="preserve"> </w:t>
      </w:r>
      <w:r w:rsidRPr="00FE32E2">
        <w:rPr>
          <w:rFonts w:eastAsia="Calibri"/>
          <w:color w:val="auto"/>
        </w:rPr>
        <w:t xml:space="preserve">№ 239-ПП. </w:t>
      </w:r>
    </w:p>
    <w:p w14:paraId="503E067A" w14:textId="77777777" w:rsidR="00FE6F91" w:rsidRPr="00FE32E2" w:rsidRDefault="00FE6F91" w:rsidP="006B3DF7">
      <w:pPr>
        <w:tabs>
          <w:tab w:val="left" w:pos="0"/>
        </w:tabs>
        <w:contextualSpacing/>
        <w:rPr>
          <w:rFonts w:eastAsia="Calibri"/>
          <w:color w:val="auto"/>
        </w:rPr>
      </w:pPr>
      <w:r w:rsidRPr="00FE32E2">
        <w:rPr>
          <w:rFonts w:eastAsia="Calibri"/>
          <w:color w:val="auto"/>
        </w:rPr>
        <w:t>В отчетном году органы местного самоуправления также актуализируют муниципальные порядки в соответствии с Общими требованиями.</w:t>
      </w:r>
    </w:p>
    <w:p w14:paraId="768B48E3" w14:textId="77777777" w:rsidR="00FE6F91" w:rsidRPr="00FE32E2" w:rsidRDefault="00FE6F91" w:rsidP="006B3DF7">
      <w:pPr>
        <w:tabs>
          <w:tab w:val="left" w:pos="0"/>
        </w:tabs>
        <w:contextualSpacing/>
        <w:rPr>
          <w:rFonts w:eastAsia="Calibri"/>
          <w:color w:val="auto"/>
        </w:rPr>
      </w:pPr>
      <w:r w:rsidRPr="00FE32E2">
        <w:rPr>
          <w:rFonts w:eastAsia="Calibri"/>
          <w:color w:val="auto"/>
        </w:rPr>
        <w:t>В рамках федеральной системы учета, контроля и оценки эффективности налоговых расходов в 2025 году проведена оценка объемов налоговых льгот и преференций, предоставленных законодательством Кабардино-Балкарской Республики, а также оценка эффективности налоговых расходов республиканского бюджета Кабардино-Балкарской Республики. В 2024, 2025 годах реализованы налоговые льготы стимулирующей направленности, принятые республиканскими законами в целях поддержки отдельных отраслей экономики, в том числе:</w:t>
      </w:r>
    </w:p>
    <w:p w14:paraId="5878331C" w14:textId="2D3D25C6" w:rsidR="00FE6F91" w:rsidRPr="00FE32E2" w:rsidRDefault="00FE6F91" w:rsidP="006B3DF7">
      <w:pPr>
        <w:tabs>
          <w:tab w:val="left" w:pos="0"/>
        </w:tabs>
        <w:contextualSpacing/>
        <w:rPr>
          <w:rFonts w:eastAsia="Calibri"/>
          <w:color w:val="auto"/>
        </w:rPr>
      </w:pPr>
      <w:r w:rsidRPr="00FE32E2">
        <w:rPr>
          <w:rFonts w:eastAsia="Calibri"/>
          <w:color w:val="auto"/>
        </w:rPr>
        <w:t xml:space="preserve">- инвестиционный налоговый вычет по налогу на прибыль организаций по виду экономической деятельности </w:t>
      </w:r>
      <w:r w:rsidR="006B3DF7">
        <w:rPr>
          <w:rFonts w:eastAsia="Calibri"/>
          <w:color w:val="auto"/>
        </w:rPr>
        <w:t>«</w:t>
      </w:r>
      <w:r w:rsidRPr="00FE32E2">
        <w:rPr>
          <w:rFonts w:eastAsia="Calibri"/>
          <w:color w:val="auto"/>
        </w:rPr>
        <w:t>Деятельность в сфере телекоммуникаций</w:t>
      </w:r>
      <w:r w:rsidR="006B3DF7">
        <w:rPr>
          <w:rFonts w:eastAsia="Calibri"/>
          <w:color w:val="auto"/>
        </w:rPr>
        <w:t>»</w:t>
      </w:r>
      <w:r w:rsidRPr="00FE32E2">
        <w:rPr>
          <w:rFonts w:eastAsia="Calibri"/>
          <w:color w:val="auto"/>
        </w:rPr>
        <w:t>, установленный на период с 1 января 2023 года по 31 декабря 2027 года Законом Кабар</w:t>
      </w:r>
      <w:r>
        <w:rPr>
          <w:rFonts w:eastAsia="Calibri"/>
          <w:color w:val="auto"/>
        </w:rPr>
        <w:t>дино-Балкарской Республики от 1</w:t>
      </w:r>
      <w:r w:rsidRPr="00FE32E2">
        <w:rPr>
          <w:rFonts w:eastAsia="Calibri"/>
          <w:color w:val="auto"/>
        </w:rPr>
        <w:t xml:space="preserve">7 апреля 2023 года № 18-РЗ </w:t>
      </w:r>
      <w:r w:rsidR="006B3DF7">
        <w:rPr>
          <w:rFonts w:eastAsia="Calibri"/>
          <w:color w:val="auto"/>
        </w:rPr>
        <w:t>«</w:t>
      </w:r>
      <w:r w:rsidRPr="00FE32E2">
        <w:rPr>
          <w:rFonts w:eastAsia="Calibri"/>
          <w:color w:val="auto"/>
        </w:rPr>
        <w:t>О применении инвестиционного налогового вычета по налогу на прибыль организаций</w:t>
      </w:r>
      <w:r w:rsidR="006B3DF7">
        <w:rPr>
          <w:rFonts w:eastAsia="Calibri"/>
          <w:color w:val="auto"/>
        </w:rPr>
        <w:t>»</w:t>
      </w:r>
      <w:r w:rsidRPr="00FE32E2">
        <w:rPr>
          <w:rFonts w:eastAsia="Calibri"/>
          <w:color w:val="auto"/>
        </w:rPr>
        <w:t xml:space="preserve">, сумма налогового расхода за 2023 год – 28,1 млн рублей, за 2024 год -19,4 млн рублей; </w:t>
      </w:r>
    </w:p>
    <w:p w14:paraId="164DA2C0" w14:textId="20996D11" w:rsidR="00FE6F91" w:rsidRPr="00FE32E2" w:rsidRDefault="00FE6F91" w:rsidP="006B3DF7">
      <w:pPr>
        <w:tabs>
          <w:tab w:val="left" w:pos="0"/>
        </w:tabs>
        <w:contextualSpacing/>
        <w:rPr>
          <w:rFonts w:eastAsia="Calibri"/>
          <w:color w:val="auto"/>
        </w:rPr>
      </w:pPr>
      <w:r w:rsidRPr="00FE32E2">
        <w:rPr>
          <w:rFonts w:eastAsia="Calibri"/>
          <w:color w:val="auto"/>
        </w:rPr>
        <w:t xml:space="preserve">- освобождение от уплаты налога на имущество организаций в отношении объектов газораспределительных сетей, вновь созданных (построенных) в рамках реализации мероприятий по технологическому присоединению к газораспределительным сетям газоиспользующего оборудования в рамках </w:t>
      </w:r>
      <w:proofErr w:type="spellStart"/>
      <w:r w:rsidRPr="00FE32E2">
        <w:rPr>
          <w:rFonts w:eastAsia="Calibri"/>
          <w:color w:val="auto"/>
        </w:rPr>
        <w:t>догазификации</w:t>
      </w:r>
      <w:proofErr w:type="spellEnd"/>
      <w:r w:rsidRPr="00FE32E2">
        <w:rPr>
          <w:rFonts w:eastAsia="Calibri"/>
          <w:color w:val="auto"/>
        </w:rPr>
        <w:t>, введенных в эксплуатацию и принятых к бухгалтерскому учету в составе объектов основных средств после 1 января 2023 года, установленное на период с 1 января 2024 года по 31 декабря 2026 года Законом Кабардино-Балкарской Республики от 18 июля 2023 года №</w:t>
      </w:r>
      <w:r w:rsidR="004F0760">
        <w:rPr>
          <w:rFonts w:eastAsia="Calibri"/>
          <w:color w:val="auto"/>
        </w:rPr>
        <w:t xml:space="preserve"> </w:t>
      </w:r>
      <w:r w:rsidRPr="00FE32E2">
        <w:rPr>
          <w:rFonts w:eastAsia="Calibri"/>
          <w:color w:val="auto"/>
        </w:rPr>
        <w:t xml:space="preserve">33-РЗ </w:t>
      </w:r>
      <w:r w:rsidR="006B3DF7">
        <w:rPr>
          <w:rFonts w:eastAsia="Calibri"/>
          <w:color w:val="auto"/>
        </w:rPr>
        <w:t>«</w:t>
      </w:r>
      <w:r w:rsidRPr="00FE32E2">
        <w:rPr>
          <w:rFonts w:eastAsia="Calibri"/>
          <w:color w:val="auto"/>
        </w:rPr>
        <w:t xml:space="preserve">О внесении изменений в статью 4 закона Кабардино-Балкарской Республики </w:t>
      </w:r>
      <w:r w:rsidR="006B3DF7">
        <w:rPr>
          <w:rFonts w:eastAsia="Calibri"/>
          <w:color w:val="auto"/>
        </w:rPr>
        <w:t>«</w:t>
      </w:r>
      <w:r w:rsidRPr="00FE32E2">
        <w:rPr>
          <w:rFonts w:eastAsia="Calibri"/>
          <w:color w:val="auto"/>
        </w:rPr>
        <w:t>О налоге на имущество организаций</w:t>
      </w:r>
      <w:r w:rsidR="006B3DF7">
        <w:rPr>
          <w:rFonts w:eastAsia="Calibri"/>
          <w:color w:val="auto"/>
        </w:rPr>
        <w:t>»</w:t>
      </w:r>
      <w:r w:rsidRPr="00FE32E2">
        <w:rPr>
          <w:rFonts w:eastAsia="Calibri"/>
          <w:color w:val="auto"/>
        </w:rPr>
        <w:t>, сумма налогового расхода за 2024 год - 20,3 млн рублей.</w:t>
      </w:r>
    </w:p>
    <w:p w14:paraId="3B69509B" w14:textId="77777777" w:rsidR="00FE6F91" w:rsidRPr="00FE32E2" w:rsidRDefault="00FE6F91" w:rsidP="006B3DF7">
      <w:pPr>
        <w:tabs>
          <w:tab w:val="left" w:pos="0"/>
        </w:tabs>
        <w:contextualSpacing/>
        <w:rPr>
          <w:rFonts w:eastAsia="Calibri"/>
          <w:color w:val="auto"/>
        </w:rPr>
      </w:pPr>
      <w:r w:rsidRPr="00FE32E2">
        <w:rPr>
          <w:rFonts w:eastAsia="Calibri"/>
          <w:color w:val="auto"/>
        </w:rPr>
        <w:t>По результатам проведенной уточненной оценки предоставленных законодательством Кабардино-Балкарской Республики региональных налоговых льгот и преференций за 2023 год и предшествующий шестилетний период, количество получателей налоговых льгот составило за 2023 год - 115 760, за 2024 год - 118 691.</w:t>
      </w:r>
    </w:p>
    <w:p w14:paraId="52460E45" w14:textId="77777777" w:rsidR="00FE6F91" w:rsidRPr="00FE32E2" w:rsidRDefault="00FE6F91" w:rsidP="006B3DF7">
      <w:pPr>
        <w:tabs>
          <w:tab w:val="left" w:pos="0"/>
        </w:tabs>
        <w:contextualSpacing/>
        <w:rPr>
          <w:rFonts w:eastAsia="Calibri"/>
          <w:color w:val="auto"/>
        </w:rPr>
      </w:pPr>
      <w:r w:rsidRPr="00FE32E2">
        <w:rPr>
          <w:rFonts w:eastAsia="Calibri"/>
          <w:color w:val="auto"/>
        </w:rPr>
        <w:t xml:space="preserve">Сумма налоговых расходов за 2024 год, по предварительной оценке, составила 513,1 млн рублей, что на 6,0 % выше уровня 2023 года. Рост налоговых расходов обусловлен установлением на региональном уровне дополнительных налоговых льгот. </w:t>
      </w:r>
    </w:p>
    <w:p w14:paraId="649E3D3D" w14:textId="77777777" w:rsidR="00FE6F91" w:rsidRPr="00FE32E2" w:rsidRDefault="00FE6F91" w:rsidP="006B3DF7">
      <w:pPr>
        <w:tabs>
          <w:tab w:val="left" w:pos="0"/>
        </w:tabs>
        <w:contextualSpacing/>
        <w:rPr>
          <w:rFonts w:eastAsia="Calibri"/>
          <w:color w:val="auto"/>
        </w:rPr>
      </w:pPr>
      <w:r w:rsidRPr="00FE32E2">
        <w:rPr>
          <w:rFonts w:eastAsia="Calibri"/>
          <w:color w:val="auto"/>
        </w:rPr>
        <w:t>Доля налоговых расходов в объеме собственных доходов республиканского бюджета имеет тенденцию к снижению, в связи с опережающим ростом налоговых и неналоговых доходов республиканского бюджета</w:t>
      </w:r>
    </w:p>
    <w:p w14:paraId="25A034A3" w14:textId="77777777" w:rsidR="00FE6F91" w:rsidRPr="00FE32E2" w:rsidRDefault="00FE6F91" w:rsidP="006B3DF7">
      <w:pPr>
        <w:tabs>
          <w:tab w:val="left" w:pos="0"/>
        </w:tabs>
        <w:contextualSpacing/>
        <w:rPr>
          <w:rFonts w:eastAsia="Calibri"/>
          <w:color w:val="auto"/>
        </w:rPr>
      </w:pPr>
      <w:r w:rsidRPr="00FE32E2">
        <w:rPr>
          <w:rFonts w:eastAsia="Calibri"/>
          <w:color w:val="auto"/>
        </w:rPr>
        <w:t>Учитывая направленность стимулирующих налоговых расходов на улучшение инвестиционного климата республики, а также социальную направленность предоставляемых налоговых льгот и пониженных налоговых ставок по транспортном налогу, упрощенной и патентной системе налогообложения, подлежащих отмене в 2024, 2025 годах налоговых льгот (пониженных ставок по налогам) не установлено.</w:t>
      </w:r>
    </w:p>
    <w:p w14:paraId="0E102523" w14:textId="2E4F8B4A" w:rsidR="00FE6F91" w:rsidRPr="00C014DC" w:rsidRDefault="00FE6F91" w:rsidP="006B3DF7">
      <w:pPr>
        <w:tabs>
          <w:tab w:val="left" w:pos="0"/>
        </w:tabs>
        <w:contextualSpacing/>
        <w:rPr>
          <w:color w:val="FF0000"/>
        </w:rPr>
      </w:pPr>
      <w:r w:rsidRPr="00FE32E2">
        <w:rPr>
          <w:rFonts w:eastAsia="Calibri"/>
          <w:color w:val="auto"/>
        </w:rPr>
        <w:t xml:space="preserve">По результатам проведенной муниципальными образованиями оценки эффективности налоговых расходов местных бюджетов объем налоговых льгот, установленных решениями местных органов власти за 2023 год составил </w:t>
      </w:r>
      <w:r>
        <w:rPr>
          <w:rFonts w:eastAsia="Calibri"/>
          <w:color w:val="auto"/>
        </w:rPr>
        <w:br/>
      </w:r>
      <w:r w:rsidRPr="00FE32E2">
        <w:rPr>
          <w:rFonts w:eastAsia="Calibri"/>
          <w:color w:val="auto"/>
        </w:rPr>
        <w:t>25,8 млн рублей, за 2024 год – 32,2 млн рублей. Льготами на местном уровне воспользовались 52 120 налогоплательщиков. В связи с принятием в текущем году решения Совета Местного самоуправления городского округа Нальчик о повышении налоговой ставки по налогу на имущество физических лиц до предельного уровня, предусмотренного Налоговым кодексом Российской Федерации, объем налоговых расходов местных бюджетов за 2025 год оценивается в объеме 0,1 млн рублей, или со снижением на 99,8% относительно 2024 года</w:t>
      </w:r>
      <w:r w:rsidRPr="00FE32E2">
        <w:rPr>
          <w:rFonts w:eastAsia="Calibri"/>
          <w:color w:val="FF0000"/>
        </w:rPr>
        <w:t>.</w:t>
      </w:r>
    </w:p>
    <w:p w14:paraId="1C6D73FA" w14:textId="1EFB7151" w:rsidR="00FE6F91" w:rsidRPr="000F72B3" w:rsidRDefault="00FE6F91" w:rsidP="006B3DF7">
      <w:pPr>
        <w:autoSpaceDE w:val="0"/>
        <w:autoSpaceDN w:val="0"/>
        <w:adjustRightInd w:val="0"/>
        <w:rPr>
          <w:rFonts w:eastAsia="Book Antiqua"/>
          <w:color w:val="auto"/>
        </w:rPr>
      </w:pPr>
      <w:r w:rsidRPr="000F72B3">
        <w:rPr>
          <w:color w:val="auto"/>
        </w:rPr>
        <w:t xml:space="preserve">12. </w:t>
      </w:r>
      <w:bookmarkEnd w:id="95"/>
      <w:r w:rsidRPr="000F72B3">
        <w:rPr>
          <w:color w:val="auto"/>
          <w:lang w:eastAsia="ru-RU"/>
        </w:rPr>
        <w:t xml:space="preserve">В целях недопущения увеличения долговой нагрузки на республиканский бюджет Кабардино-Балкарской Республики Правительством Кабардино-Балкарской Республики ежегодно утверждаются основные направления государственной долговой политики с обозначением целей, задач и инструментов ее реализации </w:t>
      </w:r>
      <w:r w:rsidRPr="000F72B3">
        <w:rPr>
          <w:rFonts w:eastAsia="Book Antiqua"/>
          <w:color w:val="auto"/>
        </w:rPr>
        <w:t xml:space="preserve">(распоряжение Правительства КБР от 28 октября 2024 года № 663-рп, </w:t>
      </w:r>
      <w:r w:rsidRPr="000F72B3">
        <w:rPr>
          <w:color w:val="000000"/>
          <w:lang w:eastAsia="ru-RU"/>
        </w:rPr>
        <w:t xml:space="preserve">от 16 октября 2025 года </w:t>
      </w:r>
      <w:r>
        <w:rPr>
          <w:color w:val="000000"/>
          <w:lang w:eastAsia="ru-RU"/>
        </w:rPr>
        <w:br/>
      </w:r>
      <w:r w:rsidRPr="000F72B3">
        <w:rPr>
          <w:color w:val="000000"/>
          <w:lang w:eastAsia="ru-RU"/>
        </w:rPr>
        <w:t>№ 621-рп).</w:t>
      </w:r>
    </w:p>
    <w:p w14:paraId="2E070381" w14:textId="77777777" w:rsidR="00FE6F91" w:rsidRPr="000F72B3" w:rsidRDefault="00FE6F91" w:rsidP="006B3DF7">
      <w:pPr>
        <w:widowControl/>
        <w:autoSpaceDE w:val="0"/>
        <w:autoSpaceDN w:val="0"/>
        <w:adjustRightInd w:val="0"/>
        <w:rPr>
          <w:color w:val="auto"/>
          <w:lang w:eastAsia="ru-RU"/>
        </w:rPr>
      </w:pPr>
      <w:r w:rsidRPr="000F72B3">
        <w:rPr>
          <w:color w:val="auto"/>
          <w:lang w:eastAsia="ru-RU"/>
        </w:rPr>
        <w:t>Основными инструментами сдерживания роста долговой нагрузки на республиканский бюджет являются:</w:t>
      </w:r>
    </w:p>
    <w:p w14:paraId="5E1E42DB" w14:textId="77777777" w:rsidR="00FE6F91" w:rsidRPr="000F72B3" w:rsidRDefault="00FE6F91" w:rsidP="006B3DF7">
      <w:pPr>
        <w:widowControl/>
        <w:rPr>
          <w:color w:val="auto"/>
          <w:lang w:eastAsia="ru-RU"/>
        </w:rPr>
      </w:pPr>
      <w:r w:rsidRPr="000F72B3">
        <w:rPr>
          <w:color w:val="auto"/>
          <w:lang w:eastAsia="ru-RU"/>
        </w:rPr>
        <w:t>– направление дополнительных доходов, полученных при исполнении республиканского бюджета, на замещение планируемых к привлечению заемных средств;</w:t>
      </w:r>
    </w:p>
    <w:p w14:paraId="49F7A0FA" w14:textId="77777777" w:rsidR="00FE6F91" w:rsidRPr="000F72B3" w:rsidRDefault="00FE6F91" w:rsidP="006B3DF7">
      <w:pPr>
        <w:widowControl/>
        <w:rPr>
          <w:color w:val="auto"/>
          <w:lang w:eastAsia="ru-RU"/>
        </w:rPr>
      </w:pPr>
      <w:r w:rsidRPr="000F72B3">
        <w:rPr>
          <w:color w:val="auto"/>
          <w:lang w:eastAsia="ru-RU"/>
        </w:rPr>
        <w:t>– выполнение условий предоставления (использования, возврата) бюджетных кредитов из федерального бюджета;</w:t>
      </w:r>
    </w:p>
    <w:p w14:paraId="3BE7735B" w14:textId="77777777" w:rsidR="00FE6F91" w:rsidRPr="000F72B3" w:rsidRDefault="00FE6F91" w:rsidP="006B3DF7">
      <w:pPr>
        <w:widowControl/>
        <w:rPr>
          <w:color w:val="auto"/>
          <w:lang w:eastAsia="ru-RU"/>
        </w:rPr>
      </w:pPr>
      <w:r w:rsidRPr="000F72B3">
        <w:rPr>
          <w:color w:val="auto"/>
          <w:lang w:eastAsia="ru-RU"/>
        </w:rPr>
        <w:t>– минимизация привлечения кредитов от кредитных организаций;</w:t>
      </w:r>
    </w:p>
    <w:p w14:paraId="39415069" w14:textId="01966377" w:rsidR="00FE6F91" w:rsidRPr="000F72B3" w:rsidRDefault="001B68C0" w:rsidP="006B3DF7">
      <w:pPr>
        <w:widowControl/>
        <w:rPr>
          <w:color w:val="auto"/>
          <w:lang w:eastAsia="ru-RU"/>
        </w:rPr>
      </w:pPr>
      <w:r>
        <w:rPr>
          <w:color w:val="auto"/>
          <w:lang w:eastAsia="ru-RU"/>
        </w:rPr>
        <w:t xml:space="preserve">- </w:t>
      </w:r>
      <w:r w:rsidR="00FE6F91" w:rsidRPr="000F72B3">
        <w:rPr>
          <w:color w:val="auto"/>
          <w:lang w:eastAsia="ru-RU"/>
        </w:rPr>
        <w:t>недопущение принятия новых расходных обязательств Кабардино-Балкарской Республики, не обеспеченных стабильными источниками доходов.</w:t>
      </w:r>
    </w:p>
    <w:p w14:paraId="19B6AAA2" w14:textId="77777777" w:rsidR="00FE6F91" w:rsidRPr="00082D2D" w:rsidRDefault="00FE6F91" w:rsidP="006B3DF7">
      <w:pPr>
        <w:widowControl/>
        <w:rPr>
          <w:bCs/>
          <w:color w:val="auto"/>
          <w:lang w:eastAsia="ru-RU"/>
        </w:rPr>
      </w:pPr>
      <w:r w:rsidRPr="000F72B3">
        <w:rPr>
          <w:bCs/>
          <w:color w:val="000000"/>
          <w:lang w:eastAsia="ru-RU"/>
        </w:rPr>
        <w:t>По итогам 2025 года коммерческие заимствования не привлекались, государственный долг по рыночным заимствованиям отсутствует, для финансирования дефицита республиканского бюджета использованы иные источники, в том числе изменение остатков средств на счетах по учету средств республиканского бюджета.</w:t>
      </w:r>
    </w:p>
    <w:p w14:paraId="1F8E3D71" w14:textId="5BFEB9F6" w:rsidR="00FE6F91" w:rsidRPr="00082D2D" w:rsidRDefault="00FE6F91" w:rsidP="002649FC">
      <w:pPr>
        <w:autoSpaceDE w:val="0"/>
        <w:autoSpaceDN w:val="0"/>
        <w:adjustRightInd w:val="0"/>
        <w:contextualSpacing/>
        <w:rPr>
          <w:bCs/>
          <w:iCs/>
          <w:color w:val="auto"/>
        </w:rPr>
      </w:pPr>
      <w:r w:rsidRPr="00082D2D">
        <w:rPr>
          <w:color w:val="auto"/>
        </w:rPr>
        <w:t xml:space="preserve">13. </w:t>
      </w:r>
      <w:r w:rsidRPr="00082D2D">
        <w:rPr>
          <w:bCs/>
          <w:iCs/>
          <w:color w:val="auto"/>
        </w:rPr>
        <w:t xml:space="preserve">В целях минимизации расходов на обслуживание муниципальных коммерческих заимствований в условиях значительного роста стоимости обслуживания кредитов от кредитных организаций городским округом Нальчик </w:t>
      </w:r>
      <w:r>
        <w:rPr>
          <w:bCs/>
          <w:iCs/>
          <w:color w:val="auto"/>
        </w:rPr>
        <w:br/>
      </w:r>
      <w:r w:rsidRPr="00082D2D">
        <w:rPr>
          <w:bCs/>
          <w:iCs/>
          <w:color w:val="auto"/>
        </w:rPr>
        <w:t>в 2025 году привлечен бюджетный кредит на пополнение остатка средств на едином счете местного бюджета в сумме 687,9 млн рублей, который был направлен на частичное погашение имеющихся банковских кредитов. Указанный бюджетный кредит своевременно погашен городским округом Нальчик в декабре 2025 года.</w:t>
      </w:r>
    </w:p>
    <w:p w14:paraId="2ED7CE60" w14:textId="025FDEE8" w:rsidR="00FE6F91" w:rsidRPr="00082D2D" w:rsidRDefault="00FE6F91" w:rsidP="006B3DF7">
      <w:pPr>
        <w:autoSpaceDE w:val="0"/>
        <w:autoSpaceDN w:val="0"/>
        <w:adjustRightInd w:val="0"/>
        <w:contextualSpacing/>
        <w:rPr>
          <w:bCs/>
          <w:iCs/>
          <w:color w:val="auto"/>
        </w:rPr>
      </w:pPr>
      <w:r w:rsidRPr="00082D2D">
        <w:rPr>
          <w:bCs/>
          <w:iCs/>
          <w:color w:val="auto"/>
        </w:rPr>
        <w:t xml:space="preserve">В рамках действующего постановления Правительства Кабардино-Балкарской Республики от 18 апреля 2024 года № 60-ПП </w:t>
      </w:r>
      <w:r w:rsidR="006B3DF7">
        <w:rPr>
          <w:bCs/>
          <w:iCs/>
          <w:color w:val="auto"/>
        </w:rPr>
        <w:t>«</w:t>
      </w:r>
      <w:r w:rsidRPr="00082D2D">
        <w:rPr>
          <w:bCs/>
          <w:iCs/>
          <w:color w:val="auto"/>
        </w:rPr>
        <w:t>Об утверждении Порядка согласования лимита бюджетного кредита на пополнение остатка средств на едином счете бюджета, предоставляемого муниципальному району (городскому округу)</w:t>
      </w:r>
      <w:r w:rsidR="006B3DF7">
        <w:rPr>
          <w:bCs/>
          <w:iCs/>
          <w:color w:val="auto"/>
        </w:rPr>
        <w:t>»</w:t>
      </w:r>
      <w:r w:rsidRPr="00082D2D">
        <w:rPr>
          <w:bCs/>
          <w:iCs/>
          <w:color w:val="auto"/>
        </w:rPr>
        <w:t xml:space="preserve">, муниципальным образованием исполняются обязательства по направлению в приоритетном порядке средств распределенного бюджетного кредита на пополнение остатка средств на едином счете местного бюджета на погашение долговых обязательств по рыночным заимствованиям, а также недопущения увеличения до 1 января 2030 года доли общего объема долговых обязательств по рыночным заимствованиям муниципальных образований более, чем на 32 % объема доходов местного бюджета без учета безвозмездных поступлений. Отношение муниципального долга к объему налоговых и неналоговых доходов при этом на 1 января 2026 года составило 27,0 % (на 1 января </w:t>
      </w:r>
      <w:r w:rsidR="001B68C0">
        <w:rPr>
          <w:bCs/>
          <w:iCs/>
          <w:color w:val="auto"/>
        </w:rPr>
        <w:br/>
      </w:r>
      <w:r w:rsidRPr="00082D2D">
        <w:rPr>
          <w:bCs/>
          <w:iCs/>
          <w:color w:val="auto"/>
        </w:rPr>
        <w:t>2025 года показатель составлял 31,1 %).</w:t>
      </w:r>
    </w:p>
    <w:p w14:paraId="281506CD" w14:textId="5393D126" w:rsidR="00FE6F91" w:rsidRPr="004B0879" w:rsidRDefault="00FE6F91" w:rsidP="006B3DF7">
      <w:pPr>
        <w:autoSpaceDE w:val="0"/>
        <w:autoSpaceDN w:val="0"/>
        <w:adjustRightInd w:val="0"/>
        <w:contextualSpacing/>
        <w:rPr>
          <w:iCs/>
          <w:color w:val="auto"/>
          <w:shd w:val="clear" w:color="auto" w:fill="FFFFFF"/>
        </w:rPr>
      </w:pPr>
      <w:r w:rsidRPr="004B0879">
        <w:rPr>
          <w:iCs/>
          <w:color w:val="auto"/>
          <w:shd w:val="clear" w:color="auto" w:fill="FFFFFF"/>
        </w:rPr>
        <w:t>1</w:t>
      </w:r>
      <w:r w:rsidR="002649FC">
        <w:rPr>
          <w:iCs/>
          <w:color w:val="auto"/>
          <w:shd w:val="clear" w:color="auto" w:fill="FFFFFF"/>
        </w:rPr>
        <w:t>4</w:t>
      </w:r>
      <w:r w:rsidRPr="004B0879">
        <w:rPr>
          <w:iCs/>
          <w:color w:val="auto"/>
          <w:shd w:val="clear" w:color="auto" w:fill="FFFFFF"/>
        </w:rPr>
        <w:t xml:space="preserve">. В 2025 году значительное внимание уделялось согласованию методик прогнозирования доходов, поступающих в консолидированный бюджет КБР, утверждаемых главными администраторами доходов территориальных органов ФИОВ с учетом региональных особенностей и соблюдения Общих требований к методике прогнозирования поступлений доходов в бюджеты бюджетной системы Российской Федерации, утвержденных постановлением Правительства Российской Федерации </w:t>
      </w:r>
      <w:r w:rsidR="001B68C0">
        <w:rPr>
          <w:iCs/>
          <w:color w:val="auto"/>
          <w:shd w:val="clear" w:color="auto" w:fill="FFFFFF"/>
        </w:rPr>
        <w:br/>
      </w:r>
      <w:r w:rsidRPr="004B0879">
        <w:rPr>
          <w:iCs/>
          <w:color w:val="auto"/>
          <w:shd w:val="clear" w:color="auto" w:fill="FFFFFF"/>
        </w:rPr>
        <w:t xml:space="preserve">от 23 июня 2016 </w:t>
      </w:r>
      <w:r w:rsidR="003D4698">
        <w:rPr>
          <w:iCs/>
          <w:color w:val="auto"/>
          <w:shd w:val="clear" w:color="auto" w:fill="FFFFFF"/>
        </w:rPr>
        <w:t>года</w:t>
      </w:r>
      <w:r w:rsidRPr="004B0879">
        <w:rPr>
          <w:iCs/>
          <w:color w:val="auto"/>
          <w:shd w:val="clear" w:color="auto" w:fill="FFFFFF"/>
        </w:rPr>
        <w:t xml:space="preserve"> № 574. Рассмотрены и согласованы методики </w:t>
      </w:r>
      <w:r>
        <w:rPr>
          <w:iCs/>
          <w:color w:val="auto"/>
          <w:shd w:val="clear" w:color="auto" w:fill="FFFFFF"/>
        </w:rPr>
        <w:t xml:space="preserve">прогнозирования доходов </w:t>
      </w:r>
      <w:r w:rsidRPr="004B0879">
        <w:rPr>
          <w:iCs/>
          <w:color w:val="auto"/>
          <w:shd w:val="clear" w:color="auto" w:fill="FFFFFF"/>
        </w:rPr>
        <w:t>10 главных администраторов доходов.</w:t>
      </w:r>
    </w:p>
    <w:p w14:paraId="49B2BCB7" w14:textId="5D2FCD81" w:rsidR="00FE6F91" w:rsidRDefault="00FE6F91" w:rsidP="006B3DF7">
      <w:pPr>
        <w:autoSpaceDE w:val="0"/>
        <w:autoSpaceDN w:val="0"/>
        <w:adjustRightInd w:val="0"/>
        <w:contextualSpacing/>
        <w:rPr>
          <w:iCs/>
          <w:color w:val="auto"/>
          <w:shd w:val="clear" w:color="auto" w:fill="FFFFFF"/>
        </w:rPr>
      </w:pPr>
      <w:r>
        <w:rPr>
          <w:iCs/>
          <w:color w:val="auto"/>
          <w:shd w:val="clear" w:color="auto" w:fill="FFFFFF"/>
        </w:rPr>
        <w:t>1</w:t>
      </w:r>
      <w:r w:rsidR="002649FC">
        <w:rPr>
          <w:iCs/>
          <w:color w:val="auto"/>
          <w:shd w:val="clear" w:color="auto" w:fill="FFFFFF"/>
        </w:rPr>
        <w:t>5</w:t>
      </w:r>
      <w:r>
        <w:rPr>
          <w:iCs/>
          <w:color w:val="auto"/>
          <w:shd w:val="clear" w:color="auto" w:fill="FFFFFF"/>
        </w:rPr>
        <w:t xml:space="preserve">. </w:t>
      </w:r>
      <w:r w:rsidRPr="004B0879">
        <w:rPr>
          <w:iCs/>
          <w:color w:val="auto"/>
          <w:shd w:val="clear" w:color="auto" w:fill="FFFFFF"/>
        </w:rPr>
        <w:t xml:space="preserve">Ведение перечня администраторов доходов и перечня источников финансирования дефицита бюджета осуществлялось в соответствии с постановлением Правительства КБР от 04.05.2022 </w:t>
      </w:r>
      <w:r w:rsidR="003D4698">
        <w:rPr>
          <w:iCs/>
          <w:color w:val="auto"/>
          <w:shd w:val="clear" w:color="auto" w:fill="FFFFFF"/>
        </w:rPr>
        <w:t>года</w:t>
      </w:r>
      <w:r w:rsidRPr="004B0879">
        <w:rPr>
          <w:iCs/>
          <w:color w:val="auto"/>
          <w:shd w:val="clear" w:color="auto" w:fill="FFFFFF"/>
        </w:rPr>
        <w:t xml:space="preserve"> № 100-ПП </w:t>
      </w:r>
      <w:r w:rsidR="006B3DF7">
        <w:rPr>
          <w:iCs/>
          <w:color w:val="auto"/>
          <w:shd w:val="clear" w:color="auto" w:fill="FFFFFF"/>
        </w:rPr>
        <w:t>«</w:t>
      </w:r>
      <w:r w:rsidRPr="004B0879">
        <w:rPr>
          <w:iCs/>
          <w:color w:val="auto"/>
          <w:shd w:val="clear" w:color="auto" w:fill="FFFFFF"/>
        </w:rPr>
        <w:t>Об утверждении Порядка внесения изменений в перечень главных администраторов доходов республиканского бюджета Кабардино-Балкарской Республики и перечень главных администраторов источников финансирования дефицита республиканского бюджета Кабардино-Балкарской Республики</w:t>
      </w:r>
      <w:r w:rsidR="006B3DF7">
        <w:rPr>
          <w:iCs/>
          <w:color w:val="auto"/>
          <w:shd w:val="clear" w:color="auto" w:fill="FFFFFF"/>
        </w:rPr>
        <w:t>»</w:t>
      </w:r>
      <w:r w:rsidRPr="004B0879">
        <w:rPr>
          <w:iCs/>
          <w:color w:val="auto"/>
          <w:shd w:val="clear" w:color="auto" w:fill="FFFFFF"/>
        </w:rPr>
        <w:t xml:space="preserve"> - по запросам главных администраторов доходов республиканского бюджета КБР в течение </w:t>
      </w:r>
      <w:r>
        <w:rPr>
          <w:iCs/>
          <w:color w:val="auto"/>
          <w:shd w:val="clear" w:color="auto" w:fill="FFFFFF"/>
        </w:rPr>
        <w:t xml:space="preserve">2025 </w:t>
      </w:r>
      <w:r w:rsidRPr="004B0879">
        <w:rPr>
          <w:iCs/>
          <w:color w:val="auto"/>
          <w:shd w:val="clear" w:color="auto" w:fill="FFFFFF"/>
        </w:rPr>
        <w:t>года за ними закреплены дополнительны</w:t>
      </w:r>
      <w:r>
        <w:rPr>
          <w:iCs/>
          <w:color w:val="auto"/>
          <w:shd w:val="clear" w:color="auto" w:fill="FFFFFF"/>
        </w:rPr>
        <w:t>е коды бюджетной классификации на основании 32 приказов Мин</w:t>
      </w:r>
      <w:r w:rsidR="00016E54">
        <w:rPr>
          <w:iCs/>
          <w:color w:val="auto"/>
          <w:shd w:val="clear" w:color="auto" w:fill="FFFFFF"/>
        </w:rPr>
        <w:t>истерства</w:t>
      </w:r>
      <w:r>
        <w:rPr>
          <w:iCs/>
          <w:color w:val="auto"/>
          <w:shd w:val="clear" w:color="auto" w:fill="FFFFFF"/>
        </w:rPr>
        <w:t xml:space="preserve">. </w:t>
      </w:r>
    </w:p>
    <w:p w14:paraId="68FE94F1" w14:textId="6F24F621" w:rsidR="00FE6F91" w:rsidRDefault="00FE6F91" w:rsidP="006B3DF7">
      <w:pPr>
        <w:autoSpaceDE w:val="0"/>
        <w:autoSpaceDN w:val="0"/>
        <w:adjustRightInd w:val="0"/>
        <w:contextualSpacing/>
        <w:rPr>
          <w:iCs/>
          <w:color w:val="auto"/>
          <w:shd w:val="clear" w:color="auto" w:fill="FFFFFF"/>
        </w:rPr>
      </w:pPr>
      <w:r w:rsidRPr="004B0879">
        <w:rPr>
          <w:iCs/>
          <w:color w:val="auto"/>
          <w:shd w:val="clear" w:color="auto" w:fill="FFFFFF"/>
        </w:rPr>
        <w:t xml:space="preserve">Постановлением Правительства КБР от 28 ноября 2025 года № 195-ПП </w:t>
      </w:r>
      <w:r w:rsidR="006B3DF7">
        <w:rPr>
          <w:iCs/>
          <w:color w:val="auto"/>
          <w:shd w:val="clear" w:color="auto" w:fill="FFFFFF"/>
        </w:rPr>
        <w:t>«</w:t>
      </w:r>
      <w:r w:rsidRPr="004B0879">
        <w:rPr>
          <w:iCs/>
          <w:color w:val="auto"/>
          <w:shd w:val="clear" w:color="auto" w:fill="FFFFFF"/>
        </w:rPr>
        <w:t>О внесении изменения в перечень главных администраторов доходов республиканского бюджета Кабардино-Балкарской Республики</w:t>
      </w:r>
      <w:r w:rsidR="006B3DF7">
        <w:rPr>
          <w:iCs/>
          <w:color w:val="auto"/>
          <w:shd w:val="clear" w:color="auto" w:fill="FFFFFF"/>
        </w:rPr>
        <w:t>»</w:t>
      </w:r>
      <w:r w:rsidRPr="004B0879">
        <w:rPr>
          <w:iCs/>
          <w:color w:val="auto"/>
          <w:shd w:val="clear" w:color="auto" w:fill="FFFFFF"/>
        </w:rPr>
        <w:t xml:space="preserve"> актуализированы закрепленные за администраторами доходов республиканского бюджета коды бюджетной классификации. Кроме того, в соответствии с требованиями приказа Минфина Р</w:t>
      </w:r>
      <w:r w:rsidR="00016E54">
        <w:rPr>
          <w:iCs/>
          <w:color w:val="auto"/>
          <w:shd w:val="clear" w:color="auto" w:fill="FFFFFF"/>
        </w:rPr>
        <w:t>Ф</w:t>
      </w:r>
      <w:r w:rsidRPr="004B0879">
        <w:rPr>
          <w:iCs/>
          <w:color w:val="auto"/>
          <w:shd w:val="clear" w:color="auto" w:fill="FFFFFF"/>
        </w:rPr>
        <w:t xml:space="preserve"> от 28.12.2016 </w:t>
      </w:r>
      <w:r w:rsidR="003D4698">
        <w:rPr>
          <w:iCs/>
          <w:color w:val="auto"/>
          <w:shd w:val="clear" w:color="auto" w:fill="FFFFFF"/>
        </w:rPr>
        <w:t>года</w:t>
      </w:r>
      <w:r w:rsidRPr="004B0879">
        <w:rPr>
          <w:iCs/>
          <w:color w:val="auto"/>
          <w:shd w:val="clear" w:color="auto" w:fill="FFFFFF"/>
        </w:rPr>
        <w:t xml:space="preserve"> № 243н </w:t>
      </w:r>
      <w:r w:rsidR="006B3DF7">
        <w:rPr>
          <w:iCs/>
          <w:color w:val="auto"/>
          <w:shd w:val="clear" w:color="auto" w:fill="FFFFFF"/>
        </w:rPr>
        <w:t>«</w:t>
      </w:r>
      <w:r w:rsidRPr="004B0879">
        <w:rPr>
          <w:iCs/>
          <w:color w:val="auto"/>
          <w:shd w:val="clear" w:color="auto" w:fill="FFFFFF"/>
        </w:rPr>
        <w:t>О составе и порядке размещения и предоставления информации на едином портале бюджетной системы Российской Федерации</w:t>
      </w:r>
      <w:r w:rsidR="006B3DF7">
        <w:rPr>
          <w:iCs/>
          <w:color w:val="auto"/>
          <w:shd w:val="clear" w:color="auto" w:fill="FFFFFF"/>
        </w:rPr>
        <w:t>»</w:t>
      </w:r>
      <w:r w:rsidRPr="004B0879">
        <w:rPr>
          <w:iCs/>
          <w:color w:val="auto"/>
          <w:shd w:val="clear" w:color="auto" w:fill="FFFFFF"/>
        </w:rPr>
        <w:t xml:space="preserve"> перечни главных администраторов доходов и главных администраторов финансирования дефицита бюджета также велись в ГИИС Электронный бюджет. </w:t>
      </w:r>
    </w:p>
    <w:p w14:paraId="157EF3E6" w14:textId="77777777" w:rsidR="00CF3B18" w:rsidRPr="004B0879" w:rsidRDefault="00CF3B18" w:rsidP="006B3DF7">
      <w:pPr>
        <w:autoSpaceDE w:val="0"/>
        <w:autoSpaceDN w:val="0"/>
        <w:adjustRightInd w:val="0"/>
        <w:contextualSpacing/>
        <w:rPr>
          <w:iCs/>
          <w:color w:val="auto"/>
          <w:shd w:val="clear" w:color="auto" w:fill="FFFFFF"/>
        </w:rPr>
      </w:pPr>
    </w:p>
    <w:p w14:paraId="425F7CBF" w14:textId="77777777" w:rsidR="00C32F32" w:rsidRDefault="00F811F4" w:rsidP="006B3DF7">
      <w:pPr>
        <w:pStyle w:val="24"/>
        <w:spacing w:before="0" w:after="0"/>
        <w:ind w:left="0" w:firstLine="709"/>
        <w:rPr>
          <w:color w:val="568D11" w:themeColor="accent3" w:themeShade="80"/>
        </w:rPr>
      </w:pPr>
      <w:r w:rsidRPr="00C32F32">
        <w:rPr>
          <w:color w:val="568D11" w:themeColor="accent3" w:themeShade="80"/>
        </w:rPr>
        <w:t>Деятельность Министерства финансов КБР по</w:t>
      </w:r>
      <w:bookmarkStart w:id="101" w:name="_Toc131085640"/>
      <w:bookmarkEnd w:id="96"/>
      <w:bookmarkEnd w:id="97"/>
    </w:p>
    <w:p w14:paraId="64417C15" w14:textId="77777777" w:rsidR="008D06E3" w:rsidRDefault="00F811F4" w:rsidP="006B3DF7">
      <w:pPr>
        <w:pStyle w:val="24"/>
        <w:numPr>
          <w:ilvl w:val="0"/>
          <w:numId w:val="0"/>
        </w:numPr>
        <w:spacing w:before="0" w:after="0"/>
        <w:ind w:firstLine="709"/>
        <w:rPr>
          <w:color w:val="568D11" w:themeColor="accent3" w:themeShade="80"/>
        </w:rPr>
      </w:pPr>
      <w:bookmarkStart w:id="102" w:name="_Toc162008796"/>
      <w:r w:rsidRPr="00C32F32">
        <w:rPr>
          <w:color w:val="568D11" w:themeColor="accent3" w:themeShade="80"/>
        </w:rPr>
        <w:t>норматив</w:t>
      </w:r>
      <w:r w:rsidR="00C42BA9" w:rsidRPr="00C32F32">
        <w:rPr>
          <w:color w:val="568D11" w:themeColor="accent3" w:themeShade="80"/>
        </w:rPr>
        <w:t xml:space="preserve">но-правовому </w:t>
      </w:r>
      <w:r w:rsidRPr="00C32F32">
        <w:rPr>
          <w:color w:val="568D11" w:themeColor="accent3" w:themeShade="80"/>
        </w:rPr>
        <w:t>обеспечению</w:t>
      </w:r>
      <w:bookmarkStart w:id="103" w:name="_Toc162008797"/>
      <w:bookmarkEnd w:id="102"/>
    </w:p>
    <w:p w14:paraId="3F422385" w14:textId="77777777" w:rsidR="00034CD9" w:rsidRPr="008D06E3" w:rsidRDefault="00F811F4" w:rsidP="006B3DF7">
      <w:pPr>
        <w:pStyle w:val="24"/>
        <w:numPr>
          <w:ilvl w:val="0"/>
          <w:numId w:val="0"/>
        </w:numPr>
        <w:spacing w:before="0" w:after="0"/>
        <w:ind w:firstLine="709"/>
        <w:rPr>
          <w:color w:val="568D11" w:themeColor="accent3" w:themeShade="80"/>
        </w:rPr>
      </w:pPr>
      <w:r w:rsidRPr="00C32F32">
        <w:rPr>
          <w:color w:val="568D11" w:themeColor="accent3" w:themeShade="80"/>
        </w:rPr>
        <w:t xml:space="preserve">бюджетного процесса в </w:t>
      </w:r>
      <w:bookmarkEnd w:id="98"/>
      <w:r w:rsidRPr="00C32F32">
        <w:rPr>
          <w:color w:val="568D11" w:themeColor="accent3" w:themeShade="80"/>
        </w:rPr>
        <w:t>КБР</w:t>
      </w:r>
      <w:bookmarkEnd w:id="101"/>
      <w:bookmarkEnd w:id="103"/>
    </w:p>
    <w:p w14:paraId="6FF9ECFE" w14:textId="77777777" w:rsidR="00DB3FBB" w:rsidRDefault="00DB3FBB" w:rsidP="006B3DF7">
      <w:pPr>
        <w:rPr>
          <w:color w:val="FF0000"/>
        </w:rPr>
      </w:pPr>
    </w:p>
    <w:p w14:paraId="6205C608" w14:textId="60860689" w:rsidR="00403EB7" w:rsidRPr="00135B3F" w:rsidRDefault="00135B3F" w:rsidP="006B3DF7">
      <w:r w:rsidRPr="00135B3F">
        <w:t xml:space="preserve">Министерство осуществляет планомерную работу по созданию и совершенствованию нормативно-правовой базы, регулирующей бюджетный процесс, в том числе в сфере бюджета и налогов. В 2025 году министерством </w:t>
      </w:r>
      <w:r>
        <w:t xml:space="preserve">были </w:t>
      </w:r>
      <w:r w:rsidRPr="00135B3F">
        <w:t>подготовлены проекты нормативных правовых актов:</w:t>
      </w:r>
    </w:p>
    <w:p w14:paraId="128B0131" w14:textId="4B9AF7C1" w:rsidR="00135B3F" w:rsidRDefault="00135B3F" w:rsidP="006B3DF7">
      <w:pPr>
        <w:rPr>
          <w:color w:val="FF0000"/>
        </w:rPr>
      </w:pPr>
    </w:p>
    <w:p w14:paraId="79B977EF" w14:textId="77777777" w:rsidR="00F811F4" w:rsidRPr="00135B3F" w:rsidRDefault="00F811F4" w:rsidP="006B3DF7">
      <w:pPr>
        <w:rPr>
          <w:b/>
          <w:bCs/>
        </w:rPr>
      </w:pPr>
      <w:r w:rsidRPr="00135B3F">
        <w:rPr>
          <w:b/>
          <w:bCs/>
        </w:rPr>
        <w:t>Законы КБР:</w:t>
      </w:r>
    </w:p>
    <w:p w14:paraId="5B3B026F" w14:textId="77777777" w:rsidR="00F811F4" w:rsidRPr="00135B3F" w:rsidRDefault="00F811F4" w:rsidP="006B3DF7"/>
    <w:p w14:paraId="01D94AD9" w14:textId="442CB85E" w:rsidR="00AC627F" w:rsidRPr="00015E28" w:rsidRDefault="001D2580" w:rsidP="006B3DF7">
      <w:pPr>
        <w:pStyle w:val="a"/>
        <w:numPr>
          <w:ilvl w:val="0"/>
          <w:numId w:val="2"/>
        </w:numPr>
        <w:spacing w:before="0" w:after="0"/>
        <w:ind w:left="0" w:firstLine="709"/>
        <w:jc w:val="both"/>
      </w:pPr>
      <w:r w:rsidRPr="00135B3F">
        <w:t xml:space="preserve">Закон </w:t>
      </w:r>
      <w:r w:rsidR="00E851C6" w:rsidRPr="00135B3F">
        <w:t>Кабардино-Балкарской Республики</w:t>
      </w:r>
      <w:r w:rsidR="00135B3F" w:rsidRPr="00135B3F">
        <w:t xml:space="preserve"> от 10</w:t>
      </w:r>
      <w:r w:rsidRPr="00135B3F">
        <w:t>.0</w:t>
      </w:r>
      <w:r w:rsidR="00135B3F" w:rsidRPr="00135B3F">
        <w:t>6</w:t>
      </w:r>
      <w:r w:rsidRPr="00135B3F">
        <w:t>.202</w:t>
      </w:r>
      <w:r w:rsidR="00135B3F" w:rsidRPr="00135B3F">
        <w:t>5</w:t>
      </w:r>
      <w:r w:rsidR="008E2333">
        <w:t xml:space="preserve"> </w:t>
      </w:r>
      <w:r w:rsidR="00C314E4" w:rsidRPr="00135B3F">
        <w:t>года</w:t>
      </w:r>
      <w:r w:rsidR="00F811F4" w:rsidRPr="00135B3F">
        <w:t xml:space="preserve"> № </w:t>
      </w:r>
      <w:r w:rsidR="007D3CD3" w:rsidRPr="00135B3F">
        <w:t>2</w:t>
      </w:r>
      <w:r w:rsidR="00135B3F" w:rsidRPr="00135B3F">
        <w:t>3</w:t>
      </w:r>
      <w:r w:rsidR="00F811F4" w:rsidRPr="00135B3F">
        <w:t xml:space="preserve">-РЗ </w:t>
      </w:r>
      <w:r w:rsidR="008D06E3" w:rsidRPr="00135B3F">
        <w:br/>
      </w:r>
      <w:r w:rsidR="006B3DF7">
        <w:t>«</w:t>
      </w:r>
      <w:r w:rsidR="00F811F4" w:rsidRPr="00135B3F">
        <w:t xml:space="preserve">Об исполнении республиканского бюджета Кабардино-Балкарской Республики за </w:t>
      </w:r>
      <w:r w:rsidR="00F811F4" w:rsidRPr="00015E28">
        <w:t>20</w:t>
      </w:r>
      <w:r w:rsidRPr="00015E28">
        <w:t>2</w:t>
      </w:r>
      <w:r w:rsidR="00135B3F" w:rsidRPr="00015E28">
        <w:t>4</w:t>
      </w:r>
      <w:r w:rsidR="00F811F4" w:rsidRPr="00015E28">
        <w:t xml:space="preserve"> год</w:t>
      </w:r>
      <w:r w:rsidR="006B3DF7" w:rsidRPr="00015E28">
        <w:t>»</w:t>
      </w:r>
    </w:p>
    <w:p w14:paraId="0819173D" w14:textId="451981DC" w:rsidR="00306F93" w:rsidRPr="00015E28" w:rsidRDefault="00306F93" w:rsidP="006B3DF7">
      <w:pPr>
        <w:pStyle w:val="a"/>
        <w:numPr>
          <w:ilvl w:val="0"/>
          <w:numId w:val="2"/>
        </w:numPr>
        <w:spacing w:before="0" w:after="0"/>
        <w:ind w:left="0" w:firstLine="709"/>
        <w:jc w:val="both"/>
      </w:pPr>
      <w:r w:rsidRPr="00015E28">
        <w:rPr>
          <w:lang w:eastAsia="ru-RU"/>
        </w:rPr>
        <w:t>Закон Кабардино-Балкарской Республики от 28.11.2025 г</w:t>
      </w:r>
      <w:r w:rsidR="008E2333" w:rsidRPr="00015E28">
        <w:rPr>
          <w:lang w:eastAsia="ru-RU"/>
        </w:rPr>
        <w:t>ода</w:t>
      </w:r>
      <w:r w:rsidRPr="00015E28">
        <w:rPr>
          <w:lang w:eastAsia="ru-RU"/>
        </w:rPr>
        <w:t xml:space="preserve"> № 41-РЗ </w:t>
      </w:r>
      <w:r w:rsidR="006B3DF7" w:rsidRPr="00015E28">
        <w:rPr>
          <w:lang w:eastAsia="ru-RU"/>
        </w:rPr>
        <w:t>«</w:t>
      </w:r>
      <w:r w:rsidRPr="00015E28">
        <w:rPr>
          <w:lang w:eastAsia="ru-RU"/>
        </w:rPr>
        <w:t xml:space="preserve">О внесении изменений в отдельные республиканские законы в сфере налогообложения и признании утратившим силу Закона Кабардино-Балкарской Республики </w:t>
      </w:r>
      <w:r w:rsidR="006B3DF7" w:rsidRPr="00015E28">
        <w:rPr>
          <w:lang w:eastAsia="ru-RU"/>
        </w:rPr>
        <w:t>«</w:t>
      </w:r>
      <w:r w:rsidRPr="00015E28">
        <w:rPr>
          <w:lang w:eastAsia="ru-RU"/>
        </w:rPr>
        <w:t>О ставках налога на игорный бизнес</w:t>
      </w:r>
      <w:r w:rsidR="006B3DF7" w:rsidRPr="00015E28">
        <w:rPr>
          <w:lang w:eastAsia="ru-RU"/>
        </w:rPr>
        <w:t>»</w:t>
      </w:r>
    </w:p>
    <w:p w14:paraId="459D3FAD" w14:textId="77777777" w:rsidR="001D2580" w:rsidRPr="00C014DC" w:rsidRDefault="001D2580" w:rsidP="006B3DF7">
      <w:pPr>
        <w:pStyle w:val="a"/>
        <w:numPr>
          <w:ilvl w:val="0"/>
          <w:numId w:val="0"/>
        </w:numPr>
        <w:spacing w:before="0" w:after="0"/>
        <w:ind w:firstLine="709"/>
        <w:rPr>
          <w:color w:val="FF0000"/>
        </w:rPr>
      </w:pPr>
    </w:p>
    <w:p w14:paraId="3CA0A961" w14:textId="68BD5456" w:rsidR="00C70F41" w:rsidRPr="00844F0A" w:rsidRDefault="001D2580" w:rsidP="006B3DF7">
      <w:pPr>
        <w:pStyle w:val="a"/>
        <w:numPr>
          <w:ilvl w:val="0"/>
          <w:numId w:val="2"/>
        </w:numPr>
        <w:spacing w:before="0" w:after="0"/>
        <w:ind w:left="0" w:firstLine="709"/>
        <w:jc w:val="both"/>
        <w:rPr>
          <w:rFonts w:eastAsiaTheme="minorHAnsi"/>
        </w:rPr>
      </w:pPr>
      <w:r w:rsidRPr="00844F0A">
        <w:t>Закон Кабардино-Балкарской Республики от 2</w:t>
      </w:r>
      <w:r w:rsidR="00844F0A" w:rsidRPr="00844F0A">
        <w:t>9</w:t>
      </w:r>
      <w:r w:rsidRPr="00844F0A">
        <w:t>.12.202</w:t>
      </w:r>
      <w:r w:rsidR="00844F0A" w:rsidRPr="00844F0A">
        <w:t>5</w:t>
      </w:r>
      <w:r w:rsidR="008E2333">
        <w:t xml:space="preserve"> </w:t>
      </w:r>
      <w:r w:rsidR="00C314E4" w:rsidRPr="00844F0A">
        <w:t>года</w:t>
      </w:r>
      <w:r w:rsidRPr="00844F0A">
        <w:t xml:space="preserve"> № </w:t>
      </w:r>
      <w:r w:rsidR="00431180" w:rsidRPr="00844F0A">
        <w:t>5</w:t>
      </w:r>
      <w:r w:rsidR="00844F0A" w:rsidRPr="00844F0A">
        <w:t>4</w:t>
      </w:r>
      <w:r w:rsidRPr="00844F0A">
        <w:t xml:space="preserve">-РЗ </w:t>
      </w:r>
      <w:r w:rsidR="008D06E3" w:rsidRPr="00844F0A">
        <w:br/>
      </w:r>
      <w:r w:rsidR="006B3DF7">
        <w:t>«</w:t>
      </w:r>
      <w:r w:rsidRPr="00844F0A">
        <w:t>О республиканском бюджете Кабардино-Балкарской Республики на 202</w:t>
      </w:r>
      <w:r w:rsidR="00844F0A" w:rsidRPr="00844F0A">
        <w:t>6</w:t>
      </w:r>
      <w:r w:rsidRPr="00844F0A">
        <w:t xml:space="preserve"> год и на плановый период 202</w:t>
      </w:r>
      <w:r w:rsidR="00844F0A" w:rsidRPr="00844F0A">
        <w:t>7</w:t>
      </w:r>
      <w:r w:rsidRPr="00844F0A">
        <w:t xml:space="preserve"> и 202</w:t>
      </w:r>
      <w:r w:rsidR="00844F0A" w:rsidRPr="00844F0A">
        <w:t>8</w:t>
      </w:r>
      <w:r w:rsidRPr="00844F0A">
        <w:t xml:space="preserve"> годов</w:t>
      </w:r>
      <w:r w:rsidR="006B3DF7">
        <w:t>»</w:t>
      </w:r>
    </w:p>
    <w:p w14:paraId="7A8EBB1D" w14:textId="77777777" w:rsidR="00C70F41" w:rsidRPr="00C014DC" w:rsidRDefault="00C70F41" w:rsidP="006B3DF7">
      <w:pPr>
        <w:pStyle w:val="a"/>
        <w:numPr>
          <w:ilvl w:val="0"/>
          <w:numId w:val="0"/>
        </w:numPr>
        <w:spacing w:before="0" w:after="0"/>
        <w:ind w:firstLine="709"/>
        <w:rPr>
          <w:color w:val="FF0000"/>
        </w:rPr>
      </w:pPr>
    </w:p>
    <w:p w14:paraId="50AD2F4F" w14:textId="66467E3F" w:rsidR="00AA1359" w:rsidRDefault="00CB4A25" w:rsidP="006B3DF7">
      <w:pPr>
        <w:pStyle w:val="a"/>
        <w:numPr>
          <w:ilvl w:val="0"/>
          <w:numId w:val="2"/>
        </w:numPr>
        <w:spacing w:before="0" w:after="0"/>
        <w:ind w:left="0" w:firstLine="709"/>
        <w:jc w:val="both"/>
      </w:pPr>
      <w:r w:rsidRPr="00AA1359">
        <w:t xml:space="preserve">Закон Кабардино-Балкарской Республики от </w:t>
      </w:r>
      <w:r w:rsidR="00935907" w:rsidRPr="00AA1359">
        <w:t>2</w:t>
      </w:r>
      <w:r w:rsidR="00AA1359" w:rsidRPr="00AA1359">
        <w:t>9</w:t>
      </w:r>
      <w:r w:rsidRPr="00AA1359">
        <w:t>.12.202</w:t>
      </w:r>
      <w:r w:rsidR="00AA1359" w:rsidRPr="00AA1359">
        <w:t>5</w:t>
      </w:r>
      <w:r w:rsidR="008E2333">
        <w:t xml:space="preserve"> </w:t>
      </w:r>
      <w:r w:rsidR="00C314E4" w:rsidRPr="00AA1359">
        <w:t>года</w:t>
      </w:r>
      <w:r w:rsidRPr="00AA1359">
        <w:t xml:space="preserve"> № </w:t>
      </w:r>
      <w:r w:rsidR="00C70F41" w:rsidRPr="00AA1359">
        <w:t>5</w:t>
      </w:r>
      <w:r w:rsidR="00AA1359" w:rsidRPr="00AA1359">
        <w:t>5</w:t>
      </w:r>
      <w:r w:rsidRPr="00AA1359">
        <w:t>-РЗ</w:t>
      </w:r>
      <w:r w:rsidR="008D06E3" w:rsidRPr="00AA1359">
        <w:br/>
      </w:r>
      <w:r w:rsidR="006B3DF7">
        <w:t>«</w:t>
      </w:r>
      <w:r w:rsidR="00C70F41" w:rsidRPr="00AA1359">
        <w:t>О приостановлении действия отдельных положений законодательных актов Кабардино-Балкарской Республики, внесении изменений в отдельные законодательные акты Кабардино-Балкарской Республики и об установлении особенностей исполнения республиканского бюджета Кабардино-Балкарской Республики в 202</w:t>
      </w:r>
      <w:r w:rsidR="00AA1359" w:rsidRPr="00AA1359">
        <w:t>6</w:t>
      </w:r>
      <w:r w:rsidR="00C70F41" w:rsidRPr="00AA1359">
        <w:t xml:space="preserve"> году</w:t>
      </w:r>
      <w:r w:rsidR="006B3DF7">
        <w:t>»</w:t>
      </w:r>
    </w:p>
    <w:p w14:paraId="1EFCD992" w14:textId="77777777" w:rsidR="00AA1359" w:rsidRPr="00AA1359" w:rsidRDefault="00AA1359" w:rsidP="006B3DF7">
      <w:pPr>
        <w:pStyle w:val="a"/>
        <w:numPr>
          <w:ilvl w:val="0"/>
          <w:numId w:val="0"/>
        </w:numPr>
        <w:spacing w:before="0" w:after="0"/>
        <w:ind w:firstLine="709"/>
        <w:jc w:val="both"/>
        <w:rPr>
          <w:rFonts w:eastAsiaTheme="minorHAnsi"/>
        </w:rPr>
      </w:pPr>
    </w:p>
    <w:p w14:paraId="653370C8" w14:textId="2AAECBC2" w:rsidR="00AA1359" w:rsidRPr="00844F0A" w:rsidRDefault="00AA1359" w:rsidP="006B3DF7">
      <w:pPr>
        <w:pStyle w:val="a"/>
        <w:numPr>
          <w:ilvl w:val="0"/>
          <w:numId w:val="2"/>
        </w:numPr>
        <w:spacing w:before="0" w:after="0"/>
        <w:ind w:left="0" w:firstLine="709"/>
        <w:jc w:val="both"/>
        <w:rPr>
          <w:rFonts w:eastAsiaTheme="minorHAnsi"/>
        </w:rPr>
      </w:pPr>
      <w:r w:rsidRPr="00844F0A">
        <w:t xml:space="preserve">Закон Кабардино-Балкарской Республики от 29.12.2025 года № 58-РЗ </w:t>
      </w:r>
      <w:r w:rsidRPr="00844F0A">
        <w:br/>
      </w:r>
      <w:r w:rsidR="006B3DF7">
        <w:t>«</w:t>
      </w:r>
      <w:r w:rsidRPr="00844F0A">
        <w:rPr>
          <w:rFonts w:eastAsiaTheme="minorHAnsi"/>
        </w:rPr>
        <w:t xml:space="preserve">О внесении изменений в Закон Кабардино-Балкарской Республики </w:t>
      </w:r>
      <w:r w:rsidRPr="00844F0A">
        <w:rPr>
          <w:rFonts w:eastAsiaTheme="minorHAnsi"/>
        </w:rPr>
        <w:br/>
      </w:r>
      <w:r w:rsidR="006B3DF7">
        <w:rPr>
          <w:rFonts w:eastAsiaTheme="minorHAnsi"/>
        </w:rPr>
        <w:t>«</w:t>
      </w:r>
      <w:r w:rsidRPr="00844F0A">
        <w:rPr>
          <w:rFonts w:eastAsiaTheme="minorHAnsi"/>
        </w:rPr>
        <w:t>О республиканском бюджете Кабардино-Балкарской Республики на 2025 год и на плановый период 2026 и 2027 годов</w:t>
      </w:r>
      <w:r w:rsidR="006B3DF7">
        <w:t>»</w:t>
      </w:r>
    </w:p>
    <w:p w14:paraId="017A9216" w14:textId="77777777" w:rsidR="00C70F41" w:rsidRPr="00C014DC" w:rsidRDefault="00C70F41" w:rsidP="006B3DF7">
      <w:pPr>
        <w:rPr>
          <w:color w:val="FF0000"/>
        </w:rPr>
      </w:pPr>
    </w:p>
    <w:p w14:paraId="5642F8E8" w14:textId="77777777" w:rsidR="00F811F4" w:rsidRPr="009B4E24" w:rsidRDefault="00F811F4" w:rsidP="006B3DF7">
      <w:pPr>
        <w:rPr>
          <w:b/>
          <w:bCs/>
        </w:rPr>
      </w:pPr>
      <w:r w:rsidRPr="009B4E24">
        <w:rPr>
          <w:b/>
          <w:bCs/>
        </w:rPr>
        <w:t>Постановления Правительства КБР:</w:t>
      </w:r>
    </w:p>
    <w:p w14:paraId="6253CED9" w14:textId="77777777" w:rsidR="00F811F4" w:rsidRPr="00C014DC" w:rsidRDefault="00F811F4" w:rsidP="006B3DF7">
      <w:pPr>
        <w:rPr>
          <w:color w:val="FF0000"/>
        </w:rPr>
      </w:pPr>
    </w:p>
    <w:tbl>
      <w:tblPr>
        <w:tblW w:w="10666" w:type="dxa"/>
        <w:tblInd w:w="-34" w:type="dxa"/>
        <w:tblLook w:val="04A0" w:firstRow="1" w:lastRow="0" w:firstColumn="1" w:lastColumn="0" w:noHBand="0" w:noVBand="1"/>
      </w:tblPr>
      <w:tblGrid>
        <w:gridCol w:w="10666"/>
      </w:tblGrid>
      <w:tr w:rsidR="00C014DC" w:rsidRPr="00C014DC" w14:paraId="694A5ED6" w14:textId="77777777" w:rsidTr="00723344">
        <w:tc>
          <w:tcPr>
            <w:tcW w:w="10666" w:type="dxa"/>
          </w:tcPr>
          <w:p w14:paraId="443335B8" w14:textId="0743B0F5" w:rsidR="00E92B3B" w:rsidRDefault="00A74BF9" w:rsidP="006B3DF7">
            <w:pPr>
              <w:pStyle w:val="a"/>
              <w:numPr>
                <w:ilvl w:val="0"/>
                <w:numId w:val="3"/>
              </w:numPr>
              <w:spacing w:before="0" w:after="0"/>
              <w:ind w:left="0" w:firstLine="709"/>
              <w:jc w:val="both"/>
            </w:pPr>
            <w:r w:rsidRPr="00DB127B">
              <w:t>Поста</w:t>
            </w:r>
            <w:r w:rsidR="00CB5ED9" w:rsidRPr="00DB127B">
              <w:t xml:space="preserve">новление Правительства КБР от </w:t>
            </w:r>
            <w:r w:rsidR="00DB127B" w:rsidRPr="00DB127B">
              <w:t>28</w:t>
            </w:r>
            <w:r w:rsidRPr="00DB127B">
              <w:t>.0</w:t>
            </w:r>
            <w:r w:rsidR="00DB127B" w:rsidRPr="00DB127B">
              <w:t>1</w:t>
            </w:r>
            <w:r w:rsidRPr="00DB127B">
              <w:t>.202</w:t>
            </w:r>
            <w:r w:rsidR="00DB127B" w:rsidRPr="00DB127B">
              <w:t>5</w:t>
            </w:r>
            <w:r w:rsidR="004E2D2B">
              <w:t xml:space="preserve"> </w:t>
            </w:r>
            <w:r w:rsidR="00C314E4" w:rsidRPr="00DB127B">
              <w:t>года</w:t>
            </w:r>
            <w:r w:rsidRPr="00DB127B">
              <w:t xml:space="preserve"> № </w:t>
            </w:r>
            <w:r w:rsidR="00DB127B" w:rsidRPr="00DB127B">
              <w:t>6</w:t>
            </w:r>
            <w:r w:rsidRPr="00DB127B">
              <w:t xml:space="preserve">-ПП </w:t>
            </w:r>
            <w:r w:rsidR="004F0760">
              <w:br/>
            </w:r>
            <w:r w:rsidR="006B3DF7">
              <w:t>«</w:t>
            </w:r>
            <w:r w:rsidRPr="00DB127B">
              <w:t>О</w:t>
            </w:r>
            <w:r w:rsidR="00DB127B" w:rsidRPr="00DB127B">
              <w:t xml:space="preserve">б особенностях реализации закона </w:t>
            </w:r>
            <w:r w:rsidRPr="00DB127B">
              <w:t>Кабардино-Балкарской Республики на</w:t>
            </w:r>
            <w:r w:rsidR="00DB127B" w:rsidRPr="00DB127B">
              <w:t xml:space="preserve"> 2025 год и на плановый период 2026 и 2027 годов</w:t>
            </w:r>
            <w:r w:rsidR="006B3DF7">
              <w:t>»</w:t>
            </w:r>
          </w:p>
          <w:p w14:paraId="7BA0BA58" w14:textId="77777777" w:rsidR="00E92B3B" w:rsidRDefault="00E92B3B" w:rsidP="006B3DF7">
            <w:pPr>
              <w:pStyle w:val="a"/>
              <w:numPr>
                <w:ilvl w:val="0"/>
                <w:numId w:val="0"/>
              </w:numPr>
              <w:spacing w:before="0" w:after="0"/>
              <w:ind w:firstLine="709"/>
              <w:jc w:val="both"/>
            </w:pPr>
          </w:p>
          <w:p w14:paraId="6019AE63" w14:textId="5A3B6DE0" w:rsidR="00CF50B9" w:rsidRDefault="00CF50B9" w:rsidP="006B3DF7">
            <w:pPr>
              <w:pStyle w:val="a"/>
              <w:numPr>
                <w:ilvl w:val="0"/>
                <w:numId w:val="3"/>
              </w:numPr>
              <w:spacing w:before="0" w:after="0"/>
              <w:ind w:left="0" w:firstLine="709"/>
              <w:jc w:val="both"/>
            </w:pPr>
            <w:r w:rsidRPr="00E92B3B">
              <w:rPr>
                <w:sz w:val="27"/>
                <w:szCs w:val="27"/>
              </w:rPr>
              <w:t>Постановление Правительства КБР от 1</w:t>
            </w:r>
            <w:r w:rsidR="00E92B3B" w:rsidRPr="00E92B3B">
              <w:rPr>
                <w:sz w:val="27"/>
                <w:szCs w:val="27"/>
              </w:rPr>
              <w:t>7</w:t>
            </w:r>
            <w:r w:rsidRPr="00E92B3B">
              <w:rPr>
                <w:sz w:val="27"/>
                <w:szCs w:val="27"/>
              </w:rPr>
              <w:t>.0</w:t>
            </w:r>
            <w:r w:rsidR="00E92B3B" w:rsidRPr="00E92B3B">
              <w:rPr>
                <w:sz w:val="27"/>
                <w:szCs w:val="27"/>
              </w:rPr>
              <w:t>2</w:t>
            </w:r>
            <w:r w:rsidRPr="00E92B3B">
              <w:rPr>
                <w:sz w:val="27"/>
                <w:szCs w:val="27"/>
              </w:rPr>
              <w:t>.202</w:t>
            </w:r>
            <w:r w:rsidR="00E92B3B" w:rsidRPr="00E92B3B">
              <w:rPr>
                <w:sz w:val="27"/>
                <w:szCs w:val="27"/>
              </w:rPr>
              <w:t>5</w:t>
            </w:r>
            <w:r w:rsidR="004E2D2B">
              <w:rPr>
                <w:sz w:val="27"/>
                <w:szCs w:val="27"/>
              </w:rPr>
              <w:t xml:space="preserve"> </w:t>
            </w:r>
            <w:r w:rsidR="00C314E4" w:rsidRPr="00E92B3B">
              <w:rPr>
                <w:sz w:val="27"/>
                <w:szCs w:val="27"/>
              </w:rPr>
              <w:t>года</w:t>
            </w:r>
            <w:r w:rsidRPr="00E92B3B">
              <w:rPr>
                <w:sz w:val="27"/>
                <w:szCs w:val="27"/>
              </w:rPr>
              <w:t xml:space="preserve"> № </w:t>
            </w:r>
            <w:r w:rsidR="00E92B3B" w:rsidRPr="00E92B3B">
              <w:rPr>
                <w:sz w:val="27"/>
                <w:szCs w:val="27"/>
              </w:rPr>
              <w:t>14</w:t>
            </w:r>
            <w:r w:rsidRPr="00E92B3B">
              <w:rPr>
                <w:sz w:val="27"/>
                <w:szCs w:val="27"/>
              </w:rPr>
              <w:t xml:space="preserve">-ПП </w:t>
            </w:r>
            <w:r w:rsidR="004F0760">
              <w:rPr>
                <w:sz w:val="27"/>
                <w:szCs w:val="27"/>
              </w:rPr>
              <w:br/>
            </w:r>
            <w:r w:rsidR="006B3DF7">
              <w:rPr>
                <w:sz w:val="27"/>
                <w:szCs w:val="27"/>
              </w:rPr>
              <w:t>«</w:t>
            </w:r>
            <w:r w:rsidR="00E92B3B" w:rsidRPr="00E92B3B">
              <w:rPr>
                <w:rFonts w:eastAsiaTheme="minorHAnsi"/>
              </w:rPr>
              <w:t>О внесении изменений в приложения № 1 и № 2 к бюджетному прогнозу Кабардино-Балкарской Республики на долгосрочный период до 2040 года</w:t>
            </w:r>
            <w:r w:rsidR="006B3DF7">
              <w:rPr>
                <w:rFonts w:eastAsiaTheme="minorHAnsi"/>
              </w:rPr>
              <w:t>»</w:t>
            </w:r>
          </w:p>
          <w:p w14:paraId="544405DF" w14:textId="77777777" w:rsidR="00AC5F51" w:rsidRDefault="00AC5F51" w:rsidP="006B3DF7">
            <w:pPr>
              <w:pStyle w:val="a"/>
              <w:numPr>
                <w:ilvl w:val="0"/>
                <w:numId w:val="0"/>
              </w:numPr>
              <w:spacing w:before="0" w:after="0"/>
              <w:ind w:firstLine="709"/>
            </w:pPr>
          </w:p>
          <w:p w14:paraId="50A22A28" w14:textId="47805125" w:rsidR="00CF50B9" w:rsidRDefault="00CF50B9" w:rsidP="006B3DF7">
            <w:pPr>
              <w:pStyle w:val="a"/>
              <w:numPr>
                <w:ilvl w:val="0"/>
                <w:numId w:val="3"/>
              </w:numPr>
              <w:spacing w:before="0" w:after="0"/>
              <w:ind w:left="0" w:firstLine="709"/>
              <w:jc w:val="both"/>
              <w:rPr>
                <w:color w:val="auto"/>
              </w:rPr>
            </w:pPr>
            <w:r w:rsidRPr="0094292E">
              <w:rPr>
                <w:color w:val="auto"/>
              </w:rPr>
              <w:t xml:space="preserve">Постановление Правительства КБР от </w:t>
            </w:r>
            <w:r w:rsidR="0094292E" w:rsidRPr="0094292E">
              <w:rPr>
                <w:color w:val="auto"/>
              </w:rPr>
              <w:t>08.07.</w:t>
            </w:r>
            <w:r w:rsidRPr="0094292E">
              <w:rPr>
                <w:color w:val="auto"/>
              </w:rPr>
              <w:t>202</w:t>
            </w:r>
            <w:r w:rsidR="0094292E" w:rsidRPr="0094292E">
              <w:rPr>
                <w:color w:val="auto"/>
              </w:rPr>
              <w:t>5</w:t>
            </w:r>
            <w:r w:rsidRPr="0094292E">
              <w:rPr>
                <w:color w:val="auto"/>
              </w:rPr>
              <w:t xml:space="preserve"> </w:t>
            </w:r>
            <w:r w:rsidR="00C314E4" w:rsidRPr="0094292E">
              <w:rPr>
                <w:color w:val="auto"/>
              </w:rPr>
              <w:t>года</w:t>
            </w:r>
            <w:r w:rsidRPr="0094292E">
              <w:rPr>
                <w:color w:val="auto"/>
              </w:rPr>
              <w:t xml:space="preserve"> №</w:t>
            </w:r>
            <w:r w:rsidR="009E7035">
              <w:rPr>
                <w:color w:val="auto"/>
              </w:rPr>
              <w:t xml:space="preserve"> </w:t>
            </w:r>
            <w:r w:rsidR="0094292E" w:rsidRPr="0094292E">
              <w:rPr>
                <w:color w:val="auto"/>
              </w:rPr>
              <w:t>94</w:t>
            </w:r>
            <w:r w:rsidRPr="0094292E">
              <w:rPr>
                <w:color w:val="auto"/>
              </w:rPr>
              <w:t xml:space="preserve">-ПП </w:t>
            </w:r>
            <w:r w:rsidR="004F0760">
              <w:rPr>
                <w:color w:val="auto"/>
              </w:rPr>
              <w:br/>
            </w:r>
            <w:r w:rsidR="006B3DF7">
              <w:rPr>
                <w:color w:val="auto"/>
              </w:rPr>
              <w:t>«</w:t>
            </w:r>
            <w:r w:rsidRPr="0094292E">
              <w:rPr>
                <w:color w:val="auto"/>
              </w:rPr>
              <w:t>О признании утратившими силу отдельных положений некоторых актов Правительства Кабардино-Балкарской Республики</w:t>
            </w:r>
            <w:r w:rsidR="006B3DF7">
              <w:rPr>
                <w:color w:val="auto"/>
              </w:rPr>
              <w:t>»</w:t>
            </w:r>
          </w:p>
          <w:p w14:paraId="78381AD1" w14:textId="77777777" w:rsidR="006E410C" w:rsidRPr="006E410C" w:rsidRDefault="006E410C" w:rsidP="006B3DF7">
            <w:pPr>
              <w:pStyle w:val="a"/>
              <w:numPr>
                <w:ilvl w:val="0"/>
                <w:numId w:val="0"/>
              </w:numPr>
              <w:spacing w:before="0" w:after="0"/>
              <w:ind w:firstLine="709"/>
              <w:rPr>
                <w:color w:val="auto"/>
              </w:rPr>
            </w:pPr>
          </w:p>
          <w:p w14:paraId="1B69BF69" w14:textId="5BD9AC73" w:rsidR="006E410C" w:rsidRPr="009B4E24" w:rsidRDefault="006E410C" w:rsidP="006B3DF7">
            <w:pPr>
              <w:pStyle w:val="a"/>
              <w:numPr>
                <w:ilvl w:val="0"/>
                <w:numId w:val="3"/>
              </w:numPr>
              <w:spacing w:before="0" w:after="0"/>
              <w:ind w:left="0" w:firstLine="709"/>
              <w:jc w:val="both"/>
            </w:pPr>
            <w:r w:rsidRPr="009B4E24">
              <w:t xml:space="preserve">Постановление Правительства </w:t>
            </w:r>
            <w:r w:rsidRPr="009B4E24">
              <w:rPr>
                <w:rFonts w:eastAsia="Calibri"/>
                <w:bCs/>
                <w:sz w:val="27"/>
                <w:szCs w:val="27"/>
              </w:rPr>
              <w:t xml:space="preserve">КБР </w:t>
            </w:r>
            <w:r w:rsidRPr="009B4E24">
              <w:t xml:space="preserve">от 25.07.2025 года № 120-ПП </w:t>
            </w:r>
            <w:r w:rsidR="004F0760">
              <w:br/>
            </w:r>
            <w:r w:rsidR="006B3DF7">
              <w:t>«</w:t>
            </w:r>
            <w:r w:rsidRPr="009B4E24">
              <w:t>О внесении изменений в некоторые акты Правительства Кабардино-Балкарской Республики</w:t>
            </w:r>
            <w:r w:rsidR="006B3DF7">
              <w:t>»</w:t>
            </w:r>
            <w:r w:rsidRPr="009B4E24">
              <w:t xml:space="preserve">  </w:t>
            </w:r>
          </w:p>
          <w:p w14:paraId="42E0DFCF" w14:textId="77777777" w:rsidR="00CF50B9" w:rsidRPr="009B4E24" w:rsidRDefault="00CF50B9" w:rsidP="006B3DF7">
            <w:pPr>
              <w:pStyle w:val="a"/>
              <w:numPr>
                <w:ilvl w:val="0"/>
                <w:numId w:val="0"/>
              </w:numPr>
              <w:spacing w:before="0" w:after="0"/>
              <w:ind w:firstLine="709"/>
            </w:pPr>
          </w:p>
          <w:p w14:paraId="2F8BB5BD" w14:textId="573EE75A" w:rsidR="007A6A83" w:rsidRPr="009B4E24" w:rsidRDefault="00CF50B9" w:rsidP="006B3DF7">
            <w:pPr>
              <w:pStyle w:val="a"/>
              <w:numPr>
                <w:ilvl w:val="0"/>
                <w:numId w:val="3"/>
              </w:numPr>
              <w:spacing w:before="0" w:after="0"/>
              <w:ind w:left="0" w:firstLine="709"/>
              <w:jc w:val="both"/>
            </w:pPr>
            <w:r w:rsidRPr="009B4E24">
              <w:t xml:space="preserve">Постановление Правительства КБР от </w:t>
            </w:r>
            <w:r w:rsidR="00385F9A" w:rsidRPr="009B4E24">
              <w:t>01.11</w:t>
            </w:r>
            <w:r w:rsidRPr="009B4E24">
              <w:t>.202</w:t>
            </w:r>
            <w:r w:rsidR="00385F9A" w:rsidRPr="009B4E24">
              <w:t>5</w:t>
            </w:r>
            <w:r w:rsidRPr="009B4E24">
              <w:t xml:space="preserve"> </w:t>
            </w:r>
            <w:r w:rsidR="00C314E4" w:rsidRPr="009B4E24">
              <w:t>года</w:t>
            </w:r>
            <w:r w:rsidRPr="009B4E24">
              <w:t xml:space="preserve"> № 1</w:t>
            </w:r>
            <w:r w:rsidR="007212FB" w:rsidRPr="009B4E24">
              <w:t>78</w:t>
            </w:r>
            <w:r w:rsidRPr="009B4E24">
              <w:t xml:space="preserve">-ПП </w:t>
            </w:r>
            <w:r w:rsidR="004F0760">
              <w:br/>
            </w:r>
            <w:r w:rsidR="006B3DF7">
              <w:t>«</w:t>
            </w:r>
            <w:r w:rsidRPr="009B4E24">
              <w:t>О признании утратившими силу отдельных положений некоторых актов Правительства Кабардино-Балкарской Республики</w:t>
            </w:r>
            <w:r w:rsidR="006B3DF7">
              <w:t>»</w:t>
            </w:r>
          </w:p>
          <w:p w14:paraId="1DC7E4F6" w14:textId="77777777" w:rsidR="00BF571C" w:rsidRPr="009B4E24" w:rsidRDefault="00BF571C" w:rsidP="006B3DF7">
            <w:pPr>
              <w:pStyle w:val="a"/>
              <w:numPr>
                <w:ilvl w:val="0"/>
                <w:numId w:val="0"/>
              </w:numPr>
              <w:spacing w:before="0" w:after="0"/>
              <w:ind w:firstLine="709"/>
            </w:pPr>
          </w:p>
          <w:p w14:paraId="18A767EB" w14:textId="3C5C275F" w:rsidR="00BF571C" w:rsidRPr="00BF571C" w:rsidRDefault="00BF571C" w:rsidP="006B3DF7">
            <w:pPr>
              <w:pStyle w:val="a"/>
              <w:numPr>
                <w:ilvl w:val="0"/>
                <w:numId w:val="3"/>
              </w:numPr>
              <w:spacing w:before="0" w:after="0"/>
              <w:ind w:left="0" w:firstLine="709"/>
              <w:jc w:val="both"/>
              <w:rPr>
                <w:color w:val="auto"/>
              </w:rPr>
            </w:pPr>
            <w:r w:rsidRPr="009B4E24">
              <w:t>Постановление</w:t>
            </w:r>
            <w:r w:rsidRPr="00BF571C">
              <w:rPr>
                <w:color w:val="auto"/>
              </w:rPr>
              <w:t xml:space="preserve"> Правительства КБР от 28 ноября 2025 года № 195-ПП </w:t>
            </w:r>
            <w:r w:rsidR="004F0760">
              <w:rPr>
                <w:color w:val="auto"/>
              </w:rPr>
              <w:br/>
            </w:r>
            <w:r w:rsidR="006B3DF7">
              <w:rPr>
                <w:color w:val="auto"/>
              </w:rPr>
              <w:t>«</w:t>
            </w:r>
            <w:r w:rsidRPr="00BF571C">
              <w:rPr>
                <w:color w:val="auto"/>
              </w:rPr>
              <w:t>О внесении изменения в перечень главных администраторов доходов республиканского бюджета Кабардино-Балкарской Республики</w:t>
            </w:r>
            <w:r w:rsidR="006B3DF7">
              <w:rPr>
                <w:color w:val="auto"/>
              </w:rPr>
              <w:t>»</w:t>
            </w:r>
          </w:p>
        </w:tc>
      </w:tr>
      <w:tr w:rsidR="00C014DC" w:rsidRPr="00C014DC" w14:paraId="114FACD8" w14:textId="77777777" w:rsidTr="00723344">
        <w:tc>
          <w:tcPr>
            <w:tcW w:w="10666" w:type="dxa"/>
          </w:tcPr>
          <w:p w14:paraId="652527FC" w14:textId="6E79795D" w:rsidR="00CF50B9" w:rsidRDefault="00CF50B9" w:rsidP="006B3DF7">
            <w:pPr>
              <w:pStyle w:val="a"/>
              <w:numPr>
                <w:ilvl w:val="0"/>
                <w:numId w:val="3"/>
              </w:numPr>
              <w:spacing w:before="0" w:after="0"/>
              <w:ind w:left="0" w:firstLine="709"/>
              <w:jc w:val="both"/>
              <w:rPr>
                <w:color w:val="auto"/>
              </w:rPr>
            </w:pPr>
            <w:r w:rsidRPr="00306F93">
              <w:rPr>
                <w:color w:val="auto"/>
              </w:rPr>
              <w:t xml:space="preserve">Постановление Правительства КБР </w:t>
            </w:r>
            <w:r w:rsidR="00306F93" w:rsidRPr="00306F93">
              <w:rPr>
                <w:iCs/>
                <w:color w:val="auto"/>
                <w:lang w:eastAsia="ru-RU"/>
              </w:rPr>
              <w:t>от 29.12.2025 года № 225-ПП</w:t>
            </w:r>
            <w:r w:rsidR="008D06E3" w:rsidRPr="00306F93">
              <w:rPr>
                <w:color w:val="auto"/>
              </w:rPr>
              <w:br/>
            </w:r>
            <w:r w:rsidR="006B3DF7">
              <w:rPr>
                <w:color w:val="auto"/>
              </w:rPr>
              <w:t>«</w:t>
            </w:r>
            <w:r w:rsidRPr="00306F93">
              <w:rPr>
                <w:color w:val="auto"/>
              </w:rPr>
              <w:t>Об утверждении перечня объектов недвижимого имущества, в отношении которых в 202</w:t>
            </w:r>
            <w:r w:rsidR="00AC5F51" w:rsidRPr="00306F93">
              <w:rPr>
                <w:color w:val="auto"/>
              </w:rPr>
              <w:t>6</w:t>
            </w:r>
            <w:r w:rsidRPr="00AC5F51">
              <w:rPr>
                <w:color w:val="auto"/>
              </w:rPr>
              <w:t xml:space="preserve"> году налоговая база определяется исходя из кадастровой стоимости</w:t>
            </w:r>
            <w:r w:rsidR="006B3DF7">
              <w:rPr>
                <w:color w:val="auto"/>
              </w:rPr>
              <w:t>»</w:t>
            </w:r>
          </w:p>
          <w:p w14:paraId="5D7BCC21" w14:textId="3E532E7C" w:rsidR="007212FB" w:rsidRPr="007212FB" w:rsidRDefault="007212FB" w:rsidP="006B3DF7">
            <w:pPr>
              <w:pStyle w:val="a"/>
              <w:numPr>
                <w:ilvl w:val="0"/>
                <w:numId w:val="3"/>
              </w:numPr>
              <w:spacing w:before="0" w:after="0"/>
              <w:ind w:left="0" w:firstLine="709"/>
              <w:jc w:val="both"/>
              <w:rPr>
                <w:color w:val="auto"/>
              </w:rPr>
            </w:pPr>
            <w:r w:rsidRPr="007212FB">
              <w:rPr>
                <w:color w:val="auto"/>
              </w:rPr>
              <w:t>Постановление Правительства КБР от 29.12.2025 года № 226-ПП</w:t>
            </w:r>
            <w:r>
              <w:rPr>
                <w:color w:val="auto"/>
              </w:rPr>
              <w:t xml:space="preserve"> </w:t>
            </w:r>
            <w:r w:rsidR="004F0760">
              <w:rPr>
                <w:color w:val="auto"/>
              </w:rPr>
              <w:br/>
            </w:r>
            <w:r w:rsidR="006B3DF7">
              <w:rPr>
                <w:color w:val="auto"/>
              </w:rPr>
              <w:t>«</w:t>
            </w:r>
            <w:r w:rsidRPr="007212FB">
              <w:rPr>
                <w:color w:val="auto"/>
              </w:rPr>
              <w:t>О признании утратившими силу отдельных положений некоторых актов Правительства Кабардино-Балкарской Республики</w:t>
            </w:r>
            <w:r w:rsidR="006B3DF7">
              <w:rPr>
                <w:color w:val="auto"/>
              </w:rPr>
              <w:t>»</w:t>
            </w:r>
          </w:p>
          <w:p w14:paraId="50A627BF" w14:textId="2C44063F" w:rsidR="00D97BE2" w:rsidRPr="00FE6F91" w:rsidRDefault="00D97BE2" w:rsidP="006B3DF7">
            <w:pPr>
              <w:rPr>
                <w:color w:val="FF0000"/>
              </w:rPr>
            </w:pPr>
          </w:p>
        </w:tc>
      </w:tr>
    </w:tbl>
    <w:p w14:paraId="38A6A7DF" w14:textId="77777777" w:rsidR="00F811F4" w:rsidRPr="009B4E24" w:rsidRDefault="00F811F4" w:rsidP="006B3DF7">
      <w:pPr>
        <w:rPr>
          <w:b/>
        </w:rPr>
      </w:pPr>
      <w:r w:rsidRPr="009B4E24">
        <w:rPr>
          <w:b/>
        </w:rPr>
        <w:t>Распоряжения Правительства КБР:</w:t>
      </w:r>
    </w:p>
    <w:p w14:paraId="6C82E1D6" w14:textId="77777777" w:rsidR="00F811F4" w:rsidRPr="00C014DC" w:rsidRDefault="00F811F4" w:rsidP="006B3DF7">
      <w:pPr>
        <w:rPr>
          <w:color w:val="FF0000"/>
        </w:rPr>
      </w:pPr>
    </w:p>
    <w:p w14:paraId="741EC80C" w14:textId="315F029A" w:rsidR="00E23011" w:rsidRPr="003F6F40" w:rsidRDefault="00E23011" w:rsidP="006B3DF7">
      <w:pPr>
        <w:pStyle w:val="a"/>
        <w:numPr>
          <w:ilvl w:val="0"/>
          <w:numId w:val="1"/>
        </w:numPr>
        <w:spacing w:before="0" w:after="0"/>
        <w:ind w:left="0" w:firstLine="709"/>
        <w:jc w:val="both"/>
      </w:pPr>
      <w:r w:rsidRPr="003F6F40">
        <w:t>Распоряжение Правительства КБР от 1</w:t>
      </w:r>
      <w:r w:rsidR="003F6F40" w:rsidRPr="003F6F40">
        <w:t>7</w:t>
      </w:r>
      <w:r w:rsidRPr="003F6F40">
        <w:t>.0</w:t>
      </w:r>
      <w:r w:rsidR="003F6F40" w:rsidRPr="003F6F40">
        <w:t>2</w:t>
      </w:r>
      <w:r w:rsidRPr="003F6F40">
        <w:t>.202</w:t>
      </w:r>
      <w:r w:rsidR="003F6F40" w:rsidRPr="003F6F40">
        <w:t>5</w:t>
      </w:r>
      <w:r w:rsidR="004E2D2B">
        <w:t xml:space="preserve"> </w:t>
      </w:r>
      <w:r w:rsidR="00C314E4" w:rsidRPr="003F6F40">
        <w:t>года</w:t>
      </w:r>
      <w:r w:rsidR="00CB5ED9" w:rsidRPr="003F6F40">
        <w:t xml:space="preserve"> № </w:t>
      </w:r>
      <w:r w:rsidR="003F6F40" w:rsidRPr="003F6F40">
        <w:t>59</w:t>
      </w:r>
      <w:r w:rsidRPr="003F6F40">
        <w:t xml:space="preserve">-рп </w:t>
      </w:r>
      <w:r w:rsidR="006B3DF7">
        <w:t>«</w:t>
      </w:r>
      <w:r w:rsidRPr="003F6F40">
        <w:t>О</w:t>
      </w:r>
      <w:r w:rsidR="003F6F40" w:rsidRPr="003F6F40">
        <w:t xml:space="preserve"> внесении изменений в распоряжение Правительства</w:t>
      </w:r>
      <w:r w:rsidR="004E2D2B">
        <w:t xml:space="preserve"> </w:t>
      </w:r>
      <w:r w:rsidR="007F56E4" w:rsidRPr="003F6F40">
        <w:t xml:space="preserve">Кабардино-Балкарской Республики </w:t>
      </w:r>
      <w:r w:rsidR="003F6F40" w:rsidRPr="003F6F40">
        <w:t>от 29.12.2023</w:t>
      </w:r>
      <w:r w:rsidRPr="003F6F40">
        <w:t xml:space="preserve"> </w:t>
      </w:r>
      <w:r w:rsidR="003D4698">
        <w:t>года</w:t>
      </w:r>
      <w:r w:rsidR="003F6F40" w:rsidRPr="003F6F40">
        <w:t xml:space="preserve"> № 692-рп</w:t>
      </w:r>
      <w:r w:rsidR="006B3DF7">
        <w:t>»</w:t>
      </w:r>
    </w:p>
    <w:p w14:paraId="5BED778F" w14:textId="77777777" w:rsidR="00292C48" w:rsidRPr="00C014DC" w:rsidRDefault="00292C48" w:rsidP="006B3DF7">
      <w:pPr>
        <w:pStyle w:val="a"/>
        <w:numPr>
          <w:ilvl w:val="0"/>
          <w:numId w:val="0"/>
        </w:numPr>
        <w:spacing w:before="0" w:after="0"/>
        <w:ind w:firstLine="709"/>
        <w:jc w:val="both"/>
        <w:rPr>
          <w:color w:val="FF0000"/>
        </w:rPr>
      </w:pPr>
    </w:p>
    <w:p w14:paraId="401084E3" w14:textId="35E025FB" w:rsidR="00E90E97" w:rsidRPr="000352D0" w:rsidRDefault="00F811F4" w:rsidP="006B3DF7">
      <w:pPr>
        <w:pStyle w:val="a"/>
        <w:numPr>
          <w:ilvl w:val="0"/>
          <w:numId w:val="1"/>
        </w:numPr>
        <w:spacing w:before="0" w:after="0"/>
        <w:ind w:left="0" w:firstLine="709"/>
        <w:jc w:val="both"/>
      </w:pPr>
      <w:r w:rsidRPr="000352D0">
        <w:t xml:space="preserve">Распоряжение Правительства КБР от </w:t>
      </w:r>
      <w:r w:rsidR="000352D0" w:rsidRPr="000352D0">
        <w:t>28</w:t>
      </w:r>
      <w:r w:rsidRPr="000352D0">
        <w:t>.0</w:t>
      </w:r>
      <w:r w:rsidR="000352D0" w:rsidRPr="000352D0">
        <w:t>4</w:t>
      </w:r>
      <w:r w:rsidRPr="000352D0">
        <w:t>.202</w:t>
      </w:r>
      <w:r w:rsidR="000352D0" w:rsidRPr="000352D0">
        <w:t>5</w:t>
      </w:r>
      <w:r w:rsidR="005022B4">
        <w:t xml:space="preserve"> </w:t>
      </w:r>
      <w:r w:rsidR="00C314E4" w:rsidRPr="000352D0">
        <w:t>года</w:t>
      </w:r>
      <w:r w:rsidRPr="000352D0">
        <w:t xml:space="preserve"> №</w:t>
      </w:r>
      <w:r w:rsidR="00522C27" w:rsidRPr="000352D0">
        <w:t xml:space="preserve"> 2</w:t>
      </w:r>
      <w:r w:rsidR="000352D0" w:rsidRPr="000352D0">
        <w:t>24</w:t>
      </w:r>
      <w:r w:rsidRPr="000352D0">
        <w:t xml:space="preserve">-рп </w:t>
      </w:r>
      <w:r w:rsidR="004F0760">
        <w:br/>
      </w:r>
      <w:r w:rsidR="006B3DF7">
        <w:t>«</w:t>
      </w:r>
      <w:r w:rsidRPr="000352D0">
        <w:t xml:space="preserve">Об утверждении отчета об исполнении республиканского бюджета </w:t>
      </w:r>
      <w:r w:rsidR="004F0760">
        <w:br/>
      </w:r>
      <w:r w:rsidRPr="000352D0">
        <w:t>Кабардино-Балкарской Республики за I квартал 202</w:t>
      </w:r>
      <w:r w:rsidR="000352D0" w:rsidRPr="000352D0">
        <w:t>5</w:t>
      </w:r>
      <w:r w:rsidRPr="000352D0">
        <w:t xml:space="preserve"> года</w:t>
      </w:r>
      <w:r w:rsidR="006B3DF7">
        <w:t>»</w:t>
      </w:r>
    </w:p>
    <w:p w14:paraId="54C6CD6F" w14:textId="77777777" w:rsidR="00E90E97" w:rsidRPr="00C014DC" w:rsidRDefault="00E90E97" w:rsidP="006B3DF7">
      <w:pPr>
        <w:pStyle w:val="a"/>
        <w:numPr>
          <w:ilvl w:val="0"/>
          <w:numId w:val="0"/>
        </w:numPr>
        <w:spacing w:before="0" w:after="0"/>
        <w:ind w:firstLine="709"/>
        <w:jc w:val="both"/>
        <w:rPr>
          <w:color w:val="FF0000"/>
        </w:rPr>
      </w:pPr>
    </w:p>
    <w:p w14:paraId="69C3F469" w14:textId="5F91A9B2" w:rsidR="00A66E3D" w:rsidRDefault="00912D8C" w:rsidP="006B3DF7">
      <w:pPr>
        <w:pStyle w:val="a"/>
        <w:numPr>
          <w:ilvl w:val="0"/>
          <w:numId w:val="1"/>
        </w:numPr>
        <w:spacing w:before="0" w:after="0"/>
        <w:ind w:left="0" w:firstLine="709"/>
        <w:jc w:val="both"/>
      </w:pPr>
      <w:r w:rsidRPr="000352D0">
        <w:t>Распоряжение Правител</w:t>
      </w:r>
      <w:r w:rsidR="00522C27" w:rsidRPr="000352D0">
        <w:t>ьства КБР от 1</w:t>
      </w:r>
      <w:r w:rsidR="000352D0" w:rsidRPr="000352D0">
        <w:t>8</w:t>
      </w:r>
      <w:r w:rsidR="002A20EC" w:rsidRPr="000352D0">
        <w:t>.08.202</w:t>
      </w:r>
      <w:r w:rsidR="000352D0" w:rsidRPr="000352D0">
        <w:t>5</w:t>
      </w:r>
      <w:r w:rsidR="005022B4">
        <w:t xml:space="preserve"> </w:t>
      </w:r>
      <w:r w:rsidR="00C314E4" w:rsidRPr="000352D0">
        <w:t>года</w:t>
      </w:r>
      <w:r w:rsidR="002A20EC" w:rsidRPr="000352D0">
        <w:t xml:space="preserve"> № </w:t>
      </w:r>
      <w:r w:rsidR="000352D0" w:rsidRPr="000352D0">
        <w:t>484</w:t>
      </w:r>
      <w:r w:rsidR="009B4E24">
        <w:t>-</w:t>
      </w:r>
      <w:r w:rsidRPr="000352D0">
        <w:t>рп</w:t>
      </w:r>
      <w:r w:rsidR="00DF4DF9">
        <w:t xml:space="preserve"> </w:t>
      </w:r>
      <w:r w:rsidR="004F0760">
        <w:br/>
      </w:r>
      <w:r w:rsidR="006B3DF7">
        <w:t>«</w:t>
      </w:r>
      <w:r w:rsidRPr="000352D0">
        <w:t>Об исполнении республиканского бюджета за первое полугодие 20</w:t>
      </w:r>
      <w:r w:rsidR="00522C27" w:rsidRPr="000352D0">
        <w:t>2</w:t>
      </w:r>
      <w:r w:rsidR="000352D0" w:rsidRPr="000352D0">
        <w:t>5</w:t>
      </w:r>
      <w:r w:rsidR="009B4E24">
        <w:t xml:space="preserve"> </w:t>
      </w:r>
      <w:r w:rsidRPr="000352D0">
        <w:t>года</w:t>
      </w:r>
      <w:r w:rsidR="006B3DF7">
        <w:t>»</w:t>
      </w:r>
    </w:p>
    <w:p w14:paraId="3F44C208" w14:textId="77777777" w:rsidR="009B4E24" w:rsidRPr="000352D0" w:rsidRDefault="009B4E24" w:rsidP="006B3DF7">
      <w:pPr>
        <w:pStyle w:val="a"/>
        <w:numPr>
          <w:ilvl w:val="0"/>
          <w:numId w:val="0"/>
        </w:numPr>
        <w:spacing w:before="0" w:after="0"/>
        <w:ind w:firstLine="709"/>
        <w:jc w:val="both"/>
      </w:pPr>
    </w:p>
    <w:p w14:paraId="2F69B341" w14:textId="6EA46904" w:rsidR="009B4E24" w:rsidRPr="00AB4391" w:rsidRDefault="009B4E24" w:rsidP="006B3DF7">
      <w:pPr>
        <w:widowControl/>
        <w:numPr>
          <w:ilvl w:val="0"/>
          <w:numId w:val="1"/>
        </w:numPr>
        <w:ind w:left="0" w:firstLine="709"/>
        <w:contextualSpacing/>
        <w:rPr>
          <w:color w:val="auto"/>
        </w:rPr>
      </w:pPr>
      <w:r w:rsidRPr="00AB4391">
        <w:rPr>
          <w:color w:val="auto"/>
        </w:rPr>
        <w:t xml:space="preserve">Распоряжение Правительства КБР от 16.10.2025 года № 621-рп </w:t>
      </w:r>
      <w:r w:rsidR="004F0760">
        <w:rPr>
          <w:color w:val="auto"/>
        </w:rPr>
        <w:br/>
      </w:r>
      <w:r w:rsidR="006B3DF7">
        <w:rPr>
          <w:color w:val="auto"/>
        </w:rPr>
        <w:t>«</w:t>
      </w:r>
      <w:r w:rsidRPr="00AB4391">
        <w:rPr>
          <w:color w:val="auto"/>
        </w:rPr>
        <w:t xml:space="preserve">Об утверждении основных направлений государственной долговой политики </w:t>
      </w:r>
      <w:r w:rsidRPr="00AB4391">
        <w:rPr>
          <w:color w:val="auto"/>
        </w:rPr>
        <w:br/>
        <w:t>Кабардино-Балкарской Республики на 202</w:t>
      </w:r>
      <w:r>
        <w:rPr>
          <w:color w:val="auto"/>
        </w:rPr>
        <w:t>6</w:t>
      </w:r>
      <w:r w:rsidRPr="00AB4391">
        <w:rPr>
          <w:color w:val="auto"/>
        </w:rPr>
        <w:t xml:space="preserve"> год и на плановый период </w:t>
      </w:r>
      <w:r w:rsidRPr="00AB4391">
        <w:rPr>
          <w:color w:val="auto"/>
        </w:rPr>
        <w:br/>
        <w:t>202</w:t>
      </w:r>
      <w:r>
        <w:rPr>
          <w:color w:val="auto"/>
        </w:rPr>
        <w:t>7</w:t>
      </w:r>
      <w:r w:rsidRPr="00AB4391">
        <w:rPr>
          <w:color w:val="auto"/>
        </w:rPr>
        <w:t xml:space="preserve"> и 202</w:t>
      </w:r>
      <w:r>
        <w:rPr>
          <w:color w:val="auto"/>
        </w:rPr>
        <w:t>8</w:t>
      </w:r>
      <w:r w:rsidRPr="00AB4391">
        <w:rPr>
          <w:color w:val="auto"/>
        </w:rPr>
        <w:t xml:space="preserve"> годов</w:t>
      </w:r>
      <w:r w:rsidR="006B3DF7">
        <w:rPr>
          <w:color w:val="auto"/>
        </w:rPr>
        <w:t>»</w:t>
      </w:r>
    </w:p>
    <w:p w14:paraId="1D845F3A" w14:textId="77777777" w:rsidR="00A66E3D" w:rsidRPr="00C014DC" w:rsidRDefault="00A66E3D" w:rsidP="006B3DF7">
      <w:pPr>
        <w:pStyle w:val="a"/>
        <w:numPr>
          <w:ilvl w:val="0"/>
          <w:numId w:val="0"/>
        </w:numPr>
        <w:spacing w:before="0" w:after="0"/>
        <w:ind w:firstLine="709"/>
        <w:jc w:val="both"/>
        <w:rPr>
          <w:color w:val="FF0000"/>
        </w:rPr>
      </w:pPr>
    </w:p>
    <w:p w14:paraId="204F74AC" w14:textId="65F56917" w:rsidR="009B4E24" w:rsidRDefault="006B50B1" w:rsidP="006B3DF7">
      <w:pPr>
        <w:pStyle w:val="a"/>
        <w:numPr>
          <w:ilvl w:val="0"/>
          <w:numId w:val="1"/>
        </w:numPr>
        <w:spacing w:before="0" w:after="0"/>
        <w:ind w:left="0" w:firstLine="709"/>
        <w:jc w:val="both"/>
      </w:pPr>
      <w:r w:rsidRPr="00CF388C">
        <w:t>Распоряжение Правит</w:t>
      </w:r>
      <w:r w:rsidR="00CF388C" w:rsidRPr="00CF388C">
        <w:t>ельства КБР от 17</w:t>
      </w:r>
      <w:r w:rsidR="00873B0E" w:rsidRPr="00CF388C">
        <w:t>.10.202</w:t>
      </w:r>
      <w:r w:rsidR="00CF388C" w:rsidRPr="00CF388C">
        <w:t>5</w:t>
      </w:r>
      <w:r w:rsidR="005022B4">
        <w:t xml:space="preserve"> </w:t>
      </w:r>
      <w:r w:rsidR="00C314E4" w:rsidRPr="00CF388C">
        <w:t>года</w:t>
      </w:r>
      <w:r w:rsidR="00873B0E" w:rsidRPr="00CF388C">
        <w:t xml:space="preserve"> № 6</w:t>
      </w:r>
      <w:r w:rsidR="00CF388C" w:rsidRPr="00CF388C">
        <w:t>26</w:t>
      </w:r>
      <w:r w:rsidRPr="00CF388C">
        <w:t xml:space="preserve">-рп </w:t>
      </w:r>
      <w:r w:rsidR="006B3DF7">
        <w:t>«</w:t>
      </w:r>
      <w:r w:rsidRPr="00CF388C">
        <w:t xml:space="preserve">О проекте закона КБР </w:t>
      </w:r>
      <w:r w:rsidR="006B3DF7">
        <w:t>«</w:t>
      </w:r>
      <w:r w:rsidRPr="00CF388C">
        <w:t>О республиканском бюджете КБР на 202</w:t>
      </w:r>
      <w:r w:rsidR="00CF388C" w:rsidRPr="00CF388C">
        <w:t>6</w:t>
      </w:r>
      <w:r w:rsidRPr="00CF388C">
        <w:t xml:space="preserve"> год и на плановый период 202</w:t>
      </w:r>
      <w:r w:rsidR="00CF388C" w:rsidRPr="00CF388C">
        <w:t>7</w:t>
      </w:r>
      <w:r w:rsidRPr="00CF388C">
        <w:t xml:space="preserve"> и 202</w:t>
      </w:r>
      <w:r w:rsidR="00CF388C" w:rsidRPr="00CF388C">
        <w:t>8</w:t>
      </w:r>
      <w:r w:rsidRPr="00CF388C">
        <w:t xml:space="preserve"> годов</w:t>
      </w:r>
      <w:r w:rsidR="006B3DF7">
        <w:t>»</w:t>
      </w:r>
    </w:p>
    <w:p w14:paraId="7166C32B" w14:textId="77777777" w:rsidR="009B4E24" w:rsidRPr="00CF388C" w:rsidRDefault="009B4E24" w:rsidP="006B3DF7">
      <w:pPr>
        <w:pStyle w:val="a"/>
        <w:numPr>
          <w:ilvl w:val="0"/>
          <w:numId w:val="0"/>
        </w:numPr>
        <w:spacing w:before="0" w:after="0"/>
        <w:ind w:firstLine="709"/>
        <w:jc w:val="both"/>
      </w:pPr>
    </w:p>
    <w:p w14:paraId="38EAF273" w14:textId="662B408B" w:rsidR="00DC6DEC" w:rsidRPr="00CF388C" w:rsidRDefault="00DC6DEC" w:rsidP="006B3DF7">
      <w:pPr>
        <w:pStyle w:val="a"/>
        <w:numPr>
          <w:ilvl w:val="0"/>
          <w:numId w:val="1"/>
        </w:numPr>
        <w:spacing w:before="0" w:after="0"/>
        <w:ind w:left="0" w:firstLine="709"/>
        <w:jc w:val="both"/>
      </w:pPr>
      <w:r w:rsidRPr="00CF388C">
        <w:t>Распоряжение Правительства КБР от 17.10.2025</w:t>
      </w:r>
      <w:r>
        <w:t xml:space="preserve"> </w:t>
      </w:r>
      <w:r w:rsidRPr="00CF388C">
        <w:t xml:space="preserve">года № 630-рп </w:t>
      </w:r>
      <w:r w:rsidR="006B3DF7">
        <w:t>«</w:t>
      </w:r>
      <w:r w:rsidRPr="00CF388C">
        <w:t xml:space="preserve">О проекте закона Кабардино-Балкарской Республики </w:t>
      </w:r>
      <w:r w:rsidR="006B3DF7">
        <w:t>«</w:t>
      </w:r>
      <w:r w:rsidRPr="00CF388C">
        <w:t>О приостановлении действия отдельных положений законодательных актов Кабардино-Балкарской Республики, внесении изменений в отдельные законодательные акты Кабардино-Балкарской Республики и об установлении особенностей исполнения</w:t>
      </w:r>
      <w:r>
        <w:t xml:space="preserve"> </w:t>
      </w:r>
      <w:r w:rsidRPr="00CF388C">
        <w:t>республиканского бюджета Кабардино-Балкарской Республики в 2026 году</w:t>
      </w:r>
      <w:r w:rsidR="006B3DF7">
        <w:t>»</w:t>
      </w:r>
    </w:p>
    <w:p w14:paraId="2863E791" w14:textId="77777777" w:rsidR="006B50B1" w:rsidRPr="00C014DC" w:rsidRDefault="006B50B1" w:rsidP="006B3DF7">
      <w:pPr>
        <w:pStyle w:val="a"/>
        <w:numPr>
          <w:ilvl w:val="0"/>
          <w:numId w:val="0"/>
        </w:numPr>
        <w:spacing w:before="0" w:after="0"/>
        <w:ind w:firstLine="709"/>
        <w:rPr>
          <w:color w:val="FF0000"/>
        </w:rPr>
      </w:pPr>
    </w:p>
    <w:p w14:paraId="1BB76B96" w14:textId="65940BE7" w:rsidR="008368DE" w:rsidRPr="000352D0" w:rsidRDefault="008368DE" w:rsidP="006B3DF7">
      <w:pPr>
        <w:pStyle w:val="a"/>
        <w:numPr>
          <w:ilvl w:val="0"/>
          <w:numId w:val="11"/>
        </w:numPr>
        <w:spacing w:before="0" w:after="0"/>
        <w:ind w:left="0" w:firstLine="709"/>
        <w:jc w:val="both"/>
      </w:pPr>
      <w:r w:rsidRPr="000352D0">
        <w:t>Распоряжение Правит</w:t>
      </w:r>
      <w:r w:rsidR="009B3196" w:rsidRPr="000352D0">
        <w:t xml:space="preserve">ельства КБР от </w:t>
      </w:r>
      <w:r w:rsidR="000352D0" w:rsidRPr="000352D0">
        <w:t>0</w:t>
      </w:r>
      <w:r w:rsidR="00214752" w:rsidRPr="000352D0">
        <w:t>1.11.202</w:t>
      </w:r>
      <w:r w:rsidR="000352D0" w:rsidRPr="000352D0">
        <w:t>5</w:t>
      </w:r>
      <w:r w:rsidR="005022B4">
        <w:t xml:space="preserve"> </w:t>
      </w:r>
      <w:r w:rsidR="00C314E4" w:rsidRPr="000352D0">
        <w:t>года</w:t>
      </w:r>
      <w:r w:rsidR="00214752" w:rsidRPr="000352D0">
        <w:t xml:space="preserve"> № 6</w:t>
      </w:r>
      <w:r w:rsidR="000352D0" w:rsidRPr="000352D0">
        <w:t>65</w:t>
      </w:r>
      <w:r w:rsidR="00DC6DEC">
        <w:t>-</w:t>
      </w:r>
      <w:r w:rsidRPr="000352D0">
        <w:t>рп</w:t>
      </w:r>
      <w:r w:rsidR="00750118">
        <w:t xml:space="preserve"> </w:t>
      </w:r>
      <w:r w:rsidR="004F0760">
        <w:br/>
      </w:r>
      <w:r w:rsidR="006B3DF7">
        <w:t>«</w:t>
      </w:r>
      <w:r w:rsidRPr="000352D0">
        <w:t>Об исполнении республика</w:t>
      </w:r>
      <w:r w:rsidR="009B3196" w:rsidRPr="000352D0">
        <w:t>нского бюджета за 9 месяцев 202</w:t>
      </w:r>
      <w:r w:rsidR="000352D0" w:rsidRPr="000352D0">
        <w:t>5</w:t>
      </w:r>
      <w:r w:rsidRPr="000352D0">
        <w:t xml:space="preserve"> года</w:t>
      </w:r>
      <w:r w:rsidR="006B3DF7">
        <w:t>»</w:t>
      </w:r>
    </w:p>
    <w:p w14:paraId="66A71F06" w14:textId="77777777" w:rsidR="00606498" w:rsidRPr="00C014DC" w:rsidRDefault="00606498" w:rsidP="006B3DF7">
      <w:pPr>
        <w:pStyle w:val="a"/>
        <w:numPr>
          <w:ilvl w:val="0"/>
          <w:numId w:val="0"/>
        </w:numPr>
        <w:spacing w:before="0" w:after="0"/>
        <w:ind w:firstLine="709"/>
        <w:jc w:val="both"/>
        <w:rPr>
          <w:color w:val="FF0000"/>
        </w:rPr>
      </w:pPr>
    </w:p>
    <w:p w14:paraId="345E1899" w14:textId="6FA11D48" w:rsidR="00873B0E" w:rsidRPr="00CF388C" w:rsidRDefault="00873B0E" w:rsidP="006B3DF7">
      <w:pPr>
        <w:pStyle w:val="a"/>
        <w:numPr>
          <w:ilvl w:val="0"/>
          <w:numId w:val="1"/>
        </w:numPr>
        <w:spacing w:before="0" w:after="0"/>
        <w:ind w:left="0" w:firstLine="709"/>
        <w:jc w:val="both"/>
      </w:pPr>
      <w:r w:rsidRPr="00CF388C">
        <w:t>Рас</w:t>
      </w:r>
      <w:r w:rsidR="00CF388C" w:rsidRPr="00CF388C">
        <w:t>поряжение Правительства КБР от 2</w:t>
      </w:r>
      <w:r w:rsidRPr="00CF388C">
        <w:t>1.11.202</w:t>
      </w:r>
      <w:r w:rsidR="00CF388C" w:rsidRPr="00CF388C">
        <w:t>5</w:t>
      </w:r>
      <w:r w:rsidR="005022B4">
        <w:t xml:space="preserve"> </w:t>
      </w:r>
      <w:r w:rsidR="00C314E4" w:rsidRPr="00CF388C">
        <w:t>года</w:t>
      </w:r>
      <w:r w:rsidRPr="00CF388C">
        <w:t xml:space="preserve"> № 7</w:t>
      </w:r>
      <w:r w:rsidR="00CF388C" w:rsidRPr="00CF388C">
        <w:t>13</w:t>
      </w:r>
      <w:r w:rsidRPr="00CF388C">
        <w:t xml:space="preserve">-рп </w:t>
      </w:r>
      <w:r w:rsidR="006B3DF7">
        <w:t>«</w:t>
      </w:r>
      <w:r w:rsidRPr="00CF388C">
        <w:t xml:space="preserve">О проекте закона Кабардино-Балкарской Республики </w:t>
      </w:r>
      <w:r w:rsidR="006B3DF7">
        <w:t>«</w:t>
      </w:r>
      <w:r w:rsidRPr="00CF388C">
        <w:t xml:space="preserve">О внесении изменений в Закон </w:t>
      </w:r>
      <w:r w:rsidR="004F0760">
        <w:br/>
      </w:r>
      <w:r w:rsidRPr="00CF388C">
        <w:t xml:space="preserve">Кабардино-Балкарской Республики </w:t>
      </w:r>
      <w:r w:rsidR="006B3DF7">
        <w:t>«</w:t>
      </w:r>
      <w:r w:rsidRPr="00CF388C">
        <w:t xml:space="preserve">О республиканском бюджете </w:t>
      </w:r>
      <w:r w:rsidR="004F0760">
        <w:br/>
      </w:r>
      <w:r w:rsidRPr="00CF388C">
        <w:t>Кабардино-Балкарской Республики на 202</w:t>
      </w:r>
      <w:r w:rsidR="00CF388C" w:rsidRPr="00CF388C">
        <w:t>5</w:t>
      </w:r>
      <w:r w:rsidRPr="00CF388C">
        <w:t xml:space="preserve"> год и на плановый период 202</w:t>
      </w:r>
      <w:r w:rsidR="00CF388C" w:rsidRPr="00CF388C">
        <w:t>6 и 2027</w:t>
      </w:r>
      <w:r w:rsidRPr="00CF388C">
        <w:t xml:space="preserve"> годов</w:t>
      </w:r>
      <w:r w:rsidR="006B3DF7">
        <w:t>»</w:t>
      </w:r>
      <w:r w:rsidRPr="00CF388C">
        <w:t xml:space="preserve">  </w:t>
      </w:r>
    </w:p>
    <w:p w14:paraId="18E2833F" w14:textId="77777777" w:rsidR="007F56E4" w:rsidRPr="00CF388C" w:rsidRDefault="00F811F4" w:rsidP="006B3DF7">
      <w:r w:rsidRPr="00CF388C">
        <w:t>В ходе данной работы Министе</w:t>
      </w:r>
      <w:r w:rsidR="007F56E4" w:rsidRPr="00CF388C">
        <w:t>рство активно взаимодействовало с государственно-правовым управлением Администрации Главы КБР, Парламентом КБР, управлением Министерства юстиции России по КБР.</w:t>
      </w:r>
    </w:p>
    <w:p w14:paraId="44D1BD50" w14:textId="77777777" w:rsidR="009B0E97" w:rsidRPr="00C014DC" w:rsidRDefault="009B0E97" w:rsidP="006B3DF7">
      <w:pPr>
        <w:rPr>
          <w:color w:val="FF0000"/>
        </w:rPr>
      </w:pPr>
    </w:p>
    <w:p w14:paraId="3D586D18" w14:textId="7976731E" w:rsidR="00F811F4" w:rsidRDefault="00F811F4" w:rsidP="006B3DF7">
      <w:pPr>
        <w:pStyle w:val="24"/>
        <w:spacing w:before="0" w:after="0"/>
        <w:ind w:left="0" w:firstLine="709"/>
        <w:rPr>
          <w:color w:val="568D11" w:themeColor="accent3" w:themeShade="80"/>
        </w:rPr>
      </w:pPr>
      <w:bookmarkStart w:id="104" w:name="_Toc131085641"/>
      <w:bookmarkStart w:id="105" w:name="_Toc162008798"/>
      <w:r w:rsidRPr="00370B39">
        <w:rPr>
          <w:color w:val="568D11" w:themeColor="accent3" w:themeShade="80"/>
        </w:rPr>
        <w:t>Деятельность Министерства финансов КБР</w:t>
      </w:r>
      <w:bookmarkStart w:id="106" w:name="_Toc482701252"/>
      <w:bookmarkEnd w:id="99"/>
      <w:r w:rsidR="001B68C0">
        <w:rPr>
          <w:color w:val="568D11" w:themeColor="accent3" w:themeShade="80"/>
        </w:rPr>
        <w:t xml:space="preserve"> </w:t>
      </w:r>
      <w:r w:rsidRPr="00370B39">
        <w:rPr>
          <w:color w:val="568D11" w:themeColor="accent3" w:themeShade="80"/>
        </w:rPr>
        <w:t>по автоматизации бюджетного процесса</w:t>
      </w:r>
      <w:bookmarkEnd w:id="104"/>
      <w:bookmarkEnd w:id="106"/>
      <w:bookmarkEnd w:id="105"/>
    </w:p>
    <w:p w14:paraId="280DB1B1" w14:textId="77777777" w:rsidR="000C770D" w:rsidRPr="00D05E60" w:rsidRDefault="000C770D" w:rsidP="006B3DF7">
      <w:pPr>
        <w:pStyle w:val="24"/>
        <w:numPr>
          <w:ilvl w:val="0"/>
          <w:numId w:val="0"/>
        </w:numPr>
        <w:spacing w:before="0" w:after="0"/>
        <w:ind w:firstLine="709"/>
        <w:jc w:val="both"/>
        <w:rPr>
          <w:color w:val="FF0000"/>
          <w:sz w:val="20"/>
          <w:szCs w:val="20"/>
        </w:rPr>
      </w:pPr>
    </w:p>
    <w:p w14:paraId="38DF07A2" w14:textId="4ABEA9CC" w:rsidR="00426726" w:rsidRPr="00B43205" w:rsidRDefault="00426726" w:rsidP="006B3DF7">
      <w:pPr>
        <w:rPr>
          <w:color w:val="auto"/>
        </w:rPr>
      </w:pPr>
      <w:r w:rsidRPr="00B43205">
        <w:rPr>
          <w:color w:val="auto"/>
        </w:rPr>
        <w:t xml:space="preserve">В Кабардино-Балкарской Республике функционирует информационная система управления общественными финансами (далее – ИС УОФ КБР). Оператором </w:t>
      </w:r>
      <w:r w:rsidRPr="00B43205">
        <w:rPr>
          <w:color w:val="auto"/>
        </w:rPr>
        <w:br/>
        <w:t xml:space="preserve">ИС УОФ КБР является Министерство. </w:t>
      </w:r>
    </w:p>
    <w:p w14:paraId="5F349EE0" w14:textId="0226CE19" w:rsidR="00426726" w:rsidRPr="00B43205" w:rsidRDefault="00426726" w:rsidP="006B3DF7">
      <w:pPr>
        <w:rPr>
          <w:color w:val="auto"/>
        </w:rPr>
      </w:pPr>
      <w:r w:rsidRPr="00B43205">
        <w:rPr>
          <w:color w:val="auto"/>
        </w:rPr>
        <w:t xml:space="preserve">Система представляет собой централизованное решение, позволившее создать единую информационную систему исполнения бюджетов всех уровней на территории КБР. Особенностью системы является создание единой базы данных, хранящей и обрабатывающей все операции по исполнению республиканского бюджета и </w:t>
      </w:r>
      <w:r w:rsidR="001B68C0">
        <w:rPr>
          <w:color w:val="auto"/>
        </w:rPr>
        <w:br/>
      </w:r>
      <w:r w:rsidRPr="00B43205">
        <w:rPr>
          <w:color w:val="auto"/>
        </w:rPr>
        <w:t xml:space="preserve">132 бюджетов муниципальных образований. </w:t>
      </w:r>
    </w:p>
    <w:p w14:paraId="00BFED17" w14:textId="77777777" w:rsidR="00426726" w:rsidRPr="00B43205" w:rsidRDefault="00426726" w:rsidP="006B3DF7">
      <w:pPr>
        <w:rPr>
          <w:color w:val="auto"/>
        </w:rPr>
      </w:pPr>
      <w:r w:rsidRPr="00B43205">
        <w:rPr>
          <w:color w:val="auto"/>
        </w:rPr>
        <w:t>ИС УОФ КБР включает в себя информационные подсистемы (сегменты):</w:t>
      </w:r>
    </w:p>
    <w:p w14:paraId="5DF74C8B" w14:textId="77777777" w:rsidR="00426726" w:rsidRPr="00B43205" w:rsidRDefault="00426726" w:rsidP="006B3DF7">
      <w:pPr>
        <w:rPr>
          <w:color w:val="auto"/>
        </w:rPr>
      </w:pPr>
      <w:r w:rsidRPr="00B43205">
        <w:rPr>
          <w:color w:val="auto"/>
        </w:rPr>
        <w:t>•</w:t>
      </w:r>
      <w:r w:rsidRPr="00B43205">
        <w:rPr>
          <w:color w:val="auto"/>
        </w:rPr>
        <w:tab/>
        <w:t>управление бюджетным процессом (система управления бюджетным процессом);</w:t>
      </w:r>
    </w:p>
    <w:p w14:paraId="73404B62" w14:textId="77777777" w:rsidR="00426726" w:rsidRPr="00B43205" w:rsidRDefault="00426726" w:rsidP="006B3DF7">
      <w:pPr>
        <w:rPr>
          <w:color w:val="auto"/>
        </w:rPr>
      </w:pPr>
      <w:r w:rsidRPr="00B43205">
        <w:rPr>
          <w:color w:val="auto"/>
        </w:rPr>
        <w:t>•</w:t>
      </w:r>
      <w:r w:rsidRPr="00B43205">
        <w:rPr>
          <w:color w:val="auto"/>
        </w:rPr>
        <w:tab/>
        <w:t>составление отчетности.</w:t>
      </w:r>
    </w:p>
    <w:p w14:paraId="0498E092" w14:textId="77777777" w:rsidR="00426726" w:rsidRPr="00B43205" w:rsidRDefault="00426726" w:rsidP="006B3DF7">
      <w:pPr>
        <w:rPr>
          <w:color w:val="auto"/>
        </w:rPr>
      </w:pPr>
      <w:r w:rsidRPr="00B43205">
        <w:rPr>
          <w:color w:val="auto"/>
        </w:rPr>
        <w:t xml:space="preserve">Пользователями ИС УОФ КБР являются 996 участников бюджетного процесса республиканского бюджета и муниципальных образований КБР, включая финансовые органы, распорядителей и получателей бюджетных средств. Указанная система является самой крупной информационной системой на территории </w:t>
      </w:r>
      <w:r w:rsidRPr="00B43205">
        <w:rPr>
          <w:color w:val="auto"/>
        </w:rPr>
        <w:br/>
        <w:t xml:space="preserve">Кабардино-Балкарской Республики. </w:t>
      </w:r>
    </w:p>
    <w:p w14:paraId="77EBFF27" w14:textId="47AB603C" w:rsidR="00426726" w:rsidRPr="00B43205" w:rsidRDefault="00426726" w:rsidP="006B3DF7">
      <w:pPr>
        <w:rPr>
          <w:color w:val="auto"/>
        </w:rPr>
      </w:pPr>
      <w:r w:rsidRPr="00B43205">
        <w:rPr>
          <w:color w:val="auto"/>
        </w:rPr>
        <w:t xml:space="preserve">На сегодняшний день все этапы исполнения бюджета от планирования до сдачи отчетности осуществляются в указанном комплексе, в котором работает более </w:t>
      </w:r>
      <w:r w:rsidR="001B68C0">
        <w:rPr>
          <w:color w:val="auto"/>
        </w:rPr>
        <w:br/>
      </w:r>
      <w:r w:rsidRPr="00B43205">
        <w:rPr>
          <w:color w:val="auto"/>
        </w:rPr>
        <w:t xml:space="preserve">5 тысяч пользователей. </w:t>
      </w:r>
    </w:p>
    <w:p w14:paraId="33A86B43" w14:textId="0FFB5A44" w:rsidR="00426726" w:rsidRPr="00B43205" w:rsidRDefault="00426726" w:rsidP="006B3DF7">
      <w:pPr>
        <w:rPr>
          <w:color w:val="auto"/>
        </w:rPr>
      </w:pPr>
      <w:r w:rsidRPr="00B43205">
        <w:rPr>
          <w:color w:val="auto"/>
        </w:rPr>
        <w:t xml:space="preserve">Реализованы настройки, позволяющие осуществлять контроль, предусмотренный частью 5 статьи 99 Федерального закона </w:t>
      </w:r>
      <w:r w:rsidR="006B3DF7">
        <w:rPr>
          <w:color w:val="auto"/>
        </w:rPr>
        <w:t>«</w:t>
      </w:r>
      <w:r w:rsidRPr="00B43205">
        <w:rPr>
          <w:color w:val="auto"/>
        </w:rPr>
        <w:t>О контрактной системе в сфере закупок товаров, работ, услуг для обеспечения государственных нужд</w:t>
      </w:r>
      <w:r w:rsidR="006B3DF7">
        <w:rPr>
          <w:color w:val="auto"/>
        </w:rPr>
        <w:t>»</w:t>
      </w:r>
      <w:r w:rsidRPr="00B43205">
        <w:rPr>
          <w:color w:val="auto"/>
        </w:rPr>
        <w:t xml:space="preserve">, и реализовать положения Постановления Правительства РФ от 06.08.2020года № 1193 </w:t>
      </w:r>
      <w:r w:rsidR="006B3DF7">
        <w:rPr>
          <w:color w:val="auto"/>
        </w:rPr>
        <w:t>«</w:t>
      </w:r>
      <w:r w:rsidRPr="00B43205">
        <w:rPr>
          <w:color w:val="auto"/>
        </w:rPr>
        <w:t xml:space="preserve">О порядке осуществления контроля, предусмотренного частями 5 и 5.1 статьи 99 Федерального закона </w:t>
      </w:r>
      <w:r w:rsidR="006B3DF7">
        <w:rPr>
          <w:color w:val="auto"/>
        </w:rPr>
        <w:t>«</w:t>
      </w:r>
      <w:r w:rsidRPr="00B43205">
        <w:rPr>
          <w:color w:val="auto"/>
        </w:rPr>
        <w:t>О контрактной системе в сфере закупок товаров, работ, услуг для обеспечения государственных и муниципальных нужд</w:t>
      </w:r>
      <w:r w:rsidR="006B3DF7">
        <w:rPr>
          <w:color w:val="auto"/>
        </w:rPr>
        <w:t>»</w:t>
      </w:r>
      <w:r w:rsidRPr="00B43205">
        <w:rPr>
          <w:color w:val="auto"/>
        </w:rPr>
        <w:t>, и об изменении и признании утратившими силу некоторых актов Правительства Российской Федерации</w:t>
      </w:r>
      <w:r w:rsidR="006B3DF7">
        <w:rPr>
          <w:color w:val="auto"/>
        </w:rPr>
        <w:t>»</w:t>
      </w:r>
      <w:r w:rsidRPr="00B43205">
        <w:rPr>
          <w:color w:val="auto"/>
        </w:rPr>
        <w:t>. Таким образом, стало возможным осуществление финансовыми органами КБР контроля в отношении соответствия информации, содержащейся в документах, указанных в части 5 статьи 99 Федерального закона, информации об объеме финансового обеспечения закупки, утвержденном и доведенном до заказчика в установленном порядке.</w:t>
      </w:r>
    </w:p>
    <w:p w14:paraId="5F27B8FD" w14:textId="24D03681" w:rsidR="00426726" w:rsidRPr="00B43205" w:rsidRDefault="00426726" w:rsidP="006B3DF7">
      <w:pPr>
        <w:rPr>
          <w:color w:val="auto"/>
        </w:rPr>
      </w:pPr>
      <w:r w:rsidRPr="00B43205">
        <w:rPr>
          <w:color w:val="auto"/>
        </w:rPr>
        <w:t xml:space="preserve">В рамках указанного механизма Министерством финансов КБР и финансовыми органами муниципальных районов в ИС УОФ КБР обработано в 2025 году </w:t>
      </w:r>
      <w:r w:rsidR="004F0760">
        <w:rPr>
          <w:color w:val="auto"/>
        </w:rPr>
        <w:br/>
      </w:r>
      <w:r w:rsidRPr="00B43205">
        <w:rPr>
          <w:color w:val="auto"/>
        </w:rPr>
        <w:t>20 472 электронны</w:t>
      </w:r>
      <w:r w:rsidR="001B68C0">
        <w:rPr>
          <w:color w:val="auto"/>
        </w:rPr>
        <w:t>х</w:t>
      </w:r>
      <w:r w:rsidRPr="00B43205">
        <w:rPr>
          <w:color w:val="auto"/>
        </w:rPr>
        <w:t xml:space="preserve"> документ</w:t>
      </w:r>
      <w:r w:rsidR="001B68C0">
        <w:rPr>
          <w:color w:val="auto"/>
        </w:rPr>
        <w:t>а</w:t>
      </w:r>
      <w:r w:rsidRPr="00B43205">
        <w:rPr>
          <w:color w:val="auto"/>
        </w:rPr>
        <w:t xml:space="preserve"> </w:t>
      </w:r>
      <w:r w:rsidR="006B3DF7">
        <w:rPr>
          <w:color w:val="auto"/>
        </w:rPr>
        <w:t>«</w:t>
      </w:r>
      <w:r w:rsidRPr="00B43205">
        <w:rPr>
          <w:color w:val="auto"/>
        </w:rPr>
        <w:t>Планирование закупок</w:t>
      </w:r>
      <w:r w:rsidR="006B3DF7">
        <w:rPr>
          <w:color w:val="auto"/>
        </w:rPr>
        <w:t>»</w:t>
      </w:r>
      <w:r w:rsidRPr="00B43205">
        <w:rPr>
          <w:color w:val="auto"/>
        </w:rPr>
        <w:t xml:space="preserve">, что на 1,9 % больше, чем за 2024 год. Для обработки электронных документов </w:t>
      </w:r>
      <w:r w:rsidR="006B3DF7">
        <w:rPr>
          <w:color w:val="auto"/>
        </w:rPr>
        <w:t>«</w:t>
      </w:r>
      <w:r w:rsidRPr="00B43205">
        <w:rPr>
          <w:color w:val="auto"/>
        </w:rPr>
        <w:t>Планирование закупок</w:t>
      </w:r>
      <w:r w:rsidR="006B3DF7">
        <w:rPr>
          <w:color w:val="auto"/>
        </w:rPr>
        <w:t>»</w:t>
      </w:r>
      <w:r w:rsidRPr="00B43205">
        <w:rPr>
          <w:color w:val="auto"/>
        </w:rPr>
        <w:t xml:space="preserve"> формируются электронные документы </w:t>
      </w:r>
      <w:r w:rsidR="006B3DF7">
        <w:rPr>
          <w:color w:val="auto"/>
        </w:rPr>
        <w:t>«</w:t>
      </w:r>
      <w:r w:rsidRPr="00B43205">
        <w:rPr>
          <w:color w:val="auto"/>
        </w:rPr>
        <w:t>Протоколов несоответствия</w:t>
      </w:r>
      <w:r w:rsidR="006B3DF7">
        <w:rPr>
          <w:color w:val="auto"/>
        </w:rPr>
        <w:t>»</w:t>
      </w:r>
      <w:r w:rsidRPr="00B43205">
        <w:rPr>
          <w:color w:val="auto"/>
        </w:rPr>
        <w:t xml:space="preserve"> и </w:t>
      </w:r>
      <w:r w:rsidR="006B3DF7">
        <w:rPr>
          <w:color w:val="auto"/>
        </w:rPr>
        <w:t>«</w:t>
      </w:r>
      <w:r w:rsidRPr="00B43205">
        <w:rPr>
          <w:color w:val="auto"/>
        </w:rPr>
        <w:t>Уведомление о контролируемой информации</w:t>
      </w:r>
      <w:r w:rsidR="006B3DF7">
        <w:rPr>
          <w:color w:val="auto"/>
        </w:rPr>
        <w:t>»</w:t>
      </w:r>
      <w:r w:rsidRPr="00B43205">
        <w:rPr>
          <w:color w:val="auto"/>
        </w:rPr>
        <w:t>.</w:t>
      </w:r>
    </w:p>
    <w:p w14:paraId="11F09EF9" w14:textId="66F3AFFF" w:rsidR="00426726" w:rsidRPr="00B43205" w:rsidRDefault="00426726" w:rsidP="006B3DF7">
      <w:pPr>
        <w:rPr>
          <w:color w:val="auto"/>
        </w:rPr>
      </w:pPr>
      <w:r w:rsidRPr="00B43205">
        <w:rPr>
          <w:color w:val="auto"/>
        </w:rPr>
        <w:t xml:space="preserve">Таким образом, в среднем на одного сотрудника отраслевого отдела приходится более 1 000 электронных документов, а на одного сотрудника отдела методологии бюджетного процесса при импорте электронных документов </w:t>
      </w:r>
      <w:r w:rsidR="006B3DF7">
        <w:rPr>
          <w:color w:val="auto"/>
        </w:rPr>
        <w:t>«</w:t>
      </w:r>
      <w:r w:rsidRPr="00B43205">
        <w:rPr>
          <w:color w:val="auto"/>
        </w:rPr>
        <w:t>Планирование закупок</w:t>
      </w:r>
      <w:r w:rsidR="006B3DF7">
        <w:rPr>
          <w:color w:val="auto"/>
        </w:rPr>
        <w:t>»</w:t>
      </w:r>
      <w:r w:rsidRPr="00B43205">
        <w:rPr>
          <w:color w:val="auto"/>
        </w:rPr>
        <w:t xml:space="preserve"> из системы единой информационной системы в сфере закупок в ИС УОФ КБР приходится более 6 400 электронных документов.</w:t>
      </w:r>
    </w:p>
    <w:p w14:paraId="63738923" w14:textId="77777777" w:rsidR="000E43AF" w:rsidRPr="00D978FD" w:rsidRDefault="000E43AF" w:rsidP="006B3DF7">
      <w:pPr>
        <w:rPr>
          <w:b/>
          <w:color w:val="auto"/>
        </w:rPr>
      </w:pPr>
      <w:r w:rsidRPr="00D978FD">
        <w:rPr>
          <w:b/>
          <w:color w:val="auto"/>
        </w:rPr>
        <w:t>Сегмент управления обращениями.</w:t>
      </w:r>
    </w:p>
    <w:p w14:paraId="6260E93E" w14:textId="1FF4ECE5" w:rsidR="00D978FD" w:rsidRPr="004004AA" w:rsidRDefault="00D978FD" w:rsidP="006B3DF7">
      <w:pPr>
        <w:rPr>
          <w:color w:val="auto"/>
        </w:rPr>
      </w:pPr>
      <w:r w:rsidRPr="004004AA">
        <w:rPr>
          <w:color w:val="auto"/>
        </w:rPr>
        <w:t xml:space="preserve">В целях оперативного решения вопросов и устранения проблем, возникающих при работе в ИС УОФ КБР используется подсистема </w:t>
      </w:r>
      <w:r w:rsidR="006B3DF7">
        <w:rPr>
          <w:color w:val="auto"/>
        </w:rPr>
        <w:t>«</w:t>
      </w:r>
      <w:r w:rsidRPr="004004AA">
        <w:rPr>
          <w:color w:val="auto"/>
        </w:rPr>
        <w:t>Сегмент управления обращениями</w:t>
      </w:r>
      <w:r w:rsidR="006B3DF7">
        <w:rPr>
          <w:color w:val="auto"/>
        </w:rPr>
        <w:t>»</w:t>
      </w:r>
      <w:r w:rsidRPr="004004AA">
        <w:rPr>
          <w:color w:val="auto"/>
        </w:rPr>
        <w:t xml:space="preserve">, в работе которого используется двухуровневая система поддержки пользователей. В рамках указанного сегмента регистрируются поступающие от уполномоченных лиц обращения, рассматриваются запросы и предоставляются консультации. </w:t>
      </w:r>
    </w:p>
    <w:p w14:paraId="3AE0CE15" w14:textId="77777777" w:rsidR="00D978FD" w:rsidRPr="004004AA" w:rsidRDefault="00D978FD" w:rsidP="006B3DF7">
      <w:pPr>
        <w:rPr>
          <w:color w:val="auto"/>
        </w:rPr>
      </w:pPr>
      <w:r w:rsidRPr="004004AA">
        <w:rPr>
          <w:color w:val="auto"/>
        </w:rPr>
        <w:t xml:space="preserve">В 2025 году в сегмент управления обращениями поступило 4 109 обращения, что на 5,23 % меньше, чем за 2024 год. </w:t>
      </w:r>
    </w:p>
    <w:p w14:paraId="5D4EDE4F" w14:textId="77777777" w:rsidR="00D978FD" w:rsidRPr="00C014DC" w:rsidRDefault="00D978FD" w:rsidP="006B3DF7">
      <w:pPr>
        <w:rPr>
          <w:color w:val="FF0000"/>
        </w:rPr>
      </w:pPr>
      <w:r w:rsidRPr="004004AA">
        <w:rPr>
          <w:color w:val="auto"/>
        </w:rPr>
        <w:t>Таким образом, по каждому обращению предоставлена соответствующая консультация, по наиболее распространенным вопросам разработаны и доработаны инструкции по работе в ИС УОФ КБР, и размещены на официальном сайте Министерства финансов КБР в сети Интернет.</w:t>
      </w:r>
    </w:p>
    <w:p w14:paraId="35B35F02" w14:textId="2B38BCC3" w:rsidR="00D978FD" w:rsidRPr="00A461A9" w:rsidRDefault="00D978FD" w:rsidP="006B3DF7">
      <w:pPr>
        <w:rPr>
          <w:color w:val="auto"/>
        </w:rPr>
      </w:pPr>
      <w:r w:rsidRPr="00A461A9">
        <w:rPr>
          <w:color w:val="auto"/>
        </w:rPr>
        <w:t xml:space="preserve">Сотрудниками отдела методологии бюджетного процесса рассмотрено </w:t>
      </w:r>
      <w:r w:rsidR="001B68C0">
        <w:rPr>
          <w:color w:val="auto"/>
        </w:rPr>
        <w:br/>
      </w:r>
      <w:r w:rsidRPr="00A461A9">
        <w:rPr>
          <w:color w:val="auto"/>
        </w:rPr>
        <w:t xml:space="preserve">1 </w:t>
      </w:r>
      <w:r>
        <w:rPr>
          <w:color w:val="auto"/>
        </w:rPr>
        <w:t>3</w:t>
      </w:r>
      <w:r w:rsidRPr="00A461A9">
        <w:rPr>
          <w:color w:val="auto"/>
        </w:rPr>
        <w:t xml:space="preserve">40 обращений. </w:t>
      </w:r>
    </w:p>
    <w:p w14:paraId="3D508F31" w14:textId="77777777" w:rsidR="00D978FD" w:rsidRPr="00C014DC" w:rsidRDefault="00D978FD" w:rsidP="006B3DF7">
      <w:pPr>
        <w:rPr>
          <w:color w:val="FF0000"/>
        </w:rPr>
      </w:pPr>
      <w:r w:rsidRPr="00A461A9">
        <w:rPr>
          <w:color w:val="auto"/>
        </w:rPr>
        <w:t xml:space="preserve">Сотрудниками отдела методологического обеспечения бюджетного учета рассмотрено </w:t>
      </w:r>
      <w:r>
        <w:rPr>
          <w:color w:val="auto"/>
        </w:rPr>
        <w:t>9</w:t>
      </w:r>
      <w:r w:rsidRPr="00A461A9">
        <w:rPr>
          <w:color w:val="auto"/>
        </w:rPr>
        <w:t xml:space="preserve">82 обращения. </w:t>
      </w:r>
    </w:p>
    <w:p w14:paraId="56921EDF" w14:textId="7F3E8426" w:rsidR="00D978FD" w:rsidRPr="00A461A9" w:rsidRDefault="00D978FD" w:rsidP="006B3DF7">
      <w:pPr>
        <w:rPr>
          <w:color w:val="auto"/>
        </w:rPr>
      </w:pPr>
      <w:r w:rsidRPr="00A461A9">
        <w:rPr>
          <w:color w:val="auto"/>
        </w:rPr>
        <w:t xml:space="preserve">Сотрудниками отдела информационных технологий рассмотрено </w:t>
      </w:r>
      <w:r w:rsidR="001B68C0">
        <w:rPr>
          <w:color w:val="auto"/>
        </w:rPr>
        <w:br/>
      </w:r>
      <w:r w:rsidRPr="00A461A9">
        <w:rPr>
          <w:color w:val="auto"/>
        </w:rPr>
        <w:t xml:space="preserve">1 </w:t>
      </w:r>
      <w:r>
        <w:rPr>
          <w:color w:val="auto"/>
        </w:rPr>
        <w:t>5</w:t>
      </w:r>
      <w:r w:rsidRPr="00A461A9">
        <w:rPr>
          <w:color w:val="auto"/>
        </w:rPr>
        <w:t xml:space="preserve">99 обращений. </w:t>
      </w:r>
    </w:p>
    <w:p w14:paraId="1FD94E2C" w14:textId="03620D53" w:rsidR="00426726" w:rsidRPr="00B43205" w:rsidRDefault="00426726" w:rsidP="006B3DF7">
      <w:pPr>
        <w:rPr>
          <w:color w:val="auto"/>
        </w:rPr>
      </w:pPr>
      <w:r w:rsidRPr="00B43205">
        <w:rPr>
          <w:b/>
          <w:color w:val="auto"/>
        </w:rPr>
        <w:t xml:space="preserve">Казначейское сопровождение в государственной интегрированной информационной системе управления общественными финансами </w:t>
      </w:r>
      <w:r w:rsidR="006B3DF7">
        <w:rPr>
          <w:b/>
          <w:color w:val="auto"/>
        </w:rPr>
        <w:t>«</w:t>
      </w:r>
      <w:r w:rsidRPr="00B43205">
        <w:rPr>
          <w:b/>
          <w:color w:val="auto"/>
        </w:rPr>
        <w:t>Электронный бюджет</w:t>
      </w:r>
      <w:r w:rsidR="006B3DF7">
        <w:rPr>
          <w:b/>
          <w:color w:val="auto"/>
        </w:rPr>
        <w:t>»</w:t>
      </w:r>
      <w:r w:rsidRPr="00B43205">
        <w:rPr>
          <w:b/>
          <w:color w:val="auto"/>
        </w:rPr>
        <w:t>.</w:t>
      </w:r>
    </w:p>
    <w:p w14:paraId="6E98AD12" w14:textId="14E28D87" w:rsidR="00426726" w:rsidRPr="00B43205" w:rsidRDefault="00426726" w:rsidP="006B3DF7">
      <w:pPr>
        <w:rPr>
          <w:color w:val="auto"/>
        </w:rPr>
      </w:pPr>
      <w:r w:rsidRPr="00B43205">
        <w:rPr>
          <w:color w:val="auto"/>
        </w:rPr>
        <w:t xml:space="preserve">Для работы в подсистемах </w:t>
      </w:r>
      <w:r w:rsidR="006B3DF7">
        <w:rPr>
          <w:color w:val="auto"/>
        </w:rPr>
        <w:t>«</w:t>
      </w:r>
      <w:r w:rsidRPr="00B43205">
        <w:rPr>
          <w:color w:val="auto"/>
        </w:rPr>
        <w:t>Управление расходами (казначейское сопровождение)</w:t>
      </w:r>
      <w:r w:rsidR="006B3DF7">
        <w:rPr>
          <w:color w:val="auto"/>
        </w:rPr>
        <w:t>»</w:t>
      </w:r>
      <w:r w:rsidRPr="00B43205">
        <w:rPr>
          <w:color w:val="auto"/>
        </w:rPr>
        <w:t xml:space="preserve"> и </w:t>
      </w:r>
      <w:r w:rsidR="006B3DF7">
        <w:rPr>
          <w:color w:val="auto"/>
        </w:rPr>
        <w:t>«</w:t>
      </w:r>
      <w:r w:rsidRPr="00B43205">
        <w:rPr>
          <w:color w:val="auto"/>
        </w:rPr>
        <w:t>Нормативно-справочная информация</w:t>
      </w:r>
      <w:r w:rsidR="006B3DF7">
        <w:rPr>
          <w:color w:val="auto"/>
        </w:rPr>
        <w:t>»</w:t>
      </w:r>
      <w:r w:rsidRPr="00B43205">
        <w:rPr>
          <w:color w:val="auto"/>
        </w:rPr>
        <w:t xml:space="preserve"> в ГИИС УОФ </w:t>
      </w:r>
      <w:r w:rsidR="006B3DF7">
        <w:rPr>
          <w:color w:val="auto"/>
        </w:rPr>
        <w:t>«</w:t>
      </w:r>
      <w:r w:rsidRPr="00B43205">
        <w:rPr>
          <w:color w:val="auto"/>
        </w:rPr>
        <w:t>Электронный бюджет</w:t>
      </w:r>
      <w:r w:rsidR="006B3DF7">
        <w:rPr>
          <w:color w:val="auto"/>
        </w:rPr>
        <w:t>»</w:t>
      </w:r>
      <w:r w:rsidRPr="00B43205">
        <w:rPr>
          <w:color w:val="auto"/>
        </w:rPr>
        <w:t xml:space="preserve"> были предоставлены полномочия ответственным сотрудникам Министерства финансов КБР, представителям и получателям субсидий из федерального бюджета и республиканского бюджета КБР. </w:t>
      </w:r>
    </w:p>
    <w:p w14:paraId="7234897E" w14:textId="77777777" w:rsidR="00426726" w:rsidRPr="00B43205" w:rsidRDefault="00426726" w:rsidP="006B3DF7">
      <w:pPr>
        <w:rPr>
          <w:color w:val="auto"/>
        </w:rPr>
      </w:pPr>
      <w:r w:rsidRPr="00B43205">
        <w:rPr>
          <w:color w:val="auto"/>
        </w:rPr>
        <w:t>Сотрудниками Министерства финансов КБР:</w:t>
      </w:r>
    </w:p>
    <w:p w14:paraId="648B8DA6" w14:textId="03F8FA63" w:rsidR="00426726" w:rsidRPr="00F75DBA" w:rsidRDefault="00426726" w:rsidP="006B3DF7">
      <w:pPr>
        <w:rPr>
          <w:color w:val="auto"/>
        </w:rPr>
      </w:pPr>
      <w:r w:rsidRPr="00F75DBA">
        <w:rPr>
          <w:color w:val="auto"/>
        </w:rPr>
        <w:t>- в 2025 году открыто 832 лицевых счет</w:t>
      </w:r>
      <w:r w:rsidR="004F0760">
        <w:rPr>
          <w:color w:val="auto"/>
        </w:rPr>
        <w:t>а</w:t>
      </w:r>
      <w:r w:rsidRPr="00F75DBA">
        <w:rPr>
          <w:color w:val="auto"/>
        </w:rPr>
        <w:t xml:space="preserve"> с кодом </w:t>
      </w:r>
      <w:r w:rsidR="006B3DF7">
        <w:rPr>
          <w:color w:val="auto"/>
        </w:rPr>
        <w:t>«</w:t>
      </w:r>
      <w:r w:rsidRPr="00F75DBA">
        <w:rPr>
          <w:color w:val="auto"/>
        </w:rPr>
        <w:t>71</w:t>
      </w:r>
      <w:r w:rsidR="006B3DF7">
        <w:rPr>
          <w:color w:val="auto"/>
        </w:rPr>
        <w:t>»</w:t>
      </w:r>
      <w:r w:rsidRPr="00F75DBA">
        <w:rPr>
          <w:color w:val="auto"/>
        </w:rPr>
        <w:t xml:space="preserve"> для получателей субсидий из федерального бюджета и республиканского бюджета КБР и для исполнителей государственных контрактов, что на 31% превышает аналогичный показатель </w:t>
      </w:r>
      <w:r w:rsidR="001B68C0">
        <w:rPr>
          <w:color w:val="auto"/>
        </w:rPr>
        <w:br/>
      </w:r>
      <w:r w:rsidRPr="00F75DBA">
        <w:rPr>
          <w:color w:val="auto"/>
        </w:rPr>
        <w:t>за 2024 год;</w:t>
      </w:r>
    </w:p>
    <w:p w14:paraId="58C60247" w14:textId="218F5165" w:rsidR="00426726" w:rsidRPr="00F75DBA" w:rsidRDefault="00426726" w:rsidP="006B3DF7">
      <w:pPr>
        <w:rPr>
          <w:color w:val="auto"/>
        </w:rPr>
      </w:pPr>
      <w:r w:rsidRPr="00F75DBA">
        <w:rPr>
          <w:color w:val="auto"/>
        </w:rPr>
        <w:t xml:space="preserve">- обработано 4 530 электронных документов </w:t>
      </w:r>
      <w:r w:rsidR="006B3DF7">
        <w:rPr>
          <w:color w:val="auto"/>
        </w:rPr>
        <w:t>«</w:t>
      </w:r>
      <w:r w:rsidRPr="00F75DBA">
        <w:rPr>
          <w:color w:val="auto"/>
        </w:rPr>
        <w:t>Документ-основание</w:t>
      </w:r>
      <w:r w:rsidR="006B3DF7">
        <w:rPr>
          <w:color w:val="auto"/>
        </w:rPr>
        <w:t>»</w:t>
      </w:r>
      <w:r w:rsidRPr="00F75DBA">
        <w:rPr>
          <w:color w:val="auto"/>
        </w:rPr>
        <w:t xml:space="preserve"> в 2025 году, что на 93,7 % превышает аналогичный показатель за 2024 год;</w:t>
      </w:r>
    </w:p>
    <w:p w14:paraId="3F5249FD" w14:textId="3DA425E8" w:rsidR="00426726" w:rsidRPr="00F75DBA" w:rsidRDefault="00426726" w:rsidP="006B3DF7">
      <w:pPr>
        <w:rPr>
          <w:color w:val="auto"/>
        </w:rPr>
      </w:pPr>
      <w:r w:rsidRPr="00F75DBA">
        <w:rPr>
          <w:color w:val="auto"/>
        </w:rPr>
        <w:t xml:space="preserve">- зарегистрировано 5 944 электронных документов </w:t>
      </w:r>
      <w:r w:rsidR="006B3DF7">
        <w:rPr>
          <w:color w:val="auto"/>
        </w:rPr>
        <w:t>«</w:t>
      </w:r>
      <w:r w:rsidRPr="00F75DBA">
        <w:rPr>
          <w:color w:val="auto"/>
        </w:rPr>
        <w:t>Сведения об операциях с целевыми средствами</w:t>
      </w:r>
      <w:r w:rsidR="006B3DF7">
        <w:rPr>
          <w:color w:val="auto"/>
        </w:rPr>
        <w:t>»</w:t>
      </w:r>
      <w:r w:rsidRPr="00F75DBA">
        <w:rPr>
          <w:color w:val="auto"/>
        </w:rPr>
        <w:t xml:space="preserve"> в 2025 году, что </w:t>
      </w:r>
      <w:r w:rsidR="008F5DE8">
        <w:rPr>
          <w:color w:val="auto"/>
        </w:rPr>
        <w:t>в 3,1 раз</w:t>
      </w:r>
      <w:r w:rsidRPr="00F75DBA">
        <w:rPr>
          <w:color w:val="auto"/>
        </w:rPr>
        <w:t xml:space="preserve"> превышает аналогичный показатель за 2024 год;</w:t>
      </w:r>
    </w:p>
    <w:p w14:paraId="52ED53D6" w14:textId="5E895AEA" w:rsidR="00426726" w:rsidRPr="001F0011" w:rsidRDefault="00426726" w:rsidP="006B3DF7">
      <w:pPr>
        <w:rPr>
          <w:color w:val="auto"/>
        </w:rPr>
      </w:pPr>
      <w:r w:rsidRPr="001F0011">
        <w:rPr>
          <w:color w:val="auto"/>
        </w:rPr>
        <w:t xml:space="preserve">- исполнено 7 978 электронных документов </w:t>
      </w:r>
      <w:r w:rsidR="006B3DF7">
        <w:rPr>
          <w:color w:val="auto"/>
        </w:rPr>
        <w:t>«</w:t>
      </w:r>
      <w:r w:rsidRPr="001F0011">
        <w:rPr>
          <w:color w:val="auto"/>
        </w:rPr>
        <w:t>Поручения о перечислениях</w:t>
      </w:r>
      <w:r w:rsidR="006B3DF7">
        <w:rPr>
          <w:color w:val="auto"/>
        </w:rPr>
        <w:t>»</w:t>
      </w:r>
      <w:r w:rsidRPr="001F0011">
        <w:rPr>
          <w:color w:val="auto"/>
        </w:rPr>
        <w:t xml:space="preserve"> в </w:t>
      </w:r>
      <w:r w:rsidR="001D3EA8">
        <w:rPr>
          <w:color w:val="auto"/>
        </w:rPr>
        <w:br/>
      </w:r>
      <w:r w:rsidRPr="001F0011">
        <w:rPr>
          <w:color w:val="auto"/>
        </w:rPr>
        <w:t>202</w:t>
      </w:r>
      <w:r w:rsidR="002649FC">
        <w:rPr>
          <w:color w:val="auto"/>
        </w:rPr>
        <w:t>5</w:t>
      </w:r>
      <w:r w:rsidRPr="001F0011">
        <w:rPr>
          <w:color w:val="auto"/>
        </w:rPr>
        <w:t xml:space="preserve"> году, что </w:t>
      </w:r>
      <w:r w:rsidR="002649FC">
        <w:rPr>
          <w:color w:val="auto"/>
        </w:rPr>
        <w:t>в 1,8 раза</w:t>
      </w:r>
      <w:r w:rsidRPr="001F0011">
        <w:rPr>
          <w:color w:val="auto"/>
        </w:rPr>
        <w:t xml:space="preserve"> превышает аналогичный показатель за 202</w:t>
      </w:r>
      <w:r>
        <w:rPr>
          <w:color w:val="auto"/>
        </w:rPr>
        <w:t>4</w:t>
      </w:r>
      <w:r w:rsidRPr="001F0011">
        <w:rPr>
          <w:color w:val="auto"/>
        </w:rPr>
        <w:t xml:space="preserve"> год;</w:t>
      </w:r>
    </w:p>
    <w:p w14:paraId="75B62C47" w14:textId="3A67F90F" w:rsidR="00426726" w:rsidRPr="001F0011" w:rsidRDefault="00426726" w:rsidP="006B3DF7">
      <w:pPr>
        <w:rPr>
          <w:color w:val="auto"/>
        </w:rPr>
      </w:pPr>
      <w:r w:rsidRPr="001F0011">
        <w:rPr>
          <w:color w:val="auto"/>
        </w:rPr>
        <w:t xml:space="preserve">- исполнено 8 722 электронных документов </w:t>
      </w:r>
      <w:r w:rsidR="006B3DF7">
        <w:rPr>
          <w:color w:val="auto"/>
        </w:rPr>
        <w:t>«</w:t>
      </w:r>
      <w:r w:rsidRPr="001F0011">
        <w:rPr>
          <w:color w:val="auto"/>
        </w:rPr>
        <w:t>Исходящие платежные поручения</w:t>
      </w:r>
      <w:r w:rsidR="006B3DF7">
        <w:rPr>
          <w:color w:val="auto"/>
        </w:rPr>
        <w:t>»</w:t>
      </w:r>
      <w:r w:rsidRPr="001F0011">
        <w:rPr>
          <w:color w:val="auto"/>
        </w:rPr>
        <w:t xml:space="preserve"> в 2025 году, что на 94,9 % превышает аналогичный показатель за 2024 год;</w:t>
      </w:r>
    </w:p>
    <w:p w14:paraId="68CDA371" w14:textId="71548941" w:rsidR="00426726" w:rsidRPr="001F0011" w:rsidRDefault="00426726" w:rsidP="006B3DF7">
      <w:pPr>
        <w:rPr>
          <w:rFonts w:ascii="Calibri" w:hAnsi="Calibri" w:cs="Calibri"/>
          <w:color w:val="auto"/>
          <w:sz w:val="22"/>
          <w:szCs w:val="22"/>
          <w:lang w:eastAsia="ru-RU"/>
        </w:rPr>
      </w:pPr>
      <w:r w:rsidRPr="001F0011">
        <w:rPr>
          <w:color w:val="auto"/>
        </w:rPr>
        <w:t xml:space="preserve">На основании обращений, вынесенных Министерством финансов КБР в службу технической поддержки ГИИС УОФ </w:t>
      </w:r>
      <w:r w:rsidR="006B3DF7">
        <w:rPr>
          <w:color w:val="auto"/>
        </w:rPr>
        <w:t>«</w:t>
      </w:r>
      <w:r w:rsidRPr="001F0011">
        <w:rPr>
          <w:color w:val="auto"/>
        </w:rPr>
        <w:t>Электронный бюджет</w:t>
      </w:r>
      <w:r w:rsidR="006B3DF7">
        <w:rPr>
          <w:color w:val="auto"/>
        </w:rPr>
        <w:t>»</w:t>
      </w:r>
      <w:r w:rsidRPr="001F0011">
        <w:rPr>
          <w:color w:val="auto"/>
        </w:rPr>
        <w:t xml:space="preserve">, ведутся доработки по механизму открытия </w:t>
      </w:r>
      <w:r w:rsidRPr="001F0011">
        <w:rPr>
          <w:bCs/>
          <w:color w:val="auto"/>
        </w:rPr>
        <w:t xml:space="preserve">и ведения лицевых счетов физическим лицам – получателям грантов в форме субсидий. </w:t>
      </w:r>
    </w:p>
    <w:p w14:paraId="2242788C" w14:textId="77777777" w:rsidR="00426726" w:rsidRPr="001F0011" w:rsidRDefault="00426726" w:rsidP="006B3DF7">
      <w:pPr>
        <w:rPr>
          <w:b/>
          <w:bCs/>
          <w:color w:val="auto"/>
        </w:rPr>
      </w:pPr>
      <w:r w:rsidRPr="001F0011">
        <w:rPr>
          <w:b/>
          <w:bCs/>
          <w:color w:val="auto"/>
        </w:rPr>
        <w:t>Казначейское сопровождение.</w:t>
      </w:r>
    </w:p>
    <w:p w14:paraId="6B175F36" w14:textId="77777777" w:rsidR="00426726" w:rsidRPr="001F0011" w:rsidRDefault="00426726" w:rsidP="006B3DF7">
      <w:pPr>
        <w:rPr>
          <w:color w:val="auto"/>
        </w:rPr>
      </w:pPr>
      <w:r w:rsidRPr="001F0011">
        <w:rPr>
          <w:color w:val="auto"/>
        </w:rPr>
        <w:t xml:space="preserve">Начиная с 2016 года, Министерством финансов КБР осуществляется механизм казначейского сопровождения всех субсидий, выделяемых из регионального бюджета, а также всех контрактов (договоров), заключаемых с поставщиками, у которых суммарный объем контрактов (договоров), заключенных с государственными учреждениями, превышает 1 млн рублей (вне зависимости от источников финансового обеспечения). </w:t>
      </w:r>
    </w:p>
    <w:p w14:paraId="7AAC77F9" w14:textId="77777777" w:rsidR="00426726" w:rsidRPr="001F0011" w:rsidRDefault="00426726" w:rsidP="006B3DF7">
      <w:pPr>
        <w:rPr>
          <w:color w:val="auto"/>
        </w:rPr>
      </w:pPr>
      <w:r w:rsidRPr="001F0011">
        <w:rPr>
          <w:color w:val="auto"/>
        </w:rPr>
        <w:t xml:space="preserve">В рамках казначейского сопровождения в 2025 году: </w:t>
      </w:r>
    </w:p>
    <w:p w14:paraId="4583983F" w14:textId="0C900054" w:rsidR="00426726" w:rsidRPr="001F0011" w:rsidRDefault="00426726" w:rsidP="006B3DF7">
      <w:pPr>
        <w:rPr>
          <w:color w:val="auto"/>
        </w:rPr>
      </w:pPr>
      <w:r w:rsidRPr="001F0011">
        <w:rPr>
          <w:color w:val="auto"/>
        </w:rPr>
        <w:t xml:space="preserve">- зарегистрирован 501 электронный документ </w:t>
      </w:r>
      <w:r w:rsidR="006B3DF7">
        <w:rPr>
          <w:color w:val="auto"/>
        </w:rPr>
        <w:t>«</w:t>
      </w:r>
      <w:r w:rsidRPr="001F0011">
        <w:rPr>
          <w:color w:val="auto"/>
        </w:rPr>
        <w:t>Сведения об операциях с целевыми средствами</w:t>
      </w:r>
      <w:r w:rsidR="006B3DF7">
        <w:rPr>
          <w:color w:val="auto"/>
        </w:rPr>
        <w:t>»</w:t>
      </w:r>
      <w:r w:rsidRPr="001F0011">
        <w:rPr>
          <w:color w:val="auto"/>
        </w:rPr>
        <w:t>, что на 19 % больше, чем за 2024 год;</w:t>
      </w:r>
    </w:p>
    <w:p w14:paraId="64748E6A" w14:textId="6DA0A9AB" w:rsidR="00426726" w:rsidRPr="001F0011" w:rsidRDefault="00426726" w:rsidP="006B3DF7">
      <w:pPr>
        <w:rPr>
          <w:color w:val="auto"/>
        </w:rPr>
      </w:pPr>
      <w:r w:rsidRPr="001F0011">
        <w:rPr>
          <w:color w:val="auto"/>
        </w:rPr>
        <w:t xml:space="preserve">-  обработано 1 814 электронных документов </w:t>
      </w:r>
      <w:r w:rsidR="006B3DF7">
        <w:rPr>
          <w:color w:val="auto"/>
        </w:rPr>
        <w:t>«</w:t>
      </w:r>
      <w:r w:rsidRPr="001F0011">
        <w:rPr>
          <w:color w:val="auto"/>
        </w:rPr>
        <w:t>Сведения об обязательствах и договоре БУ/АУ</w:t>
      </w:r>
      <w:r w:rsidR="006B3DF7">
        <w:rPr>
          <w:color w:val="auto"/>
        </w:rPr>
        <w:t>»</w:t>
      </w:r>
      <w:r w:rsidRPr="001F0011">
        <w:rPr>
          <w:color w:val="auto"/>
        </w:rPr>
        <w:t>, что на 3,3 % больше, чем за 2024 год;</w:t>
      </w:r>
    </w:p>
    <w:p w14:paraId="66885711" w14:textId="0024CC1A" w:rsidR="00426726" w:rsidRPr="001F0011" w:rsidRDefault="00426726" w:rsidP="006B3DF7">
      <w:pPr>
        <w:rPr>
          <w:color w:val="auto"/>
        </w:rPr>
      </w:pPr>
      <w:r w:rsidRPr="001F0011">
        <w:rPr>
          <w:color w:val="auto"/>
        </w:rPr>
        <w:t xml:space="preserve">- исполнено 41 521 электронных документов </w:t>
      </w:r>
      <w:r w:rsidR="006B3DF7">
        <w:rPr>
          <w:color w:val="auto"/>
        </w:rPr>
        <w:t>«</w:t>
      </w:r>
      <w:r w:rsidRPr="001F0011">
        <w:rPr>
          <w:color w:val="auto"/>
        </w:rPr>
        <w:t>Заявка БУ/АУ на выплату средств</w:t>
      </w:r>
      <w:r w:rsidR="006B3DF7">
        <w:rPr>
          <w:color w:val="auto"/>
        </w:rPr>
        <w:t>»</w:t>
      </w:r>
      <w:r w:rsidRPr="001F0011">
        <w:rPr>
          <w:color w:val="auto"/>
        </w:rPr>
        <w:t>, что на 35,5 % больше, чем за 2024 год.</w:t>
      </w:r>
    </w:p>
    <w:p w14:paraId="178109DC" w14:textId="77777777" w:rsidR="00426726" w:rsidRPr="001F0011" w:rsidRDefault="00426726" w:rsidP="006B3DF7">
      <w:pPr>
        <w:rPr>
          <w:color w:val="auto"/>
        </w:rPr>
      </w:pPr>
      <w:r w:rsidRPr="001F0011">
        <w:rPr>
          <w:color w:val="auto"/>
        </w:rPr>
        <w:t>Таким образом, благодаря казначейскому сопровождению, обеспечен контроль исполнения целевых средств и недопущение нецелевого использования авансовых платежей и субсидий (за исключением субсидий, которые предоставляются в порядке возмещения расходов).</w:t>
      </w:r>
    </w:p>
    <w:p w14:paraId="31E793E7" w14:textId="77777777" w:rsidR="00015E28" w:rsidRPr="00904031" w:rsidRDefault="00015E28" w:rsidP="00015E28">
      <w:pPr>
        <w:ind w:firstLine="567"/>
        <w:rPr>
          <w:color w:val="auto"/>
        </w:rPr>
      </w:pPr>
      <w:r w:rsidRPr="00904031">
        <w:rPr>
          <w:b/>
          <w:bCs/>
          <w:color w:val="auto"/>
        </w:rPr>
        <w:t>Организация электронного документооборота (далее – ЭДО).</w:t>
      </w:r>
    </w:p>
    <w:p w14:paraId="1C21C9B4" w14:textId="77777777" w:rsidR="00015E28" w:rsidRPr="00817661" w:rsidRDefault="00015E28" w:rsidP="00015E28">
      <w:pPr>
        <w:ind w:firstLine="567"/>
        <w:rPr>
          <w:color w:val="auto"/>
        </w:rPr>
      </w:pPr>
      <w:r w:rsidRPr="00817661">
        <w:rPr>
          <w:color w:val="auto"/>
        </w:rPr>
        <w:t>В 2025 году продолжает обеспечиваться работоспособность модуля ЭДО в подсистеме Учет и отчетность Минфина КБР.</w:t>
      </w:r>
    </w:p>
    <w:p w14:paraId="5743CE7D" w14:textId="77777777" w:rsidR="00015E28" w:rsidRPr="00817661" w:rsidRDefault="00015E28" w:rsidP="00015E28">
      <w:pPr>
        <w:ind w:firstLine="567"/>
        <w:rPr>
          <w:color w:val="auto"/>
        </w:rPr>
      </w:pPr>
      <w:r w:rsidRPr="00817661">
        <w:rPr>
          <w:color w:val="auto"/>
        </w:rPr>
        <w:t>Были учтены изменения, в соответствии с Федеральным законом от 04.08.2023 года № 457-ФЗ, согласно которому с 1 сентября 2024 года для сотрудников, работающих с электронными документами, стало обязательным использовать усиленную квалифицированную электронную подпись физического лица и МЧД, подтверждающую полномочия на подписание электронных документов от имени организации. Были разработаны и опубликованы на сайте Минфина КБР соответствующие методические инструкции.</w:t>
      </w:r>
    </w:p>
    <w:p w14:paraId="5F5571EB" w14:textId="77777777" w:rsidR="00015E28" w:rsidRPr="00817661" w:rsidRDefault="00015E28" w:rsidP="00015E28">
      <w:pPr>
        <w:spacing w:line="276" w:lineRule="auto"/>
        <w:ind w:firstLine="567"/>
        <w:rPr>
          <w:color w:val="auto"/>
        </w:rPr>
      </w:pPr>
      <w:r w:rsidRPr="00817661">
        <w:rPr>
          <w:color w:val="auto"/>
        </w:rPr>
        <w:t xml:space="preserve">На текущий момент практически все поставщики предоставляют заказчикам документы о приемке товара исключительно в электронном виде посредством сервисов ЭДО ФНС России и ЭДО ЕИС. </w:t>
      </w:r>
    </w:p>
    <w:p w14:paraId="6C001C69" w14:textId="77777777" w:rsidR="00015E28" w:rsidRPr="00817661" w:rsidRDefault="00015E28" w:rsidP="00015E28">
      <w:pPr>
        <w:spacing w:line="276" w:lineRule="auto"/>
        <w:rPr>
          <w:color w:val="auto"/>
        </w:rPr>
      </w:pPr>
      <w:r w:rsidRPr="00817661">
        <w:rPr>
          <w:color w:val="auto"/>
        </w:rPr>
        <w:t xml:space="preserve">Успешно используется импорт электронных документов из ЕИС в сфере закупок в подсистему «Учет и отчетность» интегрированной информационной системы управления общественными финансами Кабардино-Балкарской Республики, что позволяет </w:t>
      </w:r>
      <w:r w:rsidRPr="00817661">
        <w:rPr>
          <w:color w:val="auto"/>
          <w:shd w:val="clear" w:color="auto" w:fill="FFFFFF"/>
        </w:rPr>
        <w:t xml:space="preserve">ускорить процесс оформления платежных документов и повышает скорость осуществления расчетов с поставщиками. </w:t>
      </w:r>
    </w:p>
    <w:p w14:paraId="5B4ED264" w14:textId="77777777" w:rsidR="00015E28" w:rsidRPr="00817661" w:rsidRDefault="00015E28" w:rsidP="00015E28">
      <w:pPr>
        <w:spacing w:line="276" w:lineRule="auto"/>
        <w:rPr>
          <w:color w:val="auto"/>
        </w:rPr>
      </w:pPr>
      <w:r w:rsidRPr="00817661">
        <w:rPr>
          <w:color w:val="auto"/>
        </w:rPr>
        <w:t>Использование ЭДО позволяет обеспечить оперативное получение счетов на оплату и своевременную оплату за коммунальные услуги в полном объеме.</w:t>
      </w:r>
    </w:p>
    <w:p w14:paraId="79EA360B" w14:textId="77777777" w:rsidR="00015E28" w:rsidRPr="00817661" w:rsidRDefault="00015E28" w:rsidP="00015E28">
      <w:pPr>
        <w:spacing w:line="276" w:lineRule="auto"/>
        <w:rPr>
          <w:color w:val="auto"/>
        </w:rPr>
      </w:pPr>
      <w:r w:rsidRPr="00817661">
        <w:rPr>
          <w:color w:val="auto"/>
        </w:rPr>
        <w:t xml:space="preserve">Также во исполнение подпункта «б» пункта 2 протокола от 27.09.2023 года </w:t>
      </w:r>
      <w:r w:rsidRPr="00817661">
        <w:rPr>
          <w:color w:val="auto"/>
        </w:rPr>
        <w:br/>
        <w:t xml:space="preserve">№ А73-п-42вн, ООО «Газпром </w:t>
      </w:r>
      <w:proofErr w:type="spellStart"/>
      <w:r w:rsidRPr="00817661">
        <w:rPr>
          <w:color w:val="auto"/>
        </w:rPr>
        <w:t>межрегионгаз</w:t>
      </w:r>
      <w:proofErr w:type="spellEnd"/>
      <w:r w:rsidRPr="00817661">
        <w:rPr>
          <w:color w:val="auto"/>
        </w:rPr>
        <w:t>» и ПАО «</w:t>
      </w:r>
      <w:proofErr w:type="spellStart"/>
      <w:r w:rsidRPr="00817661">
        <w:rPr>
          <w:color w:val="auto"/>
        </w:rPr>
        <w:t>Россети</w:t>
      </w:r>
      <w:proofErr w:type="spellEnd"/>
      <w:r w:rsidRPr="00817661">
        <w:rPr>
          <w:color w:val="auto"/>
        </w:rPr>
        <w:t xml:space="preserve"> Северный Кавказ» обеспечивают ежемесячно проведение сверки взаимных расчетов с потребителями, финансируемыми за счет средств бюджетов субъектов округа и муниципальных бюджетов, посредством направления актов сверки взаимных расчетов посредством сервиса ЭДО.</w:t>
      </w:r>
    </w:p>
    <w:p w14:paraId="056AB77B" w14:textId="77777777" w:rsidR="00015E28" w:rsidRDefault="00015E28" w:rsidP="00015E28">
      <w:pPr>
        <w:spacing w:line="276" w:lineRule="auto"/>
        <w:rPr>
          <w:b/>
          <w:bCs/>
          <w:color w:val="auto"/>
        </w:rPr>
      </w:pPr>
      <w:r w:rsidRPr="003903C7">
        <w:rPr>
          <w:b/>
          <w:bCs/>
          <w:color w:val="auto"/>
        </w:rPr>
        <w:t>Организация взаимодействия с Государственной информационной системой о государственных и муниципальных платежах</w:t>
      </w:r>
      <w:r>
        <w:rPr>
          <w:b/>
          <w:bCs/>
          <w:color w:val="auto"/>
        </w:rPr>
        <w:t xml:space="preserve"> (ГИС ГМП)</w:t>
      </w:r>
      <w:r w:rsidRPr="003903C7">
        <w:rPr>
          <w:b/>
          <w:bCs/>
          <w:color w:val="auto"/>
        </w:rPr>
        <w:t>.</w:t>
      </w:r>
    </w:p>
    <w:p w14:paraId="6A0DA5C6" w14:textId="77777777" w:rsidR="00015E28" w:rsidRDefault="00015E28" w:rsidP="00015E28">
      <w:pPr>
        <w:spacing w:line="276" w:lineRule="auto"/>
        <w:rPr>
          <w:color w:val="auto"/>
        </w:rPr>
      </w:pPr>
      <w:r w:rsidRPr="00076756">
        <w:rPr>
          <w:color w:val="auto"/>
        </w:rPr>
        <w:t>ГИС ГМП представляет собой централизованную систему, обеспечивающую прием, учет и передачу информации между ее участниками, которыми являются администраторы доходов бюджета, организации по приему платежей, порталы, многофункциональные центры, взаимодействие которых с ГИС ГМП производится через систему межведомственного электронного взаимодействия</w:t>
      </w:r>
      <w:r>
        <w:rPr>
          <w:color w:val="auto"/>
        </w:rPr>
        <w:t xml:space="preserve"> (СМЭВ)</w:t>
      </w:r>
      <w:r w:rsidRPr="00076756">
        <w:rPr>
          <w:color w:val="auto"/>
        </w:rPr>
        <w:t xml:space="preserve">. </w:t>
      </w:r>
    </w:p>
    <w:p w14:paraId="289D90B2" w14:textId="77777777" w:rsidR="00015E28" w:rsidRPr="00076756" w:rsidRDefault="00015E28" w:rsidP="00015E28">
      <w:pPr>
        <w:spacing w:line="276" w:lineRule="auto"/>
        <w:rPr>
          <w:color w:val="auto"/>
        </w:rPr>
      </w:pPr>
      <w:r w:rsidRPr="00076756">
        <w:rPr>
          <w:color w:val="auto"/>
        </w:rPr>
        <w:t>ГИС ГМП позволяет физическим и юридическим лицам получить информацию о своих обязательствах перед бюджетами бюджетной системы Российской Федерации по принципу «единого окна».</w:t>
      </w:r>
    </w:p>
    <w:p w14:paraId="3FC4C87E" w14:textId="77777777" w:rsidR="00015E28" w:rsidRPr="003903C7" w:rsidRDefault="00015E28" w:rsidP="00015E28">
      <w:pPr>
        <w:spacing w:line="276" w:lineRule="auto"/>
        <w:rPr>
          <w:color w:val="auto"/>
        </w:rPr>
      </w:pPr>
      <w:r w:rsidRPr="003903C7">
        <w:rPr>
          <w:color w:val="auto"/>
        </w:rPr>
        <w:t>Администраторы доходов бюджета, в соответствии с пунктом 5 статьи 21.3 Федерального Закона от 27.07.2010 года № 210-ФЗ «Об организации предоставления государственных и муниципальных услуг», обязаны незамедлительно направлять информацию, необходимую для уплаты всех платежей в Государственную информационную систему о государственных и муниципальных платежах (далее - ГИС ГМП).</w:t>
      </w:r>
    </w:p>
    <w:p w14:paraId="7B4C5CB7" w14:textId="77777777" w:rsidR="00015E28" w:rsidRPr="00A27BD5" w:rsidRDefault="00015E28" w:rsidP="00015E28">
      <w:pPr>
        <w:spacing w:line="276" w:lineRule="auto"/>
        <w:rPr>
          <w:color w:val="auto"/>
        </w:rPr>
      </w:pPr>
      <w:r w:rsidRPr="003903C7">
        <w:rPr>
          <w:color w:val="auto"/>
        </w:rPr>
        <w:t>Отделом методологического обеспечения бюджетного учета проведена работа по регистрации администраторов доходов в качестве главных администраторов начислений (далее – ГАН)</w:t>
      </w:r>
      <w:r>
        <w:rPr>
          <w:color w:val="auto"/>
        </w:rPr>
        <w:t xml:space="preserve">. </w:t>
      </w:r>
      <w:r w:rsidRPr="003903C7">
        <w:rPr>
          <w:color w:val="auto"/>
        </w:rPr>
        <w:t>Было зарегистрировано 1</w:t>
      </w:r>
      <w:r w:rsidRPr="00A27BD5">
        <w:rPr>
          <w:color w:val="auto"/>
        </w:rPr>
        <w:t>6</w:t>
      </w:r>
      <w:r w:rsidRPr="003903C7">
        <w:rPr>
          <w:color w:val="auto"/>
        </w:rPr>
        <w:t xml:space="preserve"> ГАН </w:t>
      </w:r>
      <w:r>
        <w:rPr>
          <w:color w:val="auto"/>
        </w:rPr>
        <w:t xml:space="preserve">в муниципальных районах и городских округах КБР </w:t>
      </w:r>
      <w:r w:rsidRPr="003903C7">
        <w:rPr>
          <w:color w:val="auto"/>
        </w:rPr>
        <w:t>для обеспечения взаимодействия с ГИС ГМП косвенных участников</w:t>
      </w:r>
      <w:r w:rsidRPr="00A27BD5">
        <w:rPr>
          <w:color w:val="auto"/>
        </w:rPr>
        <w:t>.</w:t>
      </w:r>
    </w:p>
    <w:p w14:paraId="0F2027F2" w14:textId="77777777" w:rsidR="006933E4" w:rsidRPr="006933E4" w:rsidRDefault="006933E4" w:rsidP="006933E4">
      <w:pPr>
        <w:spacing w:line="276" w:lineRule="auto"/>
        <w:rPr>
          <w:color w:val="auto"/>
        </w:rPr>
      </w:pPr>
      <w:r w:rsidRPr="006933E4">
        <w:rPr>
          <w:color w:val="auto"/>
        </w:rPr>
        <w:t>В каждом муниципальном районе и городском округе КБР были определены уполномоченные лица от каждого ГАН, вместе с ними создана рабочая группа в мессенджере сервиса «Среда» для оперативного обмена информацией, а также решения вопросов, возникающих у подведомственных косвенных участников и доведения до них инструктивных материалов.</w:t>
      </w:r>
    </w:p>
    <w:p w14:paraId="4C2E9E5A" w14:textId="77777777" w:rsidR="00015E28" w:rsidRPr="00970479" w:rsidRDefault="00015E28" w:rsidP="00015E28">
      <w:pPr>
        <w:spacing w:line="276" w:lineRule="auto"/>
        <w:rPr>
          <w:color w:val="auto"/>
        </w:rPr>
      </w:pPr>
      <w:r>
        <w:rPr>
          <w:color w:val="auto"/>
        </w:rPr>
        <w:t xml:space="preserve">В </w:t>
      </w:r>
      <w:proofErr w:type="spellStart"/>
      <w:r>
        <w:rPr>
          <w:color w:val="auto"/>
        </w:rPr>
        <w:t>Черекском</w:t>
      </w:r>
      <w:proofErr w:type="spellEnd"/>
      <w:r>
        <w:rPr>
          <w:color w:val="auto"/>
        </w:rPr>
        <w:t xml:space="preserve"> и </w:t>
      </w:r>
      <w:proofErr w:type="spellStart"/>
      <w:r>
        <w:rPr>
          <w:color w:val="auto"/>
        </w:rPr>
        <w:t>Баксанском</w:t>
      </w:r>
      <w:proofErr w:type="spellEnd"/>
      <w:r>
        <w:rPr>
          <w:color w:val="auto"/>
        </w:rPr>
        <w:t xml:space="preserve"> муниципальных районах дополнительно были проведены </w:t>
      </w:r>
      <w:r w:rsidRPr="005A4BED">
        <w:rPr>
          <w:color w:val="auto"/>
        </w:rPr>
        <w:t>обучающи</w:t>
      </w:r>
      <w:r>
        <w:rPr>
          <w:color w:val="auto"/>
        </w:rPr>
        <w:t>е</w:t>
      </w:r>
      <w:r w:rsidRPr="005A4BED">
        <w:rPr>
          <w:color w:val="auto"/>
        </w:rPr>
        <w:t xml:space="preserve"> семинар</w:t>
      </w:r>
      <w:r>
        <w:rPr>
          <w:color w:val="auto"/>
        </w:rPr>
        <w:t>ы</w:t>
      </w:r>
      <w:r w:rsidRPr="005A4BED">
        <w:rPr>
          <w:color w:val="auto"/>
        </w:rPr>
        <w:t xml:space="preserve"> по ведению учета расчетов по родительской плате.</w:t>
      </w:r>
      <w:r w:rsidRPr="005A4BED">
        <w:rPr>
          <w:color w:val="auto"/>
        </w:rPr>
        <w:br/>
      </w:r>
      <w:r>
        <w:rPr>
          <w:color w:val="auto"/>
        </w:rPr>
        <w:t>Были рассмотрены</w:t>
      </w:r>
      <w:r w:rsidRPr="005A4BED">
        <w:rPr>
          <w:color w:val="auto"/>
        </w:rPr>
        <w:t xml:space="preserve"> ключевые моменты по начислению родительской платы в программе </w:t>
      </w:r>
      <w:r>
        <w:rPr>
          <w:color w:val="auto"/>
        </w:rPr>
        <w:t>«</w:t>
      </w:r>
      <w:r w:rsidRPr="005A4BED">
        <w:rPr>
          <w:color w:val="auto"/>
        </w:rPr>
        <w:t>1С:Бухгалтерия государственного учреждения</w:t>
      </w:r>
      <w:r>
        <w:rPr>
          <w:color w:val="auto"/>
        </w:rPr>
        <w:t>»</w:t>
      </w:r>
      <w:r w:rsidRPr="005A4BED">
        <w:rPr>
          <w:color w:val="auto"/>
        </w:rPr>
        <w:t xml:space="preserve"> и отражению соответствующих операций в учете</w:t>
      </w:r>
      <w:r>
        <w:rPr>
          <w:color w:val="auto"/>
        </w:rPr>
        <w:t>.</w:t>
      </w:r>
    </w:p>
    <w:p w14:paraId="337DC2C1" w14:textId="77777777" w:rsidR="00015E28" w:rsidRDefault="00015E28" w:rsidP="00015E28">
      <w:pPr>
        <w:spacing w:line="276" w:lineRule="auto"/>
        <w:rPr>
          <w:color w:val="auto"/>
        </w:rPr>
      </w:pPr>
      <w:r w:rsidRPr="00970479">
        <w:rPr>
          <w:color w:val="auto"/>
        </w:rPr>
        <w:t xml:space="preserve">Помимо методических </w:t>
      </w:r>
      <w:r>
        <w:rPr>
          <w:color w:val="auto"/>
        </w:rPr>
        <w:t xml:space="preserve">рекомендаций </w:t>
      </w:r>
      <w:r w:rsidRPr="00970479">
        <w:rPr>
          <w:color w:val="auto"/>
        </w:rPr>
        <w:t xml:space="preserve">в части ГИС ГМП, на сайте Министерства финансов КБР ежемесячно размещается актуальный рейтинг, </w:t>
      </w:r>
      <w:r w:rsidRPr="00970479">
        <w:rPr>
          <w:rFonts w:eastAsia="Trebuchet MS"/>
          <w:color w:val="auto"/>
        </w:rPr>
        <w:t>отражающий взаимодействие с ГИС ГМП органов исполнительной власти, органов местного самоуправления, государственных и муниципальных казенных учреждений КБР</w:t>
      </w:r>
      <w:r w:rsidRPr="00970479">
        <w:rPr>
          <w:color w:val="auto"/>
        </w:rPr>
        <w:t>, для обеспечения оперативного доступа и повышения осведомленности всех заинтересованных лиц.</w:t>
      </w:r>
    </w:p>
    <w:p w14:paraId="7AA53AB4" w14:textId="77777777" w:rsidR="00015E28" w:rsidRPr="00CF5D5C" w:rsidRDefault="00015E28" w:rsidP="00015E28">
      <w:pPr>
        <w:spacing w:line="276" w:lineRule="auto"/>
        <w:rPr>
          <w:color w:val="auto"/>
        </w:rPr>
      </w:pPr>
      <w:r w:rsidRPr="00CF5D5C">
        <w:rPr>
          <w:color w:val="auto"/>
        </w:rPr>
        <w:t xml:space="preserve">Так, количество начислений, выгруженных </w:t>
      </w:r>
      <w:r>
        <w:rPr>
          <w:color w:val="auto"/>
        </w:rPr>
        <w:t xml:space="preserve">государственными и муниципальными учреждениями </w:t>
      </w:r>
      <w:r w:rsidRPr="00CF5D5C">
        <w:rPr>
          <w:color w:val="auto"/>
        </w:rPr>
        <w:t>в ГИС ГМП за 2025 год</w:t>
      </w:r>
      <w:r>
        <w:rPr>
          <w:color w:val="auto"/>
        </w:rPr>
        <w:t>,</w:t>
      </w:r>
      <w:r w:rsidRPr="00CF5D5C">
        <w:rPr>
          <w:color w:val="auto"/>
        </w:rPr>
        <w:t xml:space="preserve"> составило 557 532, что на 38</w:t>
      </w:r>
      <w:r>
        <w:rPr>
          <w:color w:val="auto"/>
        </w:rPr>
        <w:t>%</w:t>
      </w:r>
      <w:r w:rsidRPr="00CF5D5C">
        <w:rPr>
          <w:color w:val="auto"/>
        </w:rPr>
        <w:t xml:space="preserve"> больше, чем за 2024 год</w:t>
      </w:r>
      <w:r>
        <w:rPr>
          <w:color w:val="auto"/>
        </w:rPr>
        <w:t xml:space="preserve"> и на 88% больше, чем за 2023 год.</w:t>
      </w:r>
    </w:p>
    <w:p w14:paraId="2FCA0E5E" w14:textId="77777777" w:rsidR="00015E28" w:rsidRPr="003E08A4" w:rsidRDefault="00015E28" w:rsidP="00015E28">
      <w:pPr>
        <w:spacing w:line="276" w:lineRule="auto"/>
        <w:rPr>
          <w:color w:val="auto"/>
        </w:rPr>
      </w:pPr>
      <w:r>
        <w:rPr>
          <w:color w:val="auto"/>
        </w:rPr>
        <w:t>Благодаря активной работе с администраторами начислений, в</w:t>
      </w:r>
      <w:r w:rsidRPr="003E08A4">
        <w:rPr>
          <w:color w:val="auto"/>
        </w:rPr>
        <w:t xml:space="preserve"> 2024 году Кабардино-Балкарская Республика впервые вошла </w:t>
      </w:r>
      <w:r>
        <w:rPr>
          <w:color w:val="auto"/>
        </w:rPr>
        <w:t xml:space="preserve">и остается на текущий момент </w:t>
      </w:r>
      <w:r w:rsidRPr="003E08A4">
        <w:rPr>
          <w:color w:val="auto"/>
        </w:rPr>
        <w:t>в так называем</w:t>
      </w:r>
      <w:r>
        <w:rPr>
          <w:color w:val="auto"/>
        </w:rPr>
        <w:t>ой</w:t>
      </w:r>
      <w:r w:rsidRPr="003E08A4">
        <w:rPr>
          <w:color w:val="auto"/>
        </w:rPr>
        <w:t xml:space="preserve"> «зелен</w:t>
      </w:r>
      <w:r>
        <w:rPr>
          <w:color w:val="auto"/>
        </w:rPr>
        <w:t>ой</w:t>
      </w:r>
      <w:r w:rsidRPr="003E08A4">
        <w:rPr>
          <w:color w:val="auto"/>
        </w:rPr>
        <w:t xml:space="preserve"> зон</w:t>
      </w:r>
      <w:r>
        <w:rPr>
          <w:color w:val="auto"/>
        </w:rPr>
        <w:t>е</w:t>
      </w:r>
      <w:r w:rsidRPr="003E08A4">
        <w:rPr>
          <w:color w:val="auto"/>
        </w:rPr>
        <w:t>» рейтинга взаимодействия с ГИС ГМ</w:t>
      </w:r>
      <w:r>
        <w:rPr>
          <w:color w:val="auto"/>
        </w:rPr>
        <w:t>П</w:t>
      </w:r>
      <w:r w:rsidRPr="003E08A4">
        <w:rPr>
          <w:color w:val="auto"/>
        </w:rPr>
        <w:t>.</w:t>
      </w:r>
    </w:p>
    <w:p w14:paraId="7595F31A" w14:textId="77777777" w:rsidR="00015E28" w:rsidRDefault="00015E28" w:rsidP="00015E28">
      <w:pPr>
        <w:spacing w:line="276" w:lineRule="auto"/>
        <w:rPr>
          <w:color w:val="auto"/>
        </w:rPr>
      </w:pPr>
      <w:r w:rsidRPr="009B2CD4">
        <w:rPr>
          <w:color w:val="auto"/>
        </w:rPr>
        <w:t xml:space="preserve">На 1 января 2026 года Кабардино-Балкарская Республика заняла 29 место </w:t>
      </w:r>
      <w:proofErr w:type="gramStart"/>
      <w:r w:rsidRPr="009B2CD4">
        <w:rPr>
          <w:color w:val="auto"/>
        </w:rPr>
        <w:t>среди  89</w:t>
      </w:r>
      <w:proofErr w:type="gramEnd"/>
      <w:r w:rsidRPr="009B2CD4">
        <w:rPr>
          <w:color w:val="auto"/>
        </w:rPr>
        <w:t xml:space="preserve"> субъектов РФ и 1 место в СКФО, рейтинг взаимодействия с ГИС ГМП составил 94,81%. </w:t>
      </w:r>
    </w:p>
    <w:p w14:paraId="149C2D2D" w14:textId="77777777" w:rsidR="00015E28" w:rsidRPr="00C04564" w:rsidRDefault="00015E28" w:rsidP="00015E28">
      <w:pPr>
        <w:spacing w:line="276" w:lineRule="auto"/>
        <w:rPr>
          <w:rFonts w:eastAsia="Trebuchet MS"/>
          <w:color w:val="auto"/>
        </w:rPr>
      </w:pPr>
      <w:r>
        <w:rPr>
          <w:color w:val="auto"/>
        </w:rPr>
        <w:t xml:space="preserve">На 1 января 2025 года КБР находилась на </w:t>
      </w:r>
      <w:r w:rsidRPr="009B2CD4">
        <w:rPr>
          <w:rFonts w:eastAsia="Trebuchet MS"/>
          <w:color w:val="auto"/>
        </w:rPr>
        <w:t>31 месте</w:t>
      </w:r>
      <w:r>
        <w:rPr>
          <w:rFonts w:eastAsia="Trebuchet MS"/>
          <w:color w:val="auto"/>
        </w:rPr>
        <w:t xml:space="preserve"> среди субъектов РФ</w:t>
      </w:r>
      <w:r w:rsidRPr="009B2CD4">
        <w:rPr>
          <w:rFonts w:eastAsia="Trebuchet MS"/>
          <w:color w:val="auto"/>
        </w:rPr>
        <w:t xml:space="preserve"> </w:t>
      </w:r>
      <w:r>
        <w:rPr>
          <w:rFonts w:eastAsia="Trebuchet MS"/>
          <w:color w:val="auto"/>
        </w:rPr>
        <w:t xml:space="preserve">с рейтингом </w:t>
      </w:r>
      <w:r w:rsidRPr="009B2CD4">
        <w:rPr>
          <w:rFonts w:eastAsia="Trebuchet MS"/>
          <w:color w:val="auto"/>
        </w:rPr>
        <w:t>91,19%</w:t>
      </w:r>
      <w:r>
        <w:rPr>
          <w:rFonts w:eastAsia="Trebuchet MS"/>
          <w:color w:val="auto"/>
        </w:rPr>
        <w:t>, уступив одну позицию Ставропольскому краю в СКФО.</w:t>
      </w:r>
    </w:p>
    <w:p w14:paraId="467DCD39" w14:textId="77777777" w:rsidR="00015E28" w:rsidRDefault="00015E28" w:rsidP="00015E28">
      <w:pPr>
        <w:spacing w:line="276" w:lineRule="auto"/>
        <w:rPr>
          <w:color w:val="auto"/>
        </w:rPr>
      </w:pPr>
      <w:r w:rsidRPr="00C04564">
        <w:rPr>
          <w:color w:val="auto"/>
        </w:rPr>
        <w:t>Для сравнения</w:t>
      </w:r>
      <w:r>
        <w:rPr>
          <w:color w:val="auto"/>
        </w:rPr>
        <w:t>,</w:t>
      </w:r>
      <w:r w:rsidRPr="00C04564">
        <w:rPr>
          <w:color w:val="auto"/>
        </w:rPr>
        <w:t xml:space="preserve"> в январе 2024 года КБР находилась на 83 месте с рейтингом 5,52%.</w:t>
      </w:r>
    </w:p>
    <w:p w14:paraId="6336CE2F" w14:textId="0B8529F2" w:rsidR="00015E28" w:rsidRDefault="00015E28" w:rsidP="00015E28">
      <w:pPr>
        <w:spacing w:line="276" w:lineRule="auto"/>
        <w:rPr>
          <w:color w:val="auto"/>
        </w:rPr>
      </w:pPr>
      <w:r>
        <w:rPr>
          <w:color w:val="auto"/>
        </w:rPr>
        <w:t xml:space="preserve">При этом в 2025 году администраторов начислений стало на 79 больше, чем </w:t>
      </w:r>
      <w:r w:rsidR="001F7923">
        <w:rPr>
          <w:color w:val="auto"/>
        </w:rPr>
        <w:br/>
      </w:r>
      <w:r>
        <w:rPr>
          <w:color w:val="auto"/>
        </w:rPr>
        <w:t>в 2024 году.</w:t>
      </w:r>
      <w:r w:rsidRPr="00C04564">
        <w:rPr>
          <w:color w:val="auto"/>
        </w:rPr>
        <w:t xml:space="preserve">     </w:t>
      </w:r>
    </w:p>
    <w:p w14:paraId="4890D00B" w14:textId="77777777" w:rsidR="00015E28" w:rsidRPr="00C97047" w:rsidRDefault="00015E28" w:rsidP="00015E28">
      <w:pPr>
        <w:spacing w:line="276" w:lineRule="auto"/>
        <w:rPr>
          <w:rFonts w:eastAsia="Trebuchet MS"/>
          <w:color w:val="auto"/>
        </w:rPr>
      </w:pPr>
      <w:r w:rsidRPr="00C97047">
        <w:rPr>
          <w:rFonts w:eastAsia="Trebuchet MS"/>
          <w:color w:val="auto"/>
        </w:rPr>
        <w:t xml:space="preserve">В 2026 году планируется </w:t>
      </w:r>
      <w:r>
        <w:rPr>
          <w:rFonts w:eastAsia="Trebuchet MS"/>
          <w:color w:val="auto"/>
        </w:rPr>
        <w:t>осуществить</w:t>
      </w:r>
      <w:r w:rsidRPr="00C97047">
        <w:rPr>
          <w:rFonts w:eastAsia="Trebuchet MS"/>
          <w:color w:val="auto"/>
        </w:rPr>
        <w:t xml:space="preserve"> регистрацию в ГИС ГМП </w:t>
      </w:r>
      <w:r>
        <w:rPr>
          <w:rFonts w:eastAsia="Trebuchet MS"/>
          <w:color w:val="auto"/>
        </w:rPr>
        <w:t xml:space="preserve">всех государственных и муниципальных учреждений КБР в </w:t>
      </w:r>
      <w:r w:rsidRPr="00C97047">
        <w:rPr>
          <w:rFonts w:eastAsia="Trebuchet MS"/>
          <w:color w:val="auto"/>
        </w:rPr>
        <w:t xml:space="preserve">качестве косвенных участников. </w:t>
      </w:r>
      <w:r w:rsidRPr="00C97047">
        <w:rPr>
          <w:color w:val="auto"/>
        </w:rPr>
        <w:t xml:space="preserve">                                      </w:t>
      </w:r>
    </w:p>
    <w:p w14:paraId="768A1035" w14:textId="77777777" w:rsidR="00015E28" w:rsidRDefault="00015E28" w:rsidP="00015E28">
      <w:pPr>
        <w:spacing w:line="276" w:lineRule="auto"/>
        <w:rPr>
          <w:rFonts w:eastAsia="Trebuchet MS"/>
          <w:color w:val="auto"/>
        </w:rPr>
        <w:sectPr w:rsidR="00015E28" w:rsidSect="003120DC">
          <w:headerReference w:type="default" r:id="rId17"/>
          <w:headerReference w:type="first" r:id="rId18"/>
          <w:pgSz w:w="11906" w:h="16838"/>
          <w:pgMar w:top="-993" w:right="707" w:bottom="851" w:left="709" w:header="708" w:footer="708" w:gutter="0"/>
          <w:pgBorders w:offsetFrom="page">
            <w:top w:val="thickThinMediumGap" w:sz="24" w:space="24" w:color="568D11" w:themeColor="accent3" w:themeShade="80"/>
            <w:left w:val="thickThinMediumGap" w:sz="24" w:space="24" w:color="568D11" w:themeColor="accent3" w:themeShade="80"/>
            <w:bottom w:val="thickThinMediumGap" w:sz="24" w:space="24" w:color="568D11" w:themeColor="accent3" w:themeShade="80"/>
            <w:right w:val="thickThinMediumGap" w:sz="24" w:space="24" w:color="568D11" w:themeColor="accent3" w:themeShade="80"/>
          </w:pgBorders>
          <w:pgNumType w:start="0"/>
          <w:cols w:space="708"/>
          <w:titlePg/>
          <w:docGrid w:linePitch="381"/>
        </w:sectPr>
      </w:pPr>
      <w:r w:rsidRPr="00C97047">
        <w:rPr>
          <w:rFonts w:eastAsia="Trebuchet MS"/>
          <w:color w:val="auto"/>
        </w:rPr>
        <w:t>Также будет продолжаться работа по повышению рейтинга</w:t>
      </w:r>
      <w:r>
        <w:rPr>
          <w:rFonts w:eastAsia="Trebuchet MS"/>
          <w:color w:val="auto"/>
        </w:rPr>
        <w:t>.</w:t>
      </w:r>
    </w:p>
    <w:tbl>
      <w:tblPr>
        <w:tblW w:w="14995" w:type="dxa"/>
        <w:tblLayout w:type="fixed"/>
        <w:tblLook w:val="04A0" w:firstRow="1" w:lastRow="0" w:firstColumn="1" w:lastColumn="0" w:noHBand="0" w:noVBand="1"/>
      </w:tblPr>
      <w:tblGrid>
        <w:gridCol w:w="1362"/>
        <w:gridCol w:w="1676"/>
        <w:gridCol w:w="1442"/>
        <w:gridCol w:w="1974"/>
        <w:gridCol w:w="1472"/>
        <w:gridCol w:w="1691"/>
        <w:gridCol w:w="1582"/>
        <w:gridCol w:w="1275"/>
        <w:gridCol w:w="567"/>
        <w:gridCol w:w="1954"/>
      </w:tblGrid>
      <w:tr w:rsidR="006933E4" w:rsidRPr="006933E4" w14:paraId="17D97C04" w14:textId="77777777" w:rsidTr="006933E4">
        <w:trPr>
          <w:trHeight w:val="375"/>
        </w:trPr>
        <w:tc>
          <w:tcPr>
            <w:tcW w:w="14995" w:type="dxa"/>
            <w:gridSpan w:val="10"/>
            <w:tcBorders>
              <w:top w:val="nil"/>
              <w:left w:val="nil"/>
              <w:bottom w:val="nil"/>
              <w:right w:val="nil"/>
            </w:tcBorders>
            <w:shd w:val="clear" w:color="auto" w:fill="auto"/>
            <w:noWrap/>
            <w:vAlign w:val="center"/>
            <w:hideMark/>
          </w:tcPr>
          <w:p w14:paraId="05C5FF22" w14:textId="77777777" w:rsidR="006933E4" w:rsidRPr="006933E4" w:rsidRDefault="006933E4" w:rsidP="008B3339">
            <w:pPr>
              <w:widowControl/>
              <w:ind w:firstLine="0"/>
              <w:jc w:val="center"/>
              <w:rPr>
                <w:b/>
                <w:bCs/>
                <w:color w:val="000000"/>
                <w:sz w:val="22"/>
                <w:szCs w:val="22"/>
                <w:lang w:eastAsia="ru-RU"/>
              </w:rPr>
            </w:pPr>
            <w:bookmarkStart w:id="107" w:name="RANGE!A1:J21"/>
            <w:r w:rsidRPr="006933E4">
              <w:rPr>
                <w:b/>
                <w:bCs/>
                <w:color w:val="000000"/>
                <w:sz w:val="22"/>
                <w:szCs w:val="22"/>
                <w:lang w:eastAsia="ru-RU"/>
              </w:rPr>
              <w:t>Итоги работы администраторов начислений (АН) КБР с ГИС ГМП</w:t>
            </w:r>
            <w:bookmarkEnd w:id="107"/>
            <w:r w:rsidRPr="006933E4">
              <w:rPr>
                <w:b/>
                <w:bCs/>
                <w:color w:val="000000"/>
                <w:sz w:val="22"/>
                <w:szCs w:val="22"/>
                <w:lang w:eastAsia="ru-RU"/>
              </w:rPr>
              <w:t xml:space="preserve"> в соответствии с рейтингами взаимодействия субъектов РФ, предоставляемых ФК</w:t>
            </w:r>
          </w:p>
        </w:tc>
      </w:tr>
      <w:tr w:rsidR="006933E4" w:rsidRPr="006933E4" w14:paraId="5DF03BD4" w14:textId="77777777" w:rsidTr="006933E4">
        <w:trPr>
          <w:trHeight w:val="315"/>
        </w:trPr>
        <w:tc>
          <w:tcPr>
            <w:tcW w:w="1362" w:type="dxa"/>
            <w:tcBorders>
              <w:top w:val="nil"/>
              <w:left w:val="nil"/>
              <w:bottom w:val="nil"/>
              <w:right w:val="nil"/>
            </w:tcBorders>
            <w:shd w:val="clear" w:color="auto" w:fill="auto"/>
            <w:noWrap/>
            <w:vAlign w:val="center"/>
            <w:hideMark/>
          </w:tcPr>
          <w:p w14:paraId="0D7775EE" w14:textId="77777777" w:rsidR="006933E4" w:rsidRPr="006933E4" w:rsidRDefault="006933E4" w:rsidP="008B3339">
            <w:pPr>
              <w:widowControl/>
              <w:ind w:firstLine="0"/>
              <w:jc w:val="center"/>
              <w:rPr>
                <w:b/>
                <w:bCs/>
                <w:color w:val="000000"/>
                <w:lang w:eastAsia="ru-RU"/>
              </w:rPr>
            </w:pPr>
          </w:p>
        </w:tc>
        <w:tc>
          <w:tcPr>
            <w:tcW w:w="1676" w:type="dxa"/>
            <w:tcBorders>
              <w:top w:val="nil"/>
              <w:left w:val="nil"/>
              <w:bottom w:val="nil"/>
              <w:right w:val="nil"/>
            </w:tcBorders>
            <w:shd w:val="clear" w:color="auto" w:fill="auto"/>
            <w:noWrap/>
            <w:vAlign w:val="center"/>
            <w:hideMark/>
          </w:tcPr>
          <w:p w14:paraId="3AF3E216" w14:textId="77777777" w:rsidR="006933E4" w:rsidRPr="006933E4" w:rsidRDefault="006933E4" w:rsidP="008B3339">
            <w:pPr>
              <w:widowControl/>
              <w:ind w:firstLine="0"/>
              <w:jc w:val="center"/>
              <w:rPr>
                <w:color w:val="auto"/>
                <w:sz w:val="20"/>
                <w:szCs w:val="20"/>
                <w:lang w:eastAsia="ru-RU"/>
              </w:rPr>
            </w:pPr>
          </w:p>
        </w:tc>
        <w:tc>
          <w:tcPr>
            <w:tcW w:w="1442" w:type="dxa"/>
            <w:tcBorders>
              <w:top w:val="nil"/>
              <w:left w:val="nil"/>
              <w:bottom w:val="nil"/>
              <w:right w:val="nil"/>
            </w:tcBorders>
            <w:shd w:val="clear" w:color="auto" w:fill="auto"/>
            <w:noWrap/>
            <w:vAlign w:val="center"/>
            <w:hideMark/>
          </w:tcPr>
          <w:p w14:paraId="3935296E" w14:textId="77777777" w:rsidR="006933E4" w:rsidRPr="006933E4" w:rsidRDefault="006933E4" w:rsidP="008B3339">
            <w:pPr>
              <w:widowControl/>
              <w:ind w:firstLine="0"/>
              <w:jc w:val="center"/>
              <w:rPr>
                <w:color w:val="auto"/>
                <w:sz w:val="20"/>
                <w:szCs w:val="20"/>
                <w:lang w:eastAsia="ru-RU"/>
              </w:rPr>
            </w:pPr>
          </w:p>
        </w:tc>
        <w:tc>
          <w:tcPr>
            <w:tcW w:w="1974" w:type="dxa"/>
            <w:tcBorders>
              <w:top w:val="nil"/>
              <w:left w:val="nil"/>
              <w:bottom w:val="nil"/>
              <w:right w:val="nil"/>
            </w:tcBorders>
            <w:shd w:val="clear" w:color="auto" w:fill="auto"/>
            <w:noWrap/>
            <w:vAlign w:val="center"/>
            <w:hideMark/>
          </w:tcPr>
          <w:p w14:paraId="478326B8" w14:textId="77777777" w:rsidR="006933E4" w:rsidRPr="006933E4" w:rsidRDefault="006933E4" w:rsidP="008B3339">
            <w:pPr>
              <w:widowControl/>
              <w:ind w:firstLine="0"/>
              <w:jc w:val="center"/>
              <w:rPr>
                <w:color w:val="auto"/>
                <w:sz w:val="20"/>
                <w:szCs w:val="20"/>
                <w:lang w:eastAsia="ru-RU"/>
              </w:rPr>
            </w:pPr>
          </w:p>
        </w:tc>
        <w:tc>
          <w:tcPr>
            <w:tcW w:w="1472" w:type="dxa"/>
            <w:tcBorders>
              <w:top w:val="nil"/>
              <w:left w:val="nil"/>
              <w:bottom w:val="nil"/>
              <w:right w:val="nil"/>
            </w:tcBorders>
            <w:shd w:val="clear" w:color="auto" w:fill="auto"/>
            <w:noWrap/>
            <w:vAlign w:val="center"/>
            <w:hideMark/>
          </w:tcPr>
          <w:p w14:paraId="0D713ECF" w14:textId="77777777" w:rsidR="006933E4" w:rsidRPr="006933E4" w:rsidRDefault="006933E4" w:rsidP="008B3339">
            <w:pPr>
              <w:widowControl/>
              <w:ind w:firstLine="0"/>
              <w:jc w:val="center"/>
              <w:rPr>
                <w:color w:val="auto"/>
                <w:sz w:val="20"/>
                <w:szCs w:val="20"/>
                <w:lang w:eastAsia="ru-RU"/>
              </w:rPr>
            </w:pPr>
          </w:p>
        </w:tc>
        <w:tc>
          <w:tcPr>
            <w:tcW w:w="1691" w:type="dxa"/>
            <w:tcBorders>
              <w:top w:val="nil"/>
              <w:left w:val="nil"/>
              <w:bottom w:val="nil"/>
              <w:right w:val="nil"/>
            </w:tcBorders>
            <w:shd w:val="clear" w:color="auto" w:fill="auto"/>
            <w:noWrap/>
            <w:vAlign w:val="center"/>
            <w:hideMark/>
          </w:tcPr>
          <w:p w14:paraId="4C833622" w14:textId="77777777" w:rsidR="006933E4" w:rsidRPr="006933E4" w:rsidRDefault="006933E4" w:rsidP="008B3339">
            <w:pPr>
              <w:widowControl/>
              <w:ind w:firstLine="0"/>
              <w:jc w:val="center"/>
              <w:rPr>
                <w:color w:val="auto"/>
                <w:sz w:val="20"/>
                <w:szCs w:val="20"/>
                <w:lang w:eastAsia="ru-RU"/>
              </w:rPr>
            </w:pPr>
          </w:p>
        </w:tc>
        <w:tc>
          <w:tcPr>
            <w:tcW w:w="1582" w:type="dxa"/>
            <w:tcBorders>
              <w:top w:val="nil"/>
              <w:left w:val="nil"/>
              <w:bottom w:val="nil"/>
              <w:right w:val="nil"/>
            </w:tcBorders>
            <w:shd w:val="clear" w:color="auto" w:fill="auto"/>
            <w:noWrap/>
            <w:vAlign w:val="center"/>
            <w:hideMark/>
          </w:tcPr>
          <w:p w14:paraId="60C09343" w14:textId="77777777" w:rsidR="006933E4" w:rsidRPr="006933E4" w:rsidRDefault="006933E4" w:rsidP="008B3339">
            <w:pPr>
              <w:widowControl/>
              <w:ind w:firstLine="0"/>
              <w:jc w:val="center"/>
              <w:rPr>
                <w:color w:val="auto"/>
                <w:sz w:val="20"/>
                <w:szCs w:val="20"/>
                <w:lang w:eastAsia="ru-RU"/>
              </w:rPr>
            </w:pPr>
          </w:p>
        </w:tc>
        <w:tc>
          <w:tcPr>
            <w:tcW w:w="1275" w:type="dxa"/>
            <w:tcBorders>
              <w:top w:val="nil"/>
              <w:left w:val="nil"/>
              <w:bottom w:val="nil"/>
              <w:right w:val="nil"/>
            </w:tcBorders>
            <w:shd w:val="clear" w:color="auto" w:fill="auto"/>
            <w:noWrap/>
            <w:vAlign w:val="center"/>
            <w:hideMark/>
          </w:tcPr>
          <w:p w14:paraId="56DE542B" w14:textId="77777777" w:rsidR="006933E4" w:rsidRPr="006933E4" w:rsidRDefault="006933E4" w:rsidP="008B3339">
            <w:pPr>
              <w:widowControl/>
              <w:ind w:firstLine="0"/>
              <w:jc w:val="center"/>
              <w:rPr>
                <w:color w:val="auto"/>
                <w:sz w:val="20"/>
                <w:szCs w:val="20"/>
                <w:lang w:eastAsia="ru-RU"/>
              </w:rPr>
            </w:pPr>
          </w:p>
        </w:tc>
        <w:tc>
          <w:tcPr>
            <w:tcW w:w="567" w:type="dxa"/>
            <w:tcBorders>
              <w:top w:val="nil"/>
              <w:left w:val="nil"/>
              <w:bottom w:val="nil"/>
              <w:right w:val="nil"/>
            </w:tcBorders>
            <w:shd w:val="clear" w:color="auto" w:fill="auto"/>
            <w:noWrap/>
            <w:vAlign w:val="center"/>
            <w:hideMark/>
          </w:tcPr>
          <w:p w14:paraId="2A4FE5DE" w14:textId="77777777" w:rsidR="006933E4" w:rsidRPr="006933E4" w:rsidRDefault="006933E4" w:rsidP="008B3339">
            <w:pPr>
              <w:widowControl/>
              <w:ind w:firstLine="0"/>
              <w:jc w:val="center"/>
              <w:rPr>
                <w:color w:val="auto"/>
                <w:sz w:val="20"/>
                <w:szCs w:val="20"/>
                <w:lang w:eastAsia="ru-RU"/>
              </w:rPr>
            </w:pPr>
          </w:p>
        </w:tc>
        <w:tc>
          <w:tcPr>
            <w:tcW w:w="1954" w:type="dxa"/>
            <w:tcBorders>
              <w:top w:val="nil"/>
              <w:left w:val="nil"/>
              <w:bottom w:val="nil"/>
              <w:right w:val="nil"/>
            </w:tcBorders>
            <w:shd w:val="clear" w:color="auto" w:fill="auto"/>
            <w:noWrap/>
            <w:vAlign w:val="bottom"/>
            <w:hideMark/>
          </w:tcPr>
          <w:p w14:paraId="56322CDF" w14:textId="77777777" w:rsidR="006933E4" w:rsidRPr="006933E4" w:rsidRDefault="006933E4" w:rsidP="008B3339">
            <w:pPr>
              <w:widowControl/>
              <w:ind w:firstLine="0"/>
              <w:jc w:val="center"/>
              <w:rPr>
                <w:color w:val="auto"/>
                <w:sz w:val="22"/>
                <w:szCs w:val="22"/>
                <w:lang w:eastAsia="ru-RU"/>
              </w:rPr>
            </w:pPr>
          </w:p>
        </w:tc>
      </w:tr>
      <w:tr w:rsidR="006933E4" w:rsidRPr="006933E4" w14:paraId="4746EB45" w14:textId="77777777" w:rsidTr="006933E4">
        <w:trPr>
          <w:trHeight w:val="289"/>
        </w:trPr>
        <w:tc>
          <w:tcPr>
            <w:tcW w:w="13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342588" w14:textId="77777777" w:rsidR="006933E4" w:rsidRPr="006933E4" w:rsidRDefault="006933E4" w:rsidP="008B3339">
            <w:pPr>
              <w:widowControl/>
              <w:ind w:firstLine="0"/>
              <w:jc w:val="center"/>
              <w:rPr>
                <w:b/>
                <w:bCs/>
                <w:color w:val="000000"/>
                <w:sz w:val="22"/>
                <w:szCs w:val="22"/>
                <w:lang w:eastAsia="ru-RU"/>
              </w:rPr>
            </w:pPr>
            <w:r w:rsidRPr="006933E4">
              <w:rPr>
                <w:b/>
                <w:bCs/>
                <w:color w:val="000000"/>
                <w:sz w:val="22"/>
                <w:szCs w:val="22"/>
                <w:lang w:eastAsia="ru-RU"/>
              </w:rPr>
              <w:t>Период</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14:paraId="3F90B35D" w14:textId="77777777" w:rsidR="006933E4" w:rsidRPr="006933E4" w:rsidRDefault="006933E4" w:rsidP="008B3339">
            <w:pPr>
              <w:widowControl/>
              <w:ind w:firstLine="0"/>
              <w:jc w:val="center"/>
              <w:rPr>
                <w:b/>
                <w:bCs/>
                <w:color w:val="000000"/>
                <w:sz w:val="22"/>
                <w:szCs w:val="22"/>
                <w:lang w:eastAsia="ru-RU"/>
              </w:rPr>
            </w:pPr>
            <w:r w:rsidRPr="006933E4">
              <w:rPr>
                <w:b/>
                <w:bCs/>
                <w:color w:val="000000"/>
                <w:sz w:val="22"/>
                <w:szCs w:val="22"/>
                <w:lang w:eastAsia="ru-RU"/>
              </w:rPr>
              <w:t>количество АН, включенных в рейтинг*</w:t>
            </w:r>
          </w:p>
        </w:tc>
        <w:tc>
          <w:tcPr>
            <w:tcW w:w="1974" w:type="dxa"/>
            <w:vMerge w:val="restart"/>
            <w:tcBorders>
              <w:top w:val="single" w:sz="8" w:space="0" w:color="auto"/>
              <w:left w:val="single" w:sz="8" w:space="0" w:color="auto"/>
              <w:bottom w:val="single" w:sz="8" w:space="0" w:color="000000"/>
              <w:right w:val="single" w:sz="4" w:space="0" w:color="auto"/>
            </w:tcBorders>
            <w:shd w:val="clear" w:color="000000" w:fill="F5F5F5"/>
            <w:vAlign w:val="center"/>
            <w:hideMark/>
          </w:tcPr>
          <w:p w14:paraId="2D3DD246" w14:textId="77777777" w:rsidR="006933E4" w:rsidRPr="006933E4" w:rsidRDefault="006933E4" w:rsidP="008B3339">
            <w:pPr>
              <w:widowControl/>
              <w:ind w:firstLine="0"/>
              <w:jc w:val="center"/>
              <w:rPr>
                <w:b/>
                <w:bCs/>
                <w:color w:val="auto"/>
                <w:sz w:val="22"/>
                <w:szCs w:val="22"/>
                <w:lang w:eastAsia="ru-RU"/>
              </w:rPr>
            </w:pPr>
            <w:r w:rsidRPr="006933E4">
              <w:rPr>
                <w:b/>
                <w:bCs/>
                <w:color w:val="auto"/>
                <w:sz w:val="22"/>
                <w:szCs w:val="22"/>
                <w:lang w:eastAsia="ru-RU"/>
              </w:rPr>
              <w:t>Сумма начислений, руб.</w:t>
            </w:r>
          </w:p>
        </w:tc>
        <w:tc>
          <w:tcPr>
            <w:tcW w:w="1472" w:type="dxa"/>
            <w:vMerge w:val="restart"/>
            <w:tcBorders>
              <w:top w:val="single" w:sz="8" w:space="0" w:color="auto"/>
              <w:left w:val="single" w:sz="4" w:space="0" w:color="auto"/>
              <w:bottom w:val="single" w:sz="8" w:space="0" w:color="000000"/>
              <w:right w:val="single" w:sz="8" w:space="0" w:color="auto"/>
            </w:tcBorders>
            <w:shd w:val="clear" w:color="000000" w:fill="F5F5F5"/>
            <w:vAlign w:val="center"/>
            <w:hideMark/>
          </w:tcPr>
          <w:p w14:paraId="37B898F4" w14:textId="77777777" w:rsidR="006933E4" w:rsidRPr="006933E4" w:rsidRDefault="006933E4" w:rsidP="008B3339">
            <w:pPr>
              <w:widowControl/>
              <w:ind w:firstLine="0"/>
              <w:jc w:val="center"/>
              <w:rPr>
                <w:b/>
                <w:bCs/>
                <w:color w:val="auto"/>
                <w:sz w:val="22"/>
                <w:szCs w:val="22"/>
                <w:lang w:eastAsia="ru-RU"/>
              </w:rPr>
            </w:pPr>
            <w:r w:rsidRPr="006933E4">
              <w:rPr>
                <w:b/>
                <w:bCs/>
                <w:color w:val="auto"/>
                <w:sz w:val="22"/>
                <w:szCs w:val="22"/>
                <w:lang w:eastAsia="ru-RU"/>
              </w:rPr>
              <w:t>Количество начислений</w:t>
            </w:r>
          </w:p>
        </w:tc>
        <w:tc>
          <w:tcPr>
            <w:tcW w:w="1691" w:type="dxa"/>
            <w:vMerge w:val="restart"/>
            <w:tcBorders>
              <w:top w:val="single" w:sz="8" w:space="0" w:color="auto"/>
              <w:left w:val="single" w:sz="8" w:space="0" w:color="auto"/>
              <w:bottom w:val="single" w:sz="8" w:space="0" w:color="000000"/>
              <w:right w:val="single" w:sz="4" w:space="0" w:color="auto"/>
            </w:tcBorders>
            <w:shd w:val="clear" w:color="000000" w:fill="F5F5F5"/>
            <w:vAlign w:val="center"/>
            <w:hideMark/>
          </w:tcPr>
          <w:p w14:paraId="3FD09418" w14:textId="77777777" w:rsidR="006933E4" w:rsidRPr="006933E4" w:rsidRDefault="006933E4" w:rsidP="008B3339">
            <w:pPr>
              <w:widowControl/>
              <w:ind w:firstLine="0"/>
              <w:jc w:val="center"/>
              <w:rPr>
                <w:b/>
                <w:bCs/>
                <w:color w:val="auto"/>
                <w:sz w:val="22"/>
                <w:szCs w:val="22"/>
                <w:lang w:eastAsia="ru-RU"/>
              </w:rPr>
            </w:pPr>
            <w:r w:rsidRPr="006933E4">
              <w:rPr>
                <w:b/>
                <w:bCs/>
                <w:color w:val="auto"/>
                <w:sz w:val="22"/>
                <w:szCs w:val="22"/>
                <w:lang w:eastAsia="ru-RU"/>
              </w:rPr>
              <w:t xml:space="preserve">Сумма </w:t>
            </w:r>
            <w:r w:rsidRPr="006933E4">
              <w:rPr>
                <w:b/>
                <w:bCs/>
                <w:color w:val="auto"/>
                <w:sz w:val="22"/>
                <w:szCs w:val="22"/>
                <w:lang w:eastAsia="ru-RU"/>
              </w:rPr>
              <w:br/>
              <w:t xml:space="preserve">платежей, </w:t>
            </w:r>
            <w:r w:rsidRPr="006933E4">
              <w:rPr>
                <w:b/>
                <w:bCs/>
                <w:color w:val="auto"/>
                <w:sz w:val="22"/>
                <w:szCs w:val="22"/>
                <w:lang w:eastAsia="ru-RU"/>
              </w:rPr>
              <w:br/>
              <w:t>руб.</w:t>
            </w:r>
          </w:p>
        </w:tc>
        <w:tc>
          <w:tcPr>
            <w:tcW w:w="1582" w:type="dxa"/>
            <w:vMerge w:val="restart"/>
            <w:tcBorders>
              <w:top w:val="single" w:sz="8" w:space="0" w:color="auto"/>
              <w:left w:val="single" w:sz="4" w:space="0" w:color="auto"/>
              <w:bottom w:val="single" w:sz="8" w:space="0" w:color="000000"/>
              <w:right w:val="single" w:sz="8" w:space="0" w:color="auto"/>
            </w:tcBorders>
            <w:shd w:val="clear" w:color="000000" w:fill="F5F5F5"/>
            <w:vAlign w:val="center"/>
            <w:hideMark/>
          </w:tcPr>
          <w:p w14:paraId="3FCE3330" w14:textId="77777777" w:rsidR="006933E4" w:rsidRPr="006933E4" w:rsidRDefault="006933E4" w:rsidP="008B3339">
            <w:pPr>
              <w:widowControl/>
              <w:ind w:firstLine="0"/>
              <w:jc w:val="center"/>
              <w:rPr>
                <w:b/>
                <w:bCs/>
                <w:color w:val="auto"/>
                <w:sz w:val="22"/>
                <w:szCs w:val="22"/>
                <w:lang w:eastAsia="ru-RU"/>
              </w:rPr>
            </w:pPr>
            <w:r w:rsidRPr="006933E4">
              <w:rPr>
                <w:b/>
                <w:bCs/>
                <w:color w:val="auto"/>
                <w:sz w:val="22"/>
                <w:szCs w:val="22"/>
                <w:lang w:eastAsia="ru-RU"/>
              </w:rPr>
              <w:t>Количество платежей</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8E8370" w14:textId="77777777" w:rsidR="006933E4" w:rsidRPr="006933E4" w:rsidRDefault="006933E4" w:rsidP="008B3339">
            <w:pPr>
              <w:widowControl/>
              <w:ind w:firstLine="0"/>
              <w:jc w:val="center"/>
              <w:rPr>
                <w:b/>
                <w:bCs/>
                <w:color w:val="000000"/>
                <w:sz w:val="22"/>
                <w:szCs w:val="22"/>
                <w:lang w:eastAsia="ru-RU"/>
              </w:rPr>
            </w:pPr>
            <w:r w:rsidRPr="006933E4">
              <w:rPr>
                <w:b/>
                <w:bCs/>
                <w:color w:val="000000"/>
                <w:sz w:val="22"/>
                <w:szCs w:val="22"/>
                <w:lang w:eastAsia="ru-RU"/>
              </w:rPr>
              <w:t>Рейтинг КБР по методике ФК</w:t>
            </w:r>
          </w:p>
        </w:tc>
        <w:tc>
          <w:tcPr>
            <w:tcW w:w="2521" w:type="dxa"/>
            <w:gridSpan w:val="2"/>
            <w:tcBorders>
              <w:top w:val="single" w:sz="8" w:space="0" w:color="auto"/>
              <w:left w:val="nil"/>
              <w:bottom w:val="single" w:sz="4" w:space="0" w:color="auto"/>
              <w:right w:val="single" w:sz="8" w:space="0" w:color="000000"/>
            </w:tcBorders>
            <w:shd w:val="clear" w:color="auto" w:fill="auto"/>
            <w:vAlign w:val="center"/>
            <w:hideMark/>
          </w:tcPr>
          <w:p w14:paraId="4A555912" w14:textId="77777777" w:rsidR="006933E4" w:rsidRPr="006933E4" w:rsidRDefault="006933E4" w:rsidP="008B3339">
            <w:pPr>
              <w:widowControl/>
              <w:ind w:firstLine="0"/>
              <w:jc w:val="center"/>
              <w:rPr>
                <w:b/>
                <w:bCs/>
                <w:color w:val="000000"/>
                <w:sz w:val="22"/>
                <w:szCs w:val="22"/>
                <w:lang w:eastAsia="ru-RU"/>
              </w:rPr>
            </w:pPr>
            <w:r w:rsidRPr="006933E4">
              <w:rPr>
                <w:b/>
                <w:bCs/>
                <w:color w:val="000000"/>
                <w:sz w:val="22"/>
                <w:szCs w:val="22"/>
                <w:lang w:eastAsia="ru-RU"/>
              </w:rPr>
              <w:t>место КБР среди субъектов РФ:</w:t>
            </w:r>
          </w:p>
        </w:tc>
      </w:tr>
      <w:tr w:rsidR="006933E4" w:rsidRPr="006933E4" w14:paraId="4D54E124" w14:textId="77777777" w:rsidTr="006933E4">
        <w:trPr>
          <w:trHeight w:val="672"/>
        </w:trPr>
        <w:tc>
          <w:tcPr>
            <w:tcW w:w="1362" w:type="dxa"/>
            <w:vMerge/>
            <w:tcBorders>
              <w:top w:val="single" w:sz="8" w:space="0" w:color="auto"/>
              <w:left w:val="single" w:sz="8" w:space="0" w:color="auto"/>
              <w:bottom w:val="single" w:sz="8" w:space="0" w:color="000000"/>
              <w:right w:val="single" w:sz="8" w:space="0" w:color="auto"/>
            </w:tcBorders>
            <w:vAlign w:val="center"/>
            <w:hideMark/>
          </w:tcPr>
          <w:p w14:paraId="06BC86D8" w14:textId="77777777" w:rsidR="006933E4" w:rsidRPr="006933E4" w:rsidRDefault="006933E4" w:rsidP="008B3339">
            <w:pPr>
              <w:widowControl/>
              <w:ind w:firstLine="0"/>
              <w:jc w:val="left"/>
              <w:rPr>
                <w:b/>
                <w:bCs/>
                <w:color w:val="000000"/>
                <w:sz w:val="22"/>
                <w:szCs w:val="22"/>
                <w:lang w:eastAsia="ru-RU"/>
              </w:rPr>
            </w:pPr>
          </w:p>
        </w:tc>
        <w:tc>
          <w:tcPr>
            <w:tcW w:w="1676" w:type="dxa"/>
            <w:tcBorders>
              <w:top w:val="nil"/>
              <w:left w:val="nil"/>
              <w:bottom w:val="single" w:sz="8" w:space="0" w:color="auto"/>
              <w:right w:val="single" w:sz="4" w:space="0" w:color="auto"/>
            </w:tcBorders>
            <w:shd w:val="clear" w:color="auto" w:fill="auto"/>
            <w:vAlign w:val="center"/>
            <w:hideMark/>
          </w:tcPr>
          <w:p w14:paraId="098DB89B" w14:textId="31C11CCB" w:rsidR="006933E4" w:rsidRPr="006933E4" w:rsidRDefault="006933E4" w:rsidP="008B3339">
            <w:pPr>
              <w:widowControl/>
              <w:ind w:firstLine="0"/>
              <w:jc w:val="center"/>
              <w:rPr>
                <w:b/>
                <w:bCs/>
                <w:color w:val="000000"/>
                <w:sz w:val="22"/>
                <w:szCs w:val="22"/>
                <w:lang w:eastAsia="ru-RU"/>
              </w:rPr>
            </w:pPr>
            <w:r>
              <w:rPr>
                <w:b/>
                <w:bCs/>
                <w:color w:val="000000"/>
                <w:sz w:val="22"/>
                <w:szCs w:val="22"/>
                <w:lang w:eastAsia="ru-RU"/>
              </w:rPr>
              <w:t xml:space="preserve">с </w:t>
            </w:r>
            <w:r w:rsidRPr="006933E4">
              <w:rPr>
                <w:b/>
                <w:bCs/>
                <w:color w:val="000000"/>
                <w:sz w:val="22"/>
                <w:szCs w:val="22"/>
                <w:lang w:eastAsia="ru-RU"/>
              </w:rPr>
              <w:t>начислениями</w:t>
            </w:r>
          </w:p>
        </w:tc>
        <w:tc>
          <w:tcPr>
            <w:tcW w:w="1442" w:type="dxa"/>
            <w:tcBorders>
              <w:top w:val="nil"/>
              <w:left w:val="nil"/>
              <w:bottom w:val="single" w:sz="8" w:space="0" w:color="auto"/>
              <w:right w:val="single" w:sz="8" w:space="0" w:color="auto"/>
            </w:tcBorders>
            <w:shd w:val="clear" w:color="auto" w:fill="auto"/>
            <w:vAlign w:val="center"/>
            <w:hideMark/>
          </w:tcPr>
          <w:p w14:paraId="1CEFC543" w14:textId="48A8DD86" w:rsidR="006933E4" w:rsidRPr="006933E4" w:rsidRDefault="006933E4" w:rsidP="008B3339">
            <w:pPr>
              <w:widowControl/>
              <w:ind w:firstLine="0"/>
              <w:jc w:val="center"/>
              <w:rPr>
                <w:b/>
                <w:bCs/>
                <w:color w:val="000000"/>
                <w:sz w:val="22"/>
                <w:szCs w:val="22"/>
                <w:lang w:eastAsia="ru-RU"/>
              </w:rPr>
            </w:pPr>
            <w:r>
              <w:rPr>
                <w:b/>
                <w:bCs/>
                <w:color w:val="000000"/>
                <w:sz w:val="22"/>
                <w:szCs w:val="22"/>
                <w:lang w:eastAsia="ru-RU"/>
              </w:rPr>
              <w:t xml:space="preserve">с </w:t>
            </w:r>
            <w:r w:rsidRPr="006933E4">
              <w:rPr>
                <w:b/>
                <w:bCs/>
                <w:color w:val="000000"/>
                <w:sz w:val="22"/>
                <w:szCs w:val="22"/>
                <w:lang w:eastAsia="ru-RU"/>
              </w:rPr>
              <w:t>платежами</w:t>
            </w:r>
          </w:p>
        </w:tc>
        <w:tc>
          <w:tcPr>
            <w:tcW w:w="1974" w:type="dxa"/>
            <w:vMerge/>
            <w:tcBorders>
              <w:top w:val="single" w:sz="8" w:space="0" w:color="auto"/>
              <w:left w:val="single" w:sz="8" w:space="0" w:color="auto"/>
              <w:bottom w:val="single" w:sz="8" w:space="0" w:color="000000"/>
              <w:right w:val="single" w:sz="4" w:space="0" w:color="auto"/>
            </w:tcBorders>
            <w:vAlign w:val="center"/>
            <w:hideMark/>
          </w:tcPr>
          <w:p w14:paraId="356F6299" w14:textId="77777777" w:rsidR="006933E4" w:rsidRPr="006933E4" w:rsidRDefault="006933E4" w:rsidP="008B3339">
            <w:pPr>
              <w:widowControl/>
              <w:ind w:firstLine="0"/>
              <w:jc w:val="left"/>
              <w:rPr>
                <w:b/>
                <w:bCs/>
                <w:color w:val="auto"/>
                <w:sz w:val="22"/>
                <w:szCs w:val="22"/>
                <w:lang w:eastAsia="ru-RU"/>
              </w:rPr>
            </w:pPr>
          </w:p>
        </w:tc>
        <w:tc>
          <w:tcPr>
            <w:tcW w:w="1472" w:type="dxa"/>
            <w:vMerge/>
            <w:tcBorders>
              <w:top w:val="single" w:sz="8" w:space="0" w:color="auto"/>
              <w:left w:val="single" w:sz="4" w:space="0" w:color="auto"/>
              <w:bottom w:val="single" w:sz="8" w:space="0" w:color="000000"/>
              <w:right w:val="single" w:sz="8" w:space="0" w:color="auto"/>
            </w:tcBorders>
            <w:vAlign w:val="center"/>
            <w:hideMark/>
          </w:tcPr>
          <w:p w14:paraId="0D265776" w14:textId="77777777" w:rsidR="006933E4" w:rsidRPr="006933E4" w:rsidRDefault="006933E4" w:rsidP="008B3339">
            <w:pPr>
              <w:widowControl/>
              <w:ind w:firstLine="0"/>
              <w:jc w:val="left"/>
              <w:rPr>
                <w:b/>
                <w:bCs/>
                <w:color w:val="auto"/>
                <w:sz w:val="22"/>
                <w:szCs w:val="22"/>
                <w:lang w:eastAsia="ru-RU"/>
              </w:rPr>
            </w:pPr>
          </w:p>
        </w:tc>
        <w:tc>
          <w:tcPr>
            <w:tcW w:w="1691" w:type="dxa"/>
            <w:vMerge/>
            <w:tcBorders>
              <w:top w:val="single" w:sz="8" w:space="0" w:color="auto"/>
              <w:left w:val="single" w:sz="8" w:space="0" w:color="auto"/>
              <w:bottom w:val="single" w:sz="8" w:space="0" w:color="000000"/>
              <w:right w:val="single" w:sz="4" w:space="0" w:color="auto"/>
            </w:tcBorders>
            <w:vAlign w:val="center"/>
            <w:hideMark/>
          </w:tcPr>
          <w:p w14:paraId="12F5EF1C" w14:textId="77777777" w:rsidR="006933E4" w:rsidRPr="006933E4" w:rsidRDefault="006933E4" w:rsidP="008B3339">
            <w:pPr>
              <w:widowControl/>
              <w:ind w:firstLine="0"/>
              <w:jc w:val="left"/>
              <w:rPr>
                <w:b/>
                <w:bCs/>
                <w:color w:val="auto"/>
                <w:sz w:val="22"/>
                <w:szCs w:val="22"/>
                <w:lang w:eastAsia="ru-RU"/>
              </w:rPr>
            </w:pPr>
          </w:p>
        </w:tc>
        <w:tc>
          <w:tcPr>
            <w:tcW w:w="1582" w:type="dxa"/>
            <w:vMerge/>
            <w:tcBorders>
              <w:top w:val="single" w:sz="8" w:space="0" w:color="auto"/>
              <w:left w:val="single" w:sz="4" w:space="0" w:color="auto"/>
              <w:bottom w:val="single" w:sz="8" w:space="0" w:color="000000"/>
              <w:right w:val="single" w:sz="8" w:space="0" w:color="auto"/>
            </w:tcBorders>
            <w:vAlign w:val="center"/>
            <w:hideMark/>
          </w:tcPr>
          <w:p w14:paraId="7FE2C335" w14:textId="77777777" w:rsidR="006933E4" w:rsidRPr="006933E4" w:rsidRDefault="006933E4" w:rsidP="008B3339">
            <w:pPr>
              <w:widowControl/>
              <w:ind w:firstLine="0"/>
              <w:jc w:val="left"/>
              <w:rPr>
                <w:b/>
                <w:bCs/>
                <w:color w:val="auto"/>
                <w:sz w:val="22"/>
                <w:szCs w:val="22"/>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967D7BE" w14:textId="77777777" w:rsidR="006933E4" w:rsidRPr="006933E4" w:rsidRDefault="006933E4" w:rsidP="008B3339">
            <w:pPr>
              <w:widowControl/>
              <w:ind w:firstLine="0"/>
              <w:jc w:val="left"/>
              <w:rPr>
                <w:b/>
                <w:bCs/>
                <w:color w:val="000000"/>
                <w:sz w:val="22"/>
                <w:szCs w:val="22"/>
                <w:lang w:eastAsia="ru-RU"/>
              </w:rPr>
            </w:pPr>
          </w:p>
        </w:tc>
        <w:tc>
          <w:tcPr>
            <w:tcW w:w="567" w:type="dxa"/>
            <w:tcBorders>
              <w:top w:val="nil"/>
              <w:left w:val="nil"/>
              <w:bottom w:val="single" w:sz="8" w:space="0" w:color="auto"/>
              <w:right w:val="single" w:sz="4" w:space="0" w:color="auto"/>
            </w:tcBorders>
            <w:shd w:val="clear" w:color="auto" w:fill="auto"/>
            <w:vAlign w:val="center"/>
            <w:hideMark/>
          </w:tcPr>
          <w:p w14:paraId="5FCC67DE" w14:textId="77777777" w:rsidR="006933E4" w:rsidRPr="006933E4" w:rsidRDefault="006933E4" w:rsidP="008B3339">
            <w:pPr>
              <w:widowControl/>
              <w:ind w:firstLine="0"/>
              <w:jc w:val="center"/>
              <w:rPr>
                <w:b/>
                <w:bCs/>
                <w:color w:val="000000"/>
                <w:sz w:val="22"/>
                <w:szCs w:val="22"/>
                <w:lang w:eastAsia="ru-RU"/>
              </w:rPr>
            </w:pPr>
            <w:r w:rsidRPr="006933E4">
              <w:rPr>
                <w:b/>
                <w:bCs/>
                <w:color w:val="000000"/>
                <w:sz w:val="22"/>
                <w:szCs w:val="22"/>
                <w:lang w:eastAsia="ru-RU"/>
              </w:rPr>
              <w:t>в РФ</w:t>
            </w:r>
          </w:p>
        </w:tc>
        <w:tc>
          <w:tcPr>
            <w:tcW w:w="1954" w:type="dxa"/>
            <w:tcBorders>
              <w:top w:val="nil"/>
              <w:left w:val="nil"/>
              <w:bottom w:val="single" w:sz="8" w:space="0" w:color="auto"/>
              <w:right w:val="single" w:sz="8" w:space="0" w:color="auto"/>
            </w:tcBorders>
            <w:shd w:val="clear" w:color="auto" w:fill="auto"/>
            <w:vAlign w:val="center"/>
            <w:hideMark/>
          </w:tcPr>
          <w:p w14:paraId="3FB9934E" w14:textId="77777777" w:rsidR="006933E4" w:rsidRPr="006933E4" w:rsidRDefault="006933E4" w:rsidP="008B3339">
            <w:pPr>
              <w:widowControl/>
              <w:ind w:firstLine="0"/>
              <w:jc w:val="center"/>
              <w:rPr>
                <w:b/>
                <w:bCs/>
                <w:color w:val="000000"/>
                <w:sz w:val="22"/>
                <w:szCs w:val="22"/>
                <w:lang w:eastAsia="ru-RU"/>
              </w:rPr>
            </w:pPr>
            <w:r w:rsidRPr="006933E4">
              <w:rPr>
                <w:b/>
                <w:bCs/>
                <w:color w:val="000000"/>
                <w:sz w:val="22"/>
                <w:szCs w:val="22"/>
                <w:lang w:eastAsia="ru-RU"/>
              </w:rPr>
              <w:t>в СКФО</w:t>
            </w:r>
          </w:p>
        </w:tc>
      </w:tr>
      <w:tr w:rsidR="006933E4" w:rsidRPr="006933E4" w14:paraId="6818B864" w14:textId="77777777" w:rsidTr="006933E4">
        <w:trPr>
          <w:trHeight w:val="315"/>
        </w:trPr>
        <w:tc>
          <w:tcPr>
            <w:tcW w:w="1362" w:type="dxa"/>
            <w:tcBorders>
              <w:top w:val="nil"/>
              <w:left w:val="nil"/>
              <w:bottom w:val="nil"/>
              <w:right w:val="nil"/>
            </w:tcBorders>
            <w:shd w:val="clear" w:color="auto" w:fill="auto"/>
            <w:noWrap/>
            <w:vAlign w:val="bottom"/>
            <w:hideMark/>
          </w:tcPr>
          <w:p w14:paraId="4C4DF8B2" w14:textId="77777777" w:rsidR="006933E4" w:rsidRPr="006933E4" w:rsidRDefault="006933E4" w:rsidP="008B3339">
            <w:pPr>
              <w:widowControl/>
              <w:ind w:firstLine="0"/>
              <w:jc w:val="left"/>
              <w:rPr>
                <w:color w:val="C00000"/>
                <w:sz w:val="22"/>
                <w:szCs w:val="22"/>
                <w:lang w:eastAsia="ru-RU"/>
              </w:rPr>
            </w:pPr>
          </w:p>
        </w:tc>
        <w:tc>
          <w:tcPr>
            <w:tcW w:w="1676" w:type="dxa"/>
            <w:tcBorders>
              <w:top w:val="nil"/>
              <w:left w:val="nil"/>
              <w:bottom w:val="nil"/>
              <w:right w:val="nil"/>
            </w:tcBorders>
            <w:shd w:val="clear" w:color="auto" w:fill="auto"/>
            <w:noWrap/>
            <w:vAlign w:val="bottom"/>
            <w:hideMark/>
          </w:tcPr>
          <w:p w14:paraId="664A9D9A" w14:textId="77777777" w:rsidR="006933E4" w:rsidRPr="006933E4" w:rsidRDefault="006933E4" w:rsidP="008B3339">
            <w:pPr>
              <w:widowControl/>
              <w:ind w:firstLine="0"/>
              <w:jc w:val="left"/>
              <w:rPr>
                <w:color w:val="auto"/>
                <w:sz w:val="20"/>
                <w:szCs w:val="20"/>
                <w:lang w:eastAsia="ru-RU"/>
              </w:rPr>
            </w:pPr>
          </w:p>
        </w:tc>
        <w:tc>
          <w:tcPr>
            <w:tcW w:w="1442" w:type="dxa"/>
            <w:tcBorders>
              <w:top w:val="nil"/>
              <w:left w:val="nil"/>
              <w:bottom w:val="nil"/>
              <w:right w:val="nil"/>
            </w:tcBorders>
            <w:shd w:val="clear" w:color="auto" w:fill="auto"/>
            <w:noWrap/>
            <w:vAlign w:val="bottom"/>
            <w:hideMark/>
          </w:tcPr>
          <w:p w14:paraId="578D0E16" w14:textId="77777777" w:rsidR="006933E4" w:rsidRPr="006933E4" w:rsidRDefault="006933E4" w:rsidP="008B3339">
            <w:pPr>
              <w:widowControl/>
              <w:ind w:firstLine="0"/>
              <w:jc w:val="left"/>
              <w:rPr>
                <w:color w:val="auto"/>
                <w:sz w:val="20"/>
                <w:szCs w:val="20"/>
                <w:lang w:eastAsia="ru-RU"/>
              </w:rPr>
            </w:pPr>
          </w:p>
        </w:tc>
        <w:tc>
          <w:tcPr>
            <w:tcW w:w="1974" w:type="dxa"/>
            <w:tcBorders>
              <w:top w:val="nil"/>
              <w:left w:val="nil"/>
              <w:bottom w:val="nil"/>
              <w:right w:val="nil"/>
            </w:tcBorders>
            <w:shd w:val="clear" w:color="auto" w:fill="auto"/>
            <w:noWrap/>
            <w:vAlign w:val="bottom"/>
            <w:hideMark/>
          </w:tcPr>
          <w:p w14:paraId="59624678" w14:textId="77777777" w:rsidR="006933E4" w:rsidRPr="006933E4" w:rsidRDefault="006933E4" w:rsidP="008B3339">
            <w:pPr>
              <w:widowControl/>
              <w:ind w:firstLine="0"/>
              <w:jc w:val="left"/>
              <w:rPr>
                <w:color w:val="auto"/>
                <w:sz w:val="20"/>
                <w:szCs w:val="20"/>
                <w:lang w:eastAsia="ru-RU"/>
              </w:rPr>
            </w:pPr>
          </w:p>
        </w:tc>
        <w:tc>
          <w:tcPr>
            <w:tcW w:w="1472" w:type="dxa"/>
            <w:tcBorders>
              <w:top w:val="nil"/>
              <w:left w:val="nil"/>
              <w:bottom w:val="nil"/>
              <w:right w:val="nil"/>
            </w:tcBorders>
            <w:shd w:val="clear" w:color="auto" w:fill="auto"/>
            <w:noWrap/>
            <w:vAlign w:val="bottom"/>
            <w:hideMark/>
          </w:tcPr>
          <w:p w14:paraId="2A3659B0" w14:textId="77777777" w:rsidR="006933E4" w:rsidRPr="006933E4" w:rsidRDefault="006933E4" w:rsidP="008B3339">
            <w:pPr>
              <w:widowControl/>
              <w:ind w:firstLine="0"/>
              <w:jc w:val="left"/>
              <w:rPr>
                <w:color w:val="auto"/>
                <w:sz w:val="20"/>
                <w:szCs w:val="20"/>
                <w:lang w:eastAsia="ru-RU"/>
              </w:rPr>
            </w:pPr>
          </w:p>
        </w:tc>
        <w:tc>
          <w:tcPr>
            <w:tcW w:w="1691" w:type="dxa"/>
            <w:tcBorders>
              <w:top w:val="nil"/>
              <w:left w:val="nil"/>
              <w:bottom w:val="nil"/>
              <w:right w:val="nil"/>
            </w:tcBorders>
            <w:shd w:val="clear" w:color="auto" w:fill="auto"/>
            <w:noWrap/>
            <w:vAlign w:val="bottom"/>
            <w:hideMark/>
          </w:tcPr>
          <w:p w14:paraId="021B8497" w14:textId="77777777" w:rsidR="006933E4" w:rsidRPr="006933E4" w:rsidRDefault="006933E4" w:rsidP="008B3339">
            <w:pPr>
              <w:widowControl/>
              <w:ind w:firstLine="0"/>
              <w:jc w:val="left"/>
              <w:rPr>
                <w:color w:val="auto"/>
                <w:sz w:val="20"/>
                <w:szCs w:val="20"/>
                <w:lang w:eastAsia="ru-RU"/>
              </w:rPr>
            </w:pPr>
          </w:p>
        </w:tc>
        <w:tc>
          <w:tcPr>
            <w:tcW w:w="1582" w:type="dxa"/>
            <w:tcBorders>
              <w:top w:val="nil"/>
              <w:left w:val="nil"/>
              <w:bottom w:val="nil"/>
              <w:right w:val="nil"/>
            </w:tcBorders>
            <w:shd w:val="clear" w:color="auto" w:fill="auto"/>
            <w:noWrap/>
            <w:vAlign w:val="bottom"/>
            <w:hideMark/>
          </w:tcPr>
          <w:p w14:paraId="74BA4B8D" w14:textId="77777777" w:rsidR="006933E4" w:rsidRPr="006933E4" w:rsidRDefault="006933E4" w:rsidP="008B3339">
            <w:pPr>
              <w:widowControl/>
              <w:ind w:firstLine="0"/>
              <w:jc w:val="left"/>
              <w:rPr>
                <w:color w:val="auto"/>
                <w:sz w:val="20"/>
                <w:szCs w:val="20"/>
                <w:lang w:eastAsia="ru-RU"/>
              </w:rPr>
            </w:pPr>
          </w:p>
        </w:tc>
        <w:tc>
          <w:tcPr>
            <w:tcW w:w="1275" w:type="dxa"/>
            <w:tcBorders>
              <w:top w:val="nil"/>
              <w:left w:val="nil"/>
              <w:bottom w:val="nil"/>
              <w:right w:val="nil"/>
            </w:tcBorders>
            <w:shd w:val="clear" w:color="auto" w:fill="auto"/>
            <w:noWrap/>
            <w:vAlign w:val="bottom"/>
            <w:hideMark/>
          </w:tcPr>
          <w:p w14:paraId="29F150FE" w14:textId="77777777" w:rsidR="006933E4" w:rsidRPr="006933E4" w:rsidRDefault="006933E4" w:rsidP="008B3339">
            <w:pPr>
              <w:widowControl/>
              <w:ind w:firstLine="0"/>
              <w:jc w:val="left"/>
              <w:rPr>
                <w:color w:val="auto"/>
                <w:sz w:val="20"/>
                <w:szCs w:val="20"/>
                <w:lang w:eastAsia="ru-RU"/>
              </w:rPr>
            </w:pPr>
          </w:p>
        </w:tc>
        <w:tc>
          <w:tcPr>
            <w:tcW w:w="567" w:type="dxa"/>
            <w:tcBorders>
              <w:top w:val="nil"/>
              <w:left w:val="nil"/>
              <w:bottom w:val="nil"/>
              <w:right w:val="nil"/>
            </w:tcBorders>
            <w:shd w:val="clear" w:color="auto" w:fill="auto"/>
            <w:noWrap/>
            <w:vAlign w:val="bottom"/>
            <w:hideMark/>
          </w:tcPr>
          <w:p w14:paraId="29BCF8EA" w14:textId="77777777" w:rsidR="006933E4" w:rsidRPr="006933E4" w:rsidRDefault="006933E4" w:rsidP="008B3339">
            <w:pPr>
              <w:widowControl/>
              <w:ind w:firstLine="0"/>
              <w:jc w:val="left"/>
              <w:rPr>
                <w:color w:val="auto"/>
                <w:sz w:val="20"/>
                <w:szCs w:val="20"/>
                <w:lang w:eastAsia="ru-RU"/>
              </w:rPr>
            </w:pPr>
          </w:p>
        </w:tc>
        <w:tc>
          <w:tcPr>
            <w:tcW w:w="1954" w:type="dxa"/>
            <w:tcBorders>
              <w:top w:val="nil"/>
              <w:left w:val="nil"/>
              <w:bottom w:val="nil"/>
              <w:right w:val="nil"/>
            </w:tcBorders>
            <w:shd w:val="clear" w:color="auto" w:fill="auto"/>
            <w:vAlign w:val="bottom"/>
            <w:hideMark/>
          </w:tcPr>
          <w:p w14:paraId="51A5FE47" w14:textId="77777777" w:rsidR="006933E4" w:rsidRPr="006933E4" w:rsidRDefault="006933E4" w:rsidP="008B3339">
            <w:pPr>
              <w:widowControl/>
              <w:ind w:firstLine="0"/>
              <w:jc w:val="left"/>
              <w:rPr>
                <w:color w:val="auto"/>
                <w:sz w:val="20"/>
                <w:szCs w:val="20"/>
                <w:lang w:eastAsia="ru-RU"/>
              </w:rPr>
            </w:pPr>
          </w:p>
        </w:tc>
      </w:tr>
      <w:tr w:rsidR="006933E4" w:rsidRPr="006933E4" w14:paraId="7E2ADA2C" w14:textId="77777777" w:rsidTr="006933E4">
        <w:trPr>
          <w:trHeight w:val="600"/>
        </w:trPr>
        <w:tc>
          <w:tcPr>
            <w:tcW w:w="1362"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766C2ED" w14:textId="77777777" w:rsidR="006933E4" w:rsidRPr="006933E4" w:rsidRDefault="006933E4" w:rsidP="008B3339">
            <w:pPr>
              <w:widowControl/>
              <w:ind w:firstLine="0"/>
              <w:jc w:val="center"/>
              <w:rPr>
                <w:color w:val="000000"/>
                <w:sz w:val="20"/>
                <w:szCs w:val="20"/>
                <w:lang w:eastAsia="ru-RU"/>
              </w:rPr>
            </w:pPr>
            <w:r w:rsidRPr="006933E4">
              <w:rPr>
                <w:color w:val="000000"/>
                <w:sz w:val="20"/>
                <w:szCs w:val="20"/>
                <w:lang w:eastAsia="ru-RU"/>
              </w:rPr>
              <w:t>за 2025 г.</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5C50B578"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385</w:t>
            </w:r>
          </w:p>
        </w:tc>
        <w:tc>
          <w:tcPr>
            <w:tcW w:w="1442" w:type="dxa"/>
            <w:tcBorders>
              <w:top w:val="single" w:sz="8" w:space="0" w:color="auto"/>
              <w:left w:val="nil"/>
              <w:bottom w:val="single" w:sz="4" w:space="0" w:color="auto"/>
              <w:right w:val="single" w:sz="8" w:space="0" w:color="auto"/>
            </w:tcBorders>
            <w:shd w:val="clear" w:color="000000" w:fill="FFFFFF"/>
            <w:noWrap/>
            <w:vAlign w:val="center"/>
            <w:hideMark/>
          </w:tcPr>
          <w:p w14:paraId="1F4E9F5A"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398</w:t>
            </w:r>
          </w:p>
        </w:tc>
        <w:tc>
          <w:tcPr>
            <w:tcW w:w="1974" w:type="dxa"/>
            <w:tcBorders>
              <w:top w:val="single" w:sz="8" w:space="0" w:color="auto"/>
              <w:left w:val="nil"/>
              <w:bottom w:val="single" w:sz="4" w:space="0" w:color="auto"/>
              <w:right w:val="single" w:sz="4" w:space="0" w:color="auto"/>
            </w:tcBorders>
            <w:shd w:val="clear" w:color="000000" w:fill="FFFFFF"/>
            <w:noWrap/>
            <w:vAlign w:val="center"/>
            <w:hideMark/>
          </w:tcPr>
          <w:p w14:paraId="2644029C"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2 917 540 149,61</w:t>
            </w:r>
          </w:p>
        </w:tc>
        <w:tc>
          <w:tcPr>
            <w:tcW w:w="1472" w:type="dxa"/>
            <w:tcBorders>
              <w:top w:val="single" w:sz="8" w:space="0" w:color="auto"/>
              <w:left w:val="nil"/>
              <w:bottom w:val="single" w:sz="4" w:space="0" w:color="auto"/>
              <w:right w:val="single" w:sz="8" w:space="0" w:color="auto"/>
            </w:tcBorders>
            <w:shd w:val="clear" w:color="000000" w:fill="FFFFFF"/>
            <w:noWrap/>
            <w:vAlign w:val="center"/>
            <w:hideMark/>
          </w:tcPr>
          <w:p w14:paraId="1A24D605"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557 532</w:t>
            </w:r>
          </w:p>
        </w:tc>
        <w:tc>
          <w:tcPr>
            <w:tcW w:w="1691" w:type="dxa"/>
            <w:tcBorders>
              <w:top w:val="single" w:sz="8" w:space="0" w:color="auto"/>
              <w:left w:val="nil"/>
              <w:bottom w:val="single" w:sz="4" w:space="0" w:color="auto"/>
              <w:right w:val="single" w:sz="4" w:space="0" w:color="auto"/>
            </w:tcBorders>
            <w:shd w:val="clear" w:color="000000" w:fill="FFFFFF"/>
            <w:noWrap/>
            <w:vAlign w:val="center"/>
            <w:hideMark/>
          </w:tcPr>
          <w:p w14:paraId="12332BE7"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2 461 480 315,49</w:t>
            </w:r>
          </w:p>
        </w:tc>
        <w:tc>
          <w:tcPr>
            <w:tcW w:w="1582" w:type="dxa"/>
            <w:tcBorders>
              <w:top w:val="single" w:sz="8" w:space="0" w:color="auto"/>
              <w:left w:val="nil"/>
              <w:bottom w:val="single" w:sz="4" w:space="0" w:color="auto"/>
              <w:right w:val="single" w:sz="8" w:space="0" w:color="auto"/>
            </w:tcBorders>
            <w:shd w:val="clear" w:color="000000" w:fill="FFFFFF"/>
            <w:noWrap/>
            <w:vAlign w:val="center"/>
            <w:hideMark/>
          </w:tcPr>
          <w:p w14:paraId="5027E53B"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407 464</w:t>
            </w:r>
          </w:p>
        </w:tc>
        <w:tc>
          <w:tcPr>
            <w:tcW w:w="1275" w:type="dxa"/>
            <w:tcBorders>
              <w:top w:val="single" w:sz="8" w:space="0" w:color="auto"/>
              <w:left w:val="nil"/>
              <w:bottom w:val="single" w:sz="4" w:space="0" w:color="auto"/>
              <w:right w:val="single" w:sz="8" w:space="0" w:color="auto"/>
            </w:tcBorders>
            <w:shd w:val="clear" w:color="000000" w:fill="C6E0B4"/>
            <w:noWrap/>
            <w:vAlign w:val="center"/>
            <w:hideMark/>
          </w:tcPr>
          <w:p w14:paraId="2591D7A2"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94,81%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14:paraId="670A3B77"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29</w:t>
            </w:r>
          </w:p>
        </w:tc>
        <w:tc>
          <w:tcPr>
            <w:tcW w:w="1954" w:type="dxa"/>
            <w:tcBorders>
              <w:top w:val="single" w:sz="8" w:space="0" w:color="auto"/>
              <w:left w:val="nil"/>
              <w:bottom w:val="single" w:sz="4" w:space="0" w:color="auto"/>
              <w:right w:val="single" w:sz="8" w:space="0" w:color="auto"/>
            </w:tcBorders>
            <w:shd w:val="clear" w:color="000000" w:fill="FFFFFF"/>
            <w:vAlign w:val="center"/>
            <w:hideMark/>
          </w:tcPr>
          <w:p w14:paraId="0E98275D" w14:textId="77777777" w:rsidR="006933E4" w:rsidRPr="006933E4" w:rsidRDefault="006933E4" w:rsidP="008B3339">
            <w:pPr>
              <w:widowControl/>
              <w:ind w:firstLine="0"/>
              <w:jc w:val="left"/>
              <w:rPr>
                <w:color w:val="000000"/>
                <w:sz w:val="20"/>
                <w:szCs w:val="20"/>
                <w:lang w:eastAsia="ru-RU"/>
              </w:rPr>
            </w:pPr>
            <w:r w:rsidRPr="006933E4">
              <w:rPr>
                <w:color w:val="000000"/>
                <w:sz w:val="20"/>
                <w:szCs w:val="20"/>
                <w:lang w:eastAsia="ru-RU"/>
              </w:rPr>
              <w:t>КБР на 1-ом месте, Ставропольский край ниже - на 30 месте (94,78%)</w:t>
            </w:r>
          </w:p>
        </w:tc>
      </w:tr>
      <w:tr w:rsidR="006933E4" w:rsidRPr="006933E4" w14:paraId="25393A1D" w14:textId="77777777" w:rsidTr="006933E4">
        <w:trPr>
          <w:trHeight w:val="600"/>
        </w:trPr>
        <w:tc>
          <w:tcPr>
            <w:tcW w:w="1362" w:type="dxa"/>
            <w:tcBorders>
              <w:top w:val="nil"/>
              <w:left w:val="single" w:sz="8" w:space="0" w:color="auto"/>
              <w:bottom w:val="single" w:sz="4" w:space="0" w:color="auto"/>
              <w:right w:val="single" w:sz="8" w:space="0" w:color="auto"/>
            </w:tcBorders>
            <w:shd w:val="clear" w:color="000000" w:fill="FFFFFF"/>
            <w:noWrap/>
            <w:vAlign w:val="center"/>
            <w:hideMark/>
          </w:tcPr>
          <w:p w14:paraId="4D00BD73" w14:textId="77777777" w:rsidR="006933E4" w:rsidRPr="006933E4" w:rsidRDefault="006933E4" w:rsidP="008B3339">
            <w:pPr>
              <w:widowControl/>
              <w:ind w:firstLine="0"/>
              <w:jc w:val="center"/>
              <w:rPr>
                <w:color w:val="000000"/>
                <w:sz w:val="20"/>
                <w:szCs w:val="20"/>
                <w:lang w:eastAsia="ru-RU"/>
              </w:rPr>
            </w:pPr>
            <w:r w:rsidRPr="006933E4">
              <w:rPr>
                <w:color w:val="000000"/>
                <w:sz w:val="20"/>
                <w:szCs w:val="20"/>
                <w:lang w:eastAsia="ru-RU"/>
              </w:rPr>
              <w:t>за 2024 г.</w:t>
            </w:r>
          </w:p>
        </w:tc>
        <w:tc>
          <w:tcPr>
            <w:tcW w:w="1676" w:type="dxa"/>
            <w:tcBorders>
              <w:top w:val="nil"/>
              <w:left w:val="nil"/>
              <w:bottom w:val="single" w:sz="4" w:space="0" w:color="auto"/>
              <w:right w:val="single" w:sz="4" w:space="0" w:color="auto"/>
            </w:tcBorders>
            <w:shd w:val="clear" w:color="000000" w:fill="FFFFFF"/>
            <w:noWrap/>
            <w:vAlign w:val="center"/>
            <w:hideMark/>
          </w:tcPr>
          <w:p w14:paraId="3070BB2C"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317</w:t>
            </w:r>
          </w:p>
        </w:tc>
        <w:tc>
          <w:tcPr>
            <w:tcW w:w="1442" w:type="dxa"/>
            <w:tcBorders>
              <w:top w:val="nil"/>
              <w:left w:val="nil"/>
              <w:bottom w:val="single" w:sz="4" w:space="0" w:color="auto"/>
              <w:right w:val="single" w:sz="8" w:space="0" w:color="auto"/>
            </w:tcBorders>
            <w:shd w:val="clear" w:color="000000" w:fill="FFFFFF"/>
            <w:noWrap/>
            <w:vAlign w:val="center"/>
            <w:hideMark/>
          </w:tcPr>
          <w:p w14:paraId="6FC94B04"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319</w:t>
            </w:r>
          </w:p>
        </w:tc>
        <w:tc>
          <w:tcPr>
            <w:tcW w:w="1974" w:type="dxa"/>
            <w:tcBorders>
              <w:top w:val="nil"/>
              <w:left w:val="nil"/>
              <w:bottom w:val="single" w:sz="4" w:space="0" w:color="auto"/>
              <w:right w:val="single" w:sz="4" w:space="0" w:color="auto"/>
            </w:tcBorders>
            <w:shd w:val="clear" w:color="000000" w:fill="FFFFFF"/>
            <w:noWrap/>
            <w:vAlign w:val="center"/>
            <w:hideMark/>
          </w:tcPr>
          <w:p w14:paraId="184FD5F6"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2 205 256 259,51</w:t>
            </w:r>
          </w:p>
        </w:tc>
        <w:tc>
          <w:tcPr>
            <w:tcW w:w="1472" w:type="dxa"/>
            <w:tcBorders>
              <w:top w:val="nil"/>
              <w:left w:val="nil"/>
              <w:bottom w:val="single" w:sz="4" w:space="0" w:color="auto"/>
              <w:right w:val="single" w:sz="8" w:space="0" w:color="auto"/>
            </w:tcBorders>
            <w:shd w:val="clear" w:color="000000" w:fill="FFFFFF"/>
            <w:noWrap/>
            <w:vAlign w:val="center"/>
            <w:hideMark/>
          </w:tcPr>
          <w:p w14:paraId="49CFFB6F"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345 114</w:t>
            </w:r>
          </w:p>
        </w:tc>
        <w:tc>
          <w:tcPr>
            <w:tcW w:w="1691" w:type="dxa"/>
            <w:tcBorders>
              <w:top w:val="nil"/>
              <w:left w:val="nil"/>
              <w:bottom w:val="single" w:sz="4" w:space="0" w:color="auto"/>
              <w:right w:val="single" w:sz="4" w:space="0" w:color="auto"/>
            </w:tcBorders>
            <w:shd w:val="clear" w:color="000000" w:fill="FFFFFF"/>
            <w:noWrap/>
            <w:vAlign w:val="center"/>
            <w:hideMark/>
          </w:tcPr>
          <w:p w14:paraId="4AEDAC96"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2 181 050 411,04</w:t>
            </w:r>
          </w:p>
        </w:tc>
        <w:tc>
          <w:tcPr>
            <w:tcW w:w="1582" w:type="dxa"/>
            <w:tcBorders>
              <w:top w:val="nil"/>
              <w:left w:val="nil"/>
              <w:bottom w:val="single" w:sz="4" w:space="0" w:color="auto"/>
              <w:right w:val="single" w:sz="8" w:space="0" w:color="auto"/>
            </w:tcBorders>
            <w:shd w:val="clear" w:color="000000" w:fill="FFFFFF"/>
            <w:noWrap/>
            <w:vAlign w:val="center"/>
            <w:hideMark/>
          </w:tcPr>
          <w:p w14:paraId="1B02D97A"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308 419</w:t>
            </w:r>
          </w:p>
        </w:tc>
        <w:tc>
          <w:tcPr>
            <w:tcW w:w="1275" w:type="dxa"/>
            <w:tcBorders>
              <w:top w:val="nil"/>
              <w:left w:val="nil"/>
              <w:bottom w:val="single" w:sz="4" w:space="0" w:color="auto"/>
              <w:right w:val="single" w:sz="8" w:space="0" w:color="auto"/>
            </w:tcBorders>
            <w:shd w:val="clear" w:color="000000" w:fill="C6E0B4"/>
            <w:noWrap/>
            <w:vAlign w:val="center"/>
            <w:hideMark/>
          </w:tcPr>
          <w:p w14:paraId="575DCEC6"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91,19%</w:t>
            </w:r>
          </w:p>
        </w:tc>
        <w:tc>
          <w:tcPr>
            <w:tcW w:w="567" w:type="dxa"/>
            <w:tcBorders>
              <w:top w:val="nil"/>
              <w:left w:val="nil"/>
              <w:bottom w:val="single" w:sz="4" w:space="0" w:color="auto"/>
              <w:right w:val="single" w:sz="4" w:space="0" w:color="auto"/>
            </w:tcBorders>
            <w:shd w:val="clear" w:color="000000" w:fill="FFFFFF"/>
            <w:noWrap/>
            <w:vAlign w:val="center"/>
            <w:hideMark/>
          </w:tcPr>
          <w:p w14:paraId="44D25746"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31</w:t>
            </w:r>
          </w:p>
        </w:tc>
        <w:tc>
          <w:tcPr>
            <w:tcW w:w="1954" w:type="dxa"/>
            <w:tcBorders>
              <w:top w:val="nil"/>
              <w:left w:val="nil"/>
              <w:bottom w:val="single" w:sz="4" w:space="0" w:color="auto"/>
              <w:right w:val="single" w:sz="8" w:space="0" w:color="auto"/>
            </w:tcBorders>
            <w:shd w:val="clear" w:color="000000" w:fill="FFFFFF"/>
            <w:vAlign w:val="center"/>
            <w:hideMark/>
          </w:tcPr>
          <w:p w14:paraId="546AEDFF" w14:textId="77777777" w:rsidR="006933E4" w:rsidRPr="006933E4" w:rsidRDefault="006933E4" w:rsidP="008B3339">
            <w:pPr>
              <w:widowControl/>
              <w:ind w:firstLine="0"/>
              <w:jc w:val="left"/>
              <w:rPr>
                <w:color w:val="000000"/>
                <w:sz w:val="20"/>
                <w:szCs w:val="20"/>
                <w:lang w:eastAsia="ru-RU"/>
              </w:rPr>
            </w:pPr>
            <w:r w:rsidRPr="006933E4">
              <w:rPr>
                <w:color w:val="000000"/>
                <w:sz w:val="20"/>
                <w:szCs w:val="20"/>
                <w:lang w:eastAsia="ru-RU"/>
              </w:rPr>
              <w:t>Выше КБР рейтинг только у Ставропольского края - на 30 месте (92,33%)</w:t>
            </w:r>
          </w:p>
        </w:tc>
      </w:tr>
      <w:tr w:rsidR="006933E4" w:rsidRPr="006933E4" w14:paraId="02470493" w14:textId="77777777" w:rsidTr="006933E4">
        <w:trPr>
          <w:trHeight w:val="600"/>
        </w:trPr>
        <w:tc>
          <w:tcPr>
            <w:tcW w:w="1362" w:type="dxa"/>
            <w:tcBorders>
              <w:top w:val="nil"/>
              <w:left w:val="single" w:sz="8" w:space="0" w:color="auto"/>
              <w:bottom w:val="single" w:sz="4" w:space="0" w:color="auto"/>
              <w:right w:val="single" w:sz="8" w:space="0" w:color="auto"/>
            </w:tcBorders>
            <w:shd w:val="clear" w:color="000000" w:fill="FFFFFF"/>
            <w:noWrap/>
            <w:vAlign w:val="center"/>
            <w:hideMark/>
          </w:tcPr>
          <w:p w14:paraId="1F772249" w14:textId="77777777" w:rsidR="006933E4" w:rsidRPr="006933E4" w:rsidRDefault="006933E4" w:rsidP="008B3339">
            <w:pPr>
              <w:widowControl/>
              <w:ind w:firstLine="0"/>
              <w:jc w:val="center"/>
              <w:rPr>
                <w:color w:val="000000"/>
                <w:sz w:val="20"/>
                <w:szCs w:val="20"/>
                <w:lang w:eastAsia="ru-RU"/>
              </w:rPr>
            </w:pPr>
            <w:r w:rsidRPr="006933E4">
              <w:rPr>
                <w:color w:val="000000"/>
                <w:sz w:val="20"/>
                <w:szCs w:val="20"/>
                <w:lang w:eastAsia="ru-RU"/>
              </w:rPr>
              <w:t>за 2023 г.</w:t>
            </w:r>
          </w:p>
        </w:tc>
        <w:tc>
          <w:tcPr>
            <w:tcW w:w="1676" w:type="dxa"/>
            <w:tcBorders>
              <w:top w:val="nil"/>
              <w:left w:val="nil"/>
              <w:bottom w:val="single" w:sz="4" w:space="0" w:color="auto"/>
              <w:right w:val="single" w:sz="4" w:space="0" w:color="auto"/>
            </w:tcBorders>
            <w:shd w:val="clear" w:color="auto" w:fill="auto"/>
            <w:noWrap/>
            <w:vAlign w:val="center"/>
            <w:hideMark/>
          </w:tcPr>
          <w:p w14:paraId="386B0364"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41</w:t>
            </w:r>
          </w:p>
        </w:tc>
        <w:tc>
          <w:tcPr>
            <w:tcW w:w="1442" w:type="dxa"/>
            <w:tcBorders>
              <w:top w:val="nil"/>
              <w:left w:val="nil"/>
              <w:bottom w:val="single" w:sz="4" w:space="0" w:color="auto"/>
              <w:right w:val="single" w:sz="8" w:space="0" w:color="auto"/>
            </w:tcBorders>
            <w:shd w:val="clear" w:color="000000" w:fill="FFFFFF"/>
            <w:noWrap/>
            <w:vAlign w:val="center"/>
            <w:hideMark/>
          </w:tcPr>
          <w:p w14:paraId="7C6DE7FE"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316</w:t>
            </w:r>
          </w:p>
        </w:tc>
        <w:tc>
          <w:tcPr>
            <w:tcW w:w="1974" w:type="dxa"/>
            <w:tcBorders>
              <w:top w:val="nil"/>
              <w:left w:val="nil"/>
              <w:bottom w:val="single" w:sz="4" w:space="0" w:color="auto"/>
              <w:right w:val="single" w:sz="4" w:space="0" w:color="auto"/>
            </w:tcBorders>
            <w:shd w:val="clear" w:color="auto" w:fill="auto"/>
            <w:noWrap/>
            <w:vAlign w:val="center"/>
            <w:hideMark/>
          </w:tcPr>
          <w:p w14:paraId="1F6A0538"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325 338 224,17</w:t>
            </w:r>
          </w:p>
        </w:tc>
        <w:tc>
          <w:tcPr>
            <w:tcW w:w="1472" w:type="dxa"/>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4156F841" w14:textId="77777777" w:rsidR="006933E4" w:rsidRPr="006933E4" w:rsidRDefault="006933E4" w:rsidP="006933E4">
            <w:pPr>
              <w:widowControl/>
              <w:ind w:firstLine="0"/>
              <w:jc w:val="center"/>
              <w:rPr>
                <w:color w:val="9C0006"/>
                <w:sz w:val="20"/>
                <w:szCs w:val="20"/>
                <w:lang w:eastAsia="ru-RU"/>
              </w:rPr>
            </w:pPr>
            <w:r w:rsidRPr="006933E4">
              <w:rPr>
                <w:color w:val="9C0006"/>
                <w:sz w:val="20"/>
                <w:szCs w:val="20"/>
                <w:lang w:eastAsia="ru-RU"/>
              </w:rPr>
              <w:t>64 959</w:t>
            </w:r>
          </w:p>
        </w:tc>
        <w:tc>
          <w:tcPr>
            <w:tcW w:w="1691" w:type="dxa"/>
            <w:tcBorders>
              <w:top w:val="nil"/>
              <w:left w:val="nil"/>
              <w:bottom w:val="single" w:sz="4" w:space="0" w:color="auto"/>
              <w:right w:val="single" w:sz="4" w:space="0" w:color="auto"/>
            </w:tcBorders>
            <w:shd w:val="clear" w:color="auto" w:fill="auto"/>
            <w:noWrap/>
            <w:vAlign w:val="center"/>
            <w:hideMark/>
          </w:tcPr>
          <w:p w14:paraId="407EB752"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1 410 163 903,27</w:t>
            </w:r>
          </w:p>
        </w:tc>
        <w:tc>
          <w:tcPr>
            <w:tcW w:w="1582" w:type="dxa"/>
            <w:tcBorders>
              <w:top w:val="nil"/>
              <w:left w:val="nil"/>
              <w:bottom w:val="single" w:sz="4" w:space="0" w:color="auto"/>
              <w:right w:val="single" w:sz="8" w:space="0" w:color="auto"/>
            </w:tcBorders>
            <w:shd w:val="clear" w:color="auto" w:fill="auto"/>
            <w:noWrap/>
            <w:vAlign w:val="center"/>
            <w:hideMark/>
          </w:tcPr>
          <w:p w14:paraId="584B993B"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258 079</w:t>
            </w:r>
          </w:p>
        </w:tc>
        <w:tc>
          <w:tcPr>
            <w:tcW w:w="1275" w:type="dxa"/>
            <w:tcBorders>
              <w:top w:val="nil"/>
              <w:left w:val="nil"/>
              <w:bottom w:val="single" w:sz="4" w:space="0" w:color="auto"/>
              <w:right w:val="single" w:sz="8" w:space="0" w:color="auto"/>
            </w:tcBorders>
            <w:shd w:val="clear" w:color="000000" w:fill="FFFF99"/>
            <w:noWrap/>
            <w:vAlign w:val="center"/>
            <w:hideMark/>
          </w:tcPr>
          <w:p w14:paraId="67426178"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7,74%</w:t>
            </w:r>
          </w:p>
        </w:tc>
        <w:tc>
          <w:tcPr>
            <w:tcW w:w="567" w:type="dxa"/>
            <w:tcBorders>
              <w:top w:val="nil"/>
              <w:left w:val="nil"/>
              <w:bottom w:val="single" w:sz="4" w:space="0" w:color="auto"/>
              <w:right w:val="single" w:sz="4" w:space="0" w:color="auto"/>
            </w:tcBorders>
            <w:shd w:val="clear" w:color="000000" w:fill="FFFFFF"/>
            <w:noWrap/>
            <w:vAlign w:val="center"/>
            <w:hideMark/>
          </w:tcPr>
          <w:p w14:paraId="78A22E27"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83</w:t>
            </w:r>
          </w:p>
        </w:tc>
        <w:tc>
          <w:tcPr>
            <w:tcW w:w="1954"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00D18E26" w14:textId="77777777" w:rsidR="006933E4" w:rsidRPr="006933E4" w:rsidRDefault="006933E4" w:rsidP="008B3339">
            <w:pPr>
              <w:widowControl/>
              <w:ind w:firstLine="0"/>
              <w:jc w:val="left"/>
              <w:rPr>
                <w:color w:val="auto"/>
                <w:sz w:val="20"/>
                <w:szCs w:val="20"/>
                <w:lang w:eastAsia="ru-RU"/>
              </w:rPr>
            </w:pPr>
            <w:r w:rsidRPr="006933E4">
              <w:rPr>
                <w:color w:val="auto"/>
                <w:sz w:val="20"/>
                <w:szCs w:val="20"/>
                <w:lang w:eastAsia="ru-RU"/>
              </w:rPr>
              <w:t xml:space="preserve">Ниже, чем у КБР, рейтинг только у Республики Дагестан (на 84 месте) </w:t>
            </w:r>
            <w:r w:rsidRPr="006933E4">
              <w:rPr>
                <w:color w:val="auto"/>
                <w:sz w:val="20"/>
                <w:szCs w:val="20"/>
                <w:lang w:eastAsia="ru-RU"/>
              </w:rPr>
              <w:br/>
              <w:t>и Республики Ингушетия (на 85 месте)</w:t>
            </w:r>
          </w:p>
        </w:tc>
      </w:tr>
      <w:tr w:rsidR="006933E4" w:rsidRPr="006933E4" w14:paraId="0AF1DC90" w14:textId="77777777" w:rsidTr="006933E4">
        <w:trPr>
          <w:trHeight w:val="600"/>
        </w:trPr>
        <w:tc>
          <w:tcPr>
            <w:tcW w:w="1362" w:type="dxa"/>
            <w:tcBorders>
              <w:top w:val="nil"/>
              <w:left w:val="single" w:sz="8" w:space="0" w:color="auto"/>
              <w:bottom w:val="single" w:sz="4" w:space="0" w:color="auto"/>
              <w:right w:val="single" w:sz="8" w:space="0" w:color="auto"/>
            </w:tcBorders>
            <w:shd w:val="clear" w:color="000000" w:fill="FFFFFF"/>
            <w:noWrap/>
            <w:vAlign w:val="center"/>
            <w:hideMark/>
          </w:tcPr>
          <w:p w14:paraId="79873ACA" w14:textId="77777777" w:rsidR="006933E4" w:rsidRPr="006933E4" w:rsidRDefault="006933E4" w:rsidP="008B3339">
            <w:pPr>
              <w:widowControl/>
              <w:ind w:firstLine="0"/>
              <w:jc w:val="center"/>
              <w:rPr>
                <w:color w:val="000000"/>
                <w:sz w:val="20"/>
                <w:szCs w:val="20"/>
                <w:lang w:eastAsia="ru-RU"/>
              </w:rPr>
            </w:pPr>
            <w:r w:rsidRPr="006933E4">
              <w:rPr>
                <w:color w:val="000000"/>
                <w:sz w:val="20"/>
                <w:szCs w:val="20"/>
                <w:lang w:eastAsia="ru-RU"/>
              </w:rPr>
              <w:t>за 2022 г.</w:t>
            </w:r>
          </w:p>
        </w:tc>
        <w:tc>
          <w:tcPr>
            <w:tcW w:w="1676" w:type="dxa"/>
            <w:tcBorders>
              <w:top w:val="nil"/>
              <w:left w:val="nil"/>
              <w:bottom w:val="single" w:sz="4" w:space="0" w:color="auto"/>
              <w:right w:val="single" w:sz="4" w:space="0" w:color="auto"/>
            </w:tcBorders>
            <w:shd w:val="clear" w:color="auto" w:fill="auto"/>
            <w:noWrap/>
            <w:vAlign w:val="center"/>
            <w:hideMark/>
          </w:tcPr>
          <w:p w14:paraId="53E75658"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48</w:t>
            </w:r>
          </w:p>
        </w:tc>
        <w:tc>
          <w:tcPr>
            <w:tcW w:w="1442" w:type="dxa"/>
            <w:tcBorders>
              <w:top w:val="nil"/>
              <w:left w:val="nil"/>
              <w:bottom w:val="single" w:sz="4" w:space="0" w:color="auto"/>
              <w:right w:val="single" w:sz="8" w:space="0" w:color="auto"/>
            </w:tcBorders>
            <w:shd w:val="clear" w:color="000000" w:fill="FFFFFF"/>
            <w:noWrap/>
            <w:vAlign w:val="center"/>
            <w:hideMark/>
          </w:tcPr>
          <w:p w14:paraId="6CE86254"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310</w:t>
            </w:r>
          </w:p>
        </w:tc>
        <w:tc>
          <w:tcPr>
            <w:tcW w:w="1974" w:type="dxa"/>
            <w:tcBorders>
              <w:top w:val="nil"/>
              <w:left w:val="nil"/>
              <w:bottom w:val="single" w:sz="4" w:space="0" w:color="auto"/>
              <w:right w:val="single" w:sz="4" w:space="0" w:color="auto"/>
            </w:tcBorders>
            <w:shd w:val="clear" w:color="auto" w:fill="auto"/>
            <w:noWrap/>
            <w:vAlign w:val="center"/>
            <w:hideMark/>
          </w:tcPr>
          <w:p w14:paraId="2A113417"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468 854 939,21</w:t>
            </w:r>
          </w:p>
        </w:tc>
        <w:tc>
          <w:tcPr>
            <w:tcW w:w="1472" w:type="dxa"/>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71082EB1" w14:textId="77777777" w:rsidR="006933E4" w:rsidRPr="006933E4" w:rsidRDefault="006933E4" w:rsidP="006933E4">
            <w:pPr>
              <w:widowControl/>
              <w:ind w:firstLine="0"/>
              <w:jc w:val="center"/>
              <w:rPr>
                <w:color w:val="9C0006"/>
                <w:sz w:val="20"/>
                <w:szCs w:val="20"/>
                <w:lang w:eastAsia="ru-RU"/>
              </w:rPr>
            </w:pPr>
            <w:r w:rsidRPr="006933E4">
              <w:rPr>
                <w:color w:val="9C0006"/>
                <w:sz w:val="20"/>
                <w:szCs w:val="20"/>
                <w:lang w:eastAsia="ru-RU"/>
              </w:rPr>
              <w:t>74 344</w:t>
            </w:r>
          </w:p>
        </w:tc>
        <w:tc>
          <w:tcPr>
            <w:tcW w:w="1691" w:type="dxa"/>
            <w:tcBorders>
              <w:top w:val="nil"/>
              <w:left w:val="nil"/>
              <w:bottom w:val="single" w:sz="4" w:space="0" w:color="auto"/>
              <w:right w:val="single" w:sz="4" w:space="0" w:color="auto"/>
            </w:tcBorders>
            <w:shd w:val="clear" w:color="auto" w:fill="auto"/>
            <w:noWrap/>
            <w:vAlign w:val="center"/>
            <w:hideMark/>
          </w:tcPr>
          <w:p w14:paraId="61F4426C"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1 470 943 437,43</w:t>
            </w:r>
          </w:p>
        </w:tc>
        <w:tc>
          <w:tcPr>
            <w:tcW w:w="1582" w:type="dxa"/>
            <w:tcBorders>
              <w:top w:val="nil"/>
              <w:left w:val="nil"/>
              <w:bottom w:val="single" w:sz="4" w:space="0" w:color="auto"/>
              <w:right w:val="single" w:sz="8" w:space="0" w:color="auto"/>
            </w:tcBorders>
            <w:shd w:val="clear" w:color="auto" w:fill="auto"/>
            <w:noWrap/>
            <w:vAlign w:val="center"/>
            <w:hideMark/>
          </w:tcPr>
          <w:p w14:paraId="72A50877"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286 295</w:t>
            </w:r>
          </w:p>
        </w:tc>
        <w:tc>
          <w:tcPr>
            <w:tcW w:w="1275" w:type="dxa"/>
            <w:tcBorders>
              <w:top w:val="nil"/>
              <w:left w:val="nil"/>
              <w:bottom w:val="single" w:sz="4" w:space="0" w:color="auto"/>
              <w:right w:val="single" w:sz="8" w:space="0" w:color="auto"/>
            </w:tcBorders>
            <w:shd w:val="clear" w:color="000000" w:fill="FFFF99"/>
            <w:noWrap/>
            <w:vAlign w:val="center"/>
            <w:hideMark/>
          </w:tcPr>
          <w:p w14:paraId="4042B843"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8,62%</w:t>
            </w:r>
          </w:p>
        </w:tc>
        <w:tc>
          <w:tcPr>
            <w:tcW w:w="567" w:type="dxa"/>
            <w:tcBorders>
              <w:top w:val="nil"/>
              <w:left w:val="nil"/>
              <w:bottom w:val="single" w:sz="4" w:space="0" w:color="auto"/>
              <w:right w:val="single" w:sz="4" w:space="0" w:color="auto"/>
            </w:tcBorders>
            <w:shd w:val="clear" w:color="000000" w:fill="FFFFFF"/>
            <w:noWrap/>
            <w:vAlign w:val="center"/>
            <w:hideMark/>
          </w:tcPr>
          <w:p w14:paraId="5AA3C611"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82</w:t>
            </w:r>
          </w:p>
        </w:tc>
        <w:tc>
          <w:tcPr>
            <w:tcW w:w="1954" w:type="dxa"/>
            <w:vMerge/>
            <w:tcBorders>
              <w:top w:val="nil"/>
              <w:left w:val="single" w:sz="4" w:space="0" w:color="auto"/>
              <w:bottom w:val="single" w:sz="4" w:space="0" w:color="000000"/>
              <w:right w:val="single" w:sz="8" w:space="0" w:color="auto"/>
            </w:tcBorders>
            <w:vAlign w:val="center"/>
            <w:hideMark/>
          </w:tcPr>
          <w:p w14:paraId="57F27150" w14:textId="77777777" w:rsidR="006933E4" w:rsidRPr="006933E4" w:rsidRDefault="006933E4" w:rsidP="008B3339">
            <w:pPr>
              <w:widowControl/>
              <w:ind w:firstLine="0"/>
              <w:jc w:val="left"/>
              <w:rPr>
                <w:color w:val="auto"/>
                <w:sz w:val="20"/>
                <w:szCs w:val="20"/>
                <w:lang w:eastAsia="ru-RU"/>
              </w:rPr>
            </w:pPr>
          </w:p>
        </w:tc>
      </w:tr>
      <w:tr w:rsidR="006933E4" w:rsidRPr="006933E4" w14:paraId="231BEA8D" w14:textId="77777777" w:rsidTr="006933E4">
        <w:trPr>
          <w:trHeight w:val="600"/>
        </w:trPr>
        <w:tc>
          <w:tcPr>
            <w:tcW w:w="1362" w:type="dxa"/>
            <w:tcBorders>
              <w:top w:val="nil"/>
              <w:left w:val="single" w:sz="8" w:space="0" w:color="auto"/>
              <w:bottom w:val="single" w:sz="4" w:space="0" w:color="auto"/>
              <w:right w:val="single" w:sz="8" w:space="0" w:color="auto"/>
            </w:tcBorders>
            <w:shd w:val="clear" w:color="000000" w:fill="FFFFFF"/>
            <w:noWrap/>
            <w:vAlign w:val="center"/>
            <w:hideMark/>
          </w:tcPr>
          <w:p w14:paraId="7BA73343" w14:textId="77777777" w:rsidR="006933E4" w:rsidRPr="006933E4" w:rsidRDefault="006933E4" w:rsidP="008B3339">
            <w:pPr>
              <w:widowControl/>
              <w:ind w:firstLine="0"/>
              <w:jc w:val="center"/>
              <w:rPr>
                <w:color w:val="000000"/>
                <w:sz w:val="20"/>
                <w:szCs w:val="20"/>
                <w:lang w:eastAsia="ru-RU"/>
              </w:rPr>
            </w:pPr>
            <w:r w:rsidRPr="006933E4">
              <w:rPr>
                <w:color w:val="000000"/>
                <w:sz w:val="20"/>
                <w:szCs w:val="20"/>
                <w:lang w:eastAsia="ru-RU"/>
              </w:rPr>
              <w:t>за 2021 г.</w:t>
            </w:r>
          </w:p>
        </w:tc>
        <w:tc>
          <w:tcPr>
            <w:tcW w:w="1676" w:type="dxa"/>
            <w:tcBorders>
              <w:top w:val="nil"/>
              <w:left w:val="nil"/>
              <w:bottom w:val="single" w:sz="4" w:space="0" w:color="auto"/>
              <w:right w:val="single" w:sz="4" w:space="0" w:color="auto"/>
            </w:tcBorders>
            <w:shd w:val="clear" w:color="auto" w:fill="auto"/>
            <w:noWrap/>
            <w:vAlign w:val="center"/>
            <w:hideMark/>
          </w:tcPr>
          <w:p w14:paraId="58667EF5"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29</w:t>
            </w:r>
          </w:p>
        </w:tc>
        <w:tc>
          <w:tcPr>
            <w:tcW w:w="1442" w:type="dxa"/>
            <w:tcBorders>
              <w:top w:val="nil"/>
              <w:left w:val="nil"/>
              <w:bottom w:val="single" w:sz="4" w:space="0" w:color="auto"/>
              <w:right w:val="single" w:sz="8" w:space="0" w:color="auto"/>
            </w:tcBorders>
            <w:shd w:val="clear" w:color="000000" w:fill="FFFFFF"/>
            <w:noWrap/>
            <w:vAlign w:val="center"/>
            <w:hideMark/>
          </w:tcPr>
          <w:p w14:paraId="6F217350"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310</w:t>
            </w:r>
          </w:p>
        </w:tc>
        <w:tc>
          <w:tcPr>
            <w:tcW w:w="1974" w:type="dxa"/>
            <w:tcBorders>
              <w:top w:val="nil"/>
              <w:left w:val="nil"/>
              <w:bottom w:val="single" w:sz="4" w:space="0" w:color="auto"/>
              <w:right w:val="single" w:sz="4" w:space="0" w:color="auto"/>
            </w:tcBorders>
            <w:shd w:val="clear" w:color="auto" w:fill="auto"/>
            <w:noWrap/>
            <w:vAlign w:val="center"/>
            <w:hideMark/>
          </w:tcPr>
          <w:p w14:paraId="7151BCFE"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674 951 431,98</w:t>
            </w:r>
          </w:p>
        </w:tc>
        <w:tc>
          <w:tcPr>
            <w:tcW w:w="1472" w:type="dxa"/>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67CC6311" w14:textId="77777777" w:rsidR="006933E4" w:rsidRPr="006933E4" w:rsidRDefault="006933E4" w:rsidP="006933E4">
            <w:pPr>
              <w:widowControl/>
              <w:ind w:firstLine="0"/>
              <w:jc w:val="center"/>
              <w:rPr>
                <w:color w:val="9C0006"/>
                <w:sz w:val="20"/>
                <w:szCs w:val="20"/>
                <w:lang w:eastAsia="ru-RU"/>
              </w:rPr>
            </w:pPr>
            <w:r w:rsidRPr="006933E4">
              <w:rPr>
                <w:color w:val="9C0006"/>
                <w:sz w:val="20"/>
                <w:szCs w:val="20"/>
                <w:lang w:eastAsia="ru-RU"/>
              </w:rPr>
              <w:t>71 544</w:t>
            </w:r>
          </w:p>
        </w:tc>
        <w:tc>
          <w:tcPr>
            <w:tcW w:w="1691" w:type="dxa"/>
            <w:tcBorders>
              <w:top w:val="nil"/>
              <w:left w:val="nil"/>
              <w:bottom w:val="single" w:sz="4" w:space="0" w:color="auto"/>
              <w:right w:val="single" w:sz="4" w:space="0" w:color="auto"/>
            </w:tcBorders>
            <w:shd w:val="clear" w:color="auto" w:fill="auto"/>
            <w:noWrap/>
            <w:vAlign w:val="center"/>
            <w:hideMark/>
          </w:tcPr>
          <w:p w14:paraId="27017AB0"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1 443 227 257,71</w:t>
            </w:r>
          </w:p>
        </w:tc>
        <w:tc>
          <w:tcPr>
            <w:tcW w:w="1582" w:type="dxa"/>
            <w:tcBorders>
              <w:top w:val="nil"/>
              <w:left w:val="nil"/>
              <w:bottom w:val="single" w:sz="4" w:space="0" w:color="auto"/>
              <w:right w:val="single" w:sz="8" w:space="0" w:color="auto"/>
            </w:tcBorders>
            <w:shd w:val="clear" w:color="auto" w:fill="auto"/>
            <w:noWrap/>
            <w:vAlign w:val="center"/>
            <w:hideMark/>
          </w:tcPr>
          <w:p w14:paraId="7ECC80E9"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296 085</w:t>
            </w:r>
          </w:p>
        </w:tc>
        <w:tc>
          <w:tcPr>
            <w:tcW w:w="1275" w:type="dxa"/>
            <w:tcBorders>
              <w:top w:val="nil"/>
              <w:left w:val="nil"/>
              <w:bottom w:val="single" w:sz="4" w:space="0" w:color="auto"/>
              <w:right w:val="single" w:sz="8" w:space="0" w:color="auto"/>
            </w:tcBorders>
            <w:shd w:val="clear" w:color="000000" w:fill="FFFF99"/>
            <w:noWrap/>
            <w:vAlign w:val="center"/>
            <w:hideMark/>
          </w:tcPr>
          <w:p w14:paraId="067A55B9"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6,74%</w:t>
            </w:r>
          </w:p>
        </w:tc>
        <w:tc>
          <w:tcPr>
            <w:tcW w:w="567" w:type="dxa"/>
            <w:tcBorders>
              <w:top w:val="nil"/>
              <w:left w:val="nil"/>
              <w:bottom w:val="single" w:sz="4" w:space="0" w:color="auto"/>
              <w:right w:val="single" w:sz="4" w:space="0" w:color="auto"/>
            </w:tcBorders>
            <w:shd w:val="clear" w:color="000000" w:fill="FFFFFF"/>
            <w:noWrap/>
            <w:vAlign w:val="center"/>
            <w:hideMark/>
          </w:tcPr>
          <w:p w14:paraId="1E373D0D"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83</w:t>
            </w:r>
          </w:p>
        </w:tc>
        <w:tc>
          <w:tcPr>
            <w:tcW w:w="1954" w:type="dxa"/>
            <w:vMerge/>
            <w:tcBorders>
              <w:top w:val="nil"/>
              <w:left w:val="single" w:sz="4" w:space="0" w:color="auto"/>
              <w:bottom w:val="single" w:sz="4" w:space="0" w:color="000000"/>
              <w:right w:val="single" w:sz="8" w:space="0" w:color="auto"/>
            </w:tcBorders>
            <w:vAlign w:val="center"/>
            <w:hideMark/>
          </w:tcPr>
          <w:p w14:paraId="482DE0F5" w14:textId="77777777" w:rsidR="006933E4" w:rsidRPr="006933E4" w:rsidRDefault="006933E4" w:rsidP="008B3339">
            <w:pPr>
              <w:widowControl/>
              <w:ind w:firstLine="0"/>
              <w:jc w:val="left"/>
              <w:rPr>
                <w:color w:val="auto"/>
                <w:sz w:val="20"/>
                <w:szCs w:val="20"/>
                <w:lang w:eastAsia="ru-RU"/>
              </w:rPr>
            </w:pPr>
          </w:p>
        </w:tc>
      </w:tr>
      <w:tr w:rsidR="006933E4" w:rsidRPr="006933E4" w14:paraId="5034B519" w14:textId="77777777" w:rsidTr="006933E4">
        <w:trPr>
          <w:trHeight w:val="600"/>
        </w:trPr>
        <w:tc>
          <w:tcPr>
            <w:tcW w:w="1362" w:type="dxa"/>
            <w:tcBorders>
              <w:top w:val="nil"/>
              <w:left w:val="single" w:sz="8" w:space="0" w:color="auto"/>
              <w:bottom w:val="single" w:sz="4" w:space="0" w:color="auto"/>
              <w:right w:val="single" w:sz="8" w:space="0" w:color="auto"/>
            </w:tcBorders>
            <w:shd w:val="clear" w:color="000000" w:fill="FFFFFF"/>
            <w:noWrap/>
            <w:vAlign w:val="center"/>
            <w:hideMark/>
          </w:tcPr>
          <w:p w14:paraId="0101EB02" w14:textId="77777777" w:rsidR="006933E4" w:rsidRPr="006933E4" w:rsidRDefault="006933E4" w:rsidP="008B3339">
            <w:pPr>
              <w:widowControl/>
              <w:ind w:firstLine="0"/>
              <w:jc w:val="center"/>
              <w:rPr>
                <w:color w:val="000000"/>
                <w:sz w:val="20"/>
                <w:szCs w:val="20"/>
                <w:lang w:eastAsia="ru-RU"/>
              </w:rPr>
            </w:pPr>
            <w:r w:rsidRPr="006933E4">
              <w:rPr>
                <w:color w:val="000000"/>
                <w:sz w:val="20"/>
                <w:szCs w:val="20"/>
                <w:lang w:eastAsia="ru-RU"/>
              </w:rPr>
              <w:t>за 2020 г.</w:t>
            </w:r>
          </w:p>
        </w:tc>
        <w:tc>
          <w:tcPr>
            <w:tcW w:w="1676" w:type="dxa"/>
            <w:tcBorders>
              <w:top w:val="nil"/>
              <w:left w:val="nil"/>
              <w:bottom w:val="single" w:sz="4" w:space="0" w:color="auto"/>
              <w:right w:val="single" w:sz="4" w:space="0" w:color="auto"/>
            </w:tcBorders>
            <w:shd w:val="clear" w:color="auto" w:fill="auto"/>
            <w:noWrap/>
            <w:vAlign w:val="center"/>
            <w:hideMark/>
          </w:tcPr>
          <w:p w14:paraId="41A15FA7"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127</w:t>
            </w:r>
          </w:p>
        </w:tc>
        <w:tc>
          <w:tcPr>
            <w:tcW w:w="1442" w:type="dxa"/>
            <w:tcBorders>
              <w:top w:val="nil"/>
              <w:left w:val="nil"/>
              <w:bottom w:val="single" w:sz="4" w:space="0" w:color="auto"/>
              <w:right w:val="single" w:sz="8" w:space="0" w:color="auto"/>
            </w:tcBorders>
            <w:shd w:val="clear" w:color="000000" w:fill="FFFFFF"/>
            <w:noWrap/>
            <w:vAlign w:val="center"/>
            <w:hideMark/>
          </w:tcPr>
          <w:p w14:paraId="66DF5EC9"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313</w:t>
            </w:r>
          </w:p>
        </w:tc>
        <w:tc>
          <w:tcPr>
            <w:tcW w:w="1974" w:type="dxa"/>
            <w:tcBorders>
              <w:top w:val="nil"/>
              <w:left w:val="nil"/>
              <w:bottom w:val="single" w:sz="4" w:space="0" w:color="auto"/>
              <w:right w:val="single" w:sz="4" w:space="0" w:color="auto"/>
            </w:tcBorders>
            <w:shd w:val="clear" w:color="auto" w:fill="auto"/>
            <w:noWrap/>
            <w:vAlign w:val="center"/>
            <w:hideMark/>
          </w:tcPr>
          <w:p w14:paraId="22443783"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433 982 400,46</w:t>
            </w:r>
          </w:p>
        </w:tc>
        <w:tc>
          <w:tcPr>
            <w:tcW w:w="1472" w:type="dxa"/>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2E12650C" w14:textId="77777777" w:rsidR="006933E4" w:rsidRPr="006933E4" w:rsidRDefault="006933E4" w:rsidP="006933E4">
            <w:pPr>
              <w:widowControl/>
              <w:ind w:firstLine="0"/>
              <w:jc w:val="center"/>
              <w:rPr>
                <w:color w:val="9C0006"/>
                <w:sz w:val="20"/>
                <w:szCs w:val="20"/>
                <w:lang w:eastAsia="ru-RU"/>
              </w:rPr>
            </w:pPr>
            <w:r w:rsidRPr="006933E4">
              <w:rPr>
                <w:color w:val="9C0006"/>
                <w:sz w:val="20"/>
                <w:szCs w:val="20"/>
                <w:lang w:eastAsia="ru-RU"/>
              </w:rPr>
              <w:t>89 659</w:t>
            </w:r>
          </w:p>
        </w:tc>
        <w:tc>
          <w:tcPr>
            <w:tcW w:w="1691" w:type="dxa"/>
            <w:tcBorders>
              <w:top w:val="nil"/>
              <w:left w:val="nil"/>
              <w:bottom w:val="single" w:sz="4" w:space="0" w:color="auto"/>
              <w:right w:val="single" w:sz="4" w:space="0" w:color="auto"/>
            </w:tcBorders>
            <w:shd w:val="clear" w:color="auto" w:fill="auto"/>
            <w:noWrap/>
            <w:vAlign w:val="center"/>
            <w:hideMark/>
          </w:tcPr>
          <w:p w14:paraId="12BB49A4"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1 195 470 061,50</w:t>
            </w:r>
          </w:p>
        </w:tc>
        <w:tc>
          <w:tcPr>
            <w:tcW w:w="1582" w:type="dxa"/>
            <w:tcBorders>
              <w:top w:val="nil"/>
              <w:left w:val="nil"/>
              <w:bottom w:val="single" w:sz="4" w:space="0" w:color="auto"/>
              <w:right w:val="single" w:sz="8" w:space="0" w:color="auto"/>
            </w:tcBorders>
            <w:shd w:val="clear" w:color="auto" w:fill="auto"/>
            <w:noWrap/>
            <w:vAlign w:val="center"/>
            <w:hideMark/>
          </w:tcPr>
          <w:p w14:paraId="3604C89C" w14:textId="77777777" w:rsidR="006933E4" w:rsidRPr="006933E4" w:rsidRDefault="006933E4" w:rsidP="006933E4">
            <w:pPr>
              <w:widowControl/>
              <w:ind w:firstLine="0"/>
              <w:jc w:val="center"/>
              <w:rPr>
                <w:color w:val="auto"/>
                <w:sz w:val="20"/>
                <w:szCs w:val="20"/>
                <w:lang w:eastAsia="ru-RU"/>
              </w:rPr>
            </w:pPr>
            <w:r w:rsidRPr="006933E4">
              <w:rPr>
                <w:color w:val="auto"/>
                <w:sz w:val="20"/>
                <w:szCs w:val="20"/>
                <w:lang w:eastAsia="ru-RU"/>
              </w:rPr>
              <w:t>230 758</w:t>
            </w:r>
          </w:p>
        </w:tc>
        <w:tc>
          <w:tcPr>
            <w:tcW w:w="1275" w:type="dxa"/>
            <w:tcBorders>
              <w:top w:val="nil"/>
              <w:left w:val="nil"/>
              <w:bottom w:val="single" w:sz="4" w:space="0" w:color="auto"/>
              <w:right w:val="single" w:sz="8" w:space="0" w:color="auto"/>
            </w:tcBorders>
            <w:shd w:val="clear" w:color="000000" w:fill="FFFF99"/>
            <w:noWrap/>
            <w:vAlign w:val="center"/>
            <w:hideMark/>
          </w:tcPr>
          <w:p w14:paraId="7090CCB4"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22,41%</w:t>
            </w:r>
          </w:p>
        </w:tc>
        <w:tc>
          <w:tcPr>
            <w:tcW w:w="567" w:type="dxa"/>
            <w:tcBorders>
              <w:top w:val="nil"/>
              <w:left w:val="nil"/>
              <w:bottom w:val="single" w:sz="4" w:space="0" w:color="auto"/>
              <w:right w:val="single" w:sz="4" w:space="0" w:color="auto"/>
            </w:tcBorders>
            <w:shd w:val="clear" w:color="000000" w:fill="FFFFFF"/>
            <w:noWrap/>
            <w:vAlign w:val="center"/>
            <w:hideMark/>
          </w:tcPr>
          <w:p w14:paraId="7E0A12E4" w14:textId="77777777" w:rsidR="006933E4" w:rsidRPr="006933E4" w:rsidRDefault="006933E4" w:rsidP="006933E4">
            <w:pPr>
              <w:widowControl/>
              <w:ind w:firstLine="0"/>
              <w:jc w:val="center"/>
              <w:rPr>
                <w:color w:val="000000"/>
                <w:sz w:val="20"/>
                <w:szCs w:val="20"/>
                <w:lang w:eastAsia="ru-RU"/>
              </w:rPr>
            </w:pPr>
            <w:r w:rsidRPr="006933E4">
              <w:rPr>
                <w:color w:val="000000"/>
                <w:sz w:val="20"/>
                <w:szCs w:val="20"/>
                <w:lang w:eastAsia="ru-RU"/>
              </w:rPr>
              <w:t>75</w:t>
            </w:r>
          </w:p>
        </w:tc>
        <w:tc>
          <w:tcPr>
            <w:tcW w:w="1954" w:type="dxa"/>
            <w:vMerge/>
            <w:tcBorders>
              <w:top w:val="nil"/>
              <w:left w:val="single" w:sz="4" w:space="0" w:color="auto"/>
              <w:bottom w:val="single" w:sz="4" w:space="0" w:color="000000"/>
              <w:right w:val="single" w:sz="8" w:space="0" w:color="auto"/>
            </w:tcBorders>
            <w:vAlign w:val="center"/>
            <w:hideMark/>
          </w:tcPr>
          <w:p w14:paraId="6383BE9F" w14:textId="77777777" w:rsidR="006933E4" w:rsidRPr="006933E4" w:rsidRDefault="006933E4" w:rsidP="008B3339">
            <w:pPr>
              <w:widowControl/>
              <w:ind w:firstLine="0"/>
              <w:jc w:val="left"/>
              <w:rPr>
                <w:color w:val="auto"/>
                <w:sz w:val="20"/>
                <w:szCs w:val="20"/>
                <w:lang w:eastAsia="ru-RU"/>
              </w:rPr>
            </w:pPr>
          </w:p>
        </w:tc>
      </w:tr>
      <w:tr w:rsidR="006933E4" w:rsidRPr="006933E4" w14:paraId="161D6B79" w14:textId="77777777" w:rsidTr="006933E4">
        <w:trPr>
          <w:trHeight w:val="1163"/>
        </w:trPr>
        <w:tc>
          <w:tcPr>
            <w:tcW w:w="14995" w:type="dxa"/>
            <w:gridSpan w:val="10"/>
            <w:tcBorders>
              <w:top w:val="nil"/>
              <w:left w:val="nil"/>
              <w:bottom w:val="nil"/>
              <w:right w:val="nil"/>
            </w:tcBorders>
            <w:shd w:val="clear" w:color="auto" w:fill="auto"/>
            <w:vAlign w:val="center"/>
            <w:hideMark/>
          </w:tcPr>
          <w:p w14:paraId="1FE71C3F" w14:textId="77777777" w:rsidR="006933E4" w:rsidRDefault="006933E4" w:rsidP="008B3339">
            <w:pPr>
              <w:widowControl/>
              <w:ind w:firstLine="0"/>
              <w:jc w:val="left"/>
              <w:rPr>
                <w:color w:val="000000"/>
                <w:sz w:val="22"/>
                <w:szCs w:val="22"/>
                <w:lang w:eastAsia="ru-RU"/>
              </w:rPr>
            </w:pPr>
          </w:p>
          <w:p w14:paraId="40A6A1AC" w14:textId="76290D10" w:rsidR="006933E4" w:rsidRPr="006933E4" w:rsidRDefault="006933E4" w:rsidP="008B3339">
            <w:pPr>
              <w:widowControl/>
              <w:ind w:firstLine="0"/>
              <w:jc w:val="left"/>
              <w:rPr>
                <w:color w:val="000000"/>
                <w:sz w:val="22"/>
                <w:szCs w:val="22"/>
                <w:lang w:eastAsia="ru-RU"/>
              </w:rPr>
            </w:pPr>
            <w:r w:rsidRPr="006933E4">
              <w:rPr>
                <w:color w:val="000000"/>
                <w:sz w:val="22"/>
                <w:szCs w:val="22"/>
                <w:lang w:eastAsia="ru-RU"/>
              </w:rPr>
              <w:t>*Согласно методике расчета рейтинга субъектов Российской Федерации, отражающего взаимодействие с ГИС ГМП государственных органов исполнительной власти субъектов Российской Федерации, органов местного самоуправления, государственных и муниципальных казенных учреждений, в рейтинг попадают АН при наличии у них выгруженных начислений и/или поступивших платежей</w:t>
            </w:r>
          </w:p>
          <w:p w14:paraId="539525F0" w14:textId="77777777" w:rsidR="006933E4" w:rsidRPr="006933E4" w:rsidRDefault="006933E4" w:rsidP="008B3339">
            <w:pPr>
              <w:widowControl/>
              <w:ind w:firstLine="0"/>
              <w:jc w:val="left"/>
              <w:rPr>
                <w:color w:val="000000"/>
                <w:sz w:val="22"/>
                <w:szCs w:val="22"/>
                <w:lang w:eastAsia="ru-RU"/>
              </w:rPr>
            </w:pPr>
          </w:p>
          <w:p w14:paraId="1BDD5BF4" w14:textId="77777777" w:rsidR="006933E4" w:rsidRPr="006933E4" w:rsidRDefault="006933E4" w:rsidP="008B3339">
            <w:pPr>
              <w:widowControl/>
              <w:ind w:firstLine="0"/>
              <w:jc w:val="left"/>
              <w:rPr>
                <w:color w:val="000000"/>
                <w:sz w:val="22"/>
                <w:szCs w:val="22"/>
                <w:lang w:eastAsia="ru-RU"/>
              </w:rPr>
            </w:pPr>
            <w:r w:rsidRPr="006933E4">
              <w:rPr>
                <w:color w:val="000000"/>
                <w:sz w:val="22"/>
                <w:szCs w:val="22"/>
                <w:lang w:eastAsia="ru-RU"/>
              </w:rPr>
              <w:t xml:space="preserve">Приказом Минфина России от 25.12.2019 № 250н определен перечень платежей, </w:t>
            </w:r>
            <w:r w:rsidRPr="006933E4">
              <w:rPr>
                <w:color w:val="000000"/>
                <w:sz w:val="22"/>
                <w:szCs w:val="22"/>
                <w:lang w:eastAsia="ru-RU"/>
              </w:rPr>
              <w:br/>
              <w:t xml:space="preserve">являющихся источниками формирования доходов бюджетов бюджетной системы РФ, </w:t>
            </w:r>
            <w:r w:rsidRPr="006933E4">
              <w:rPr>
                <w:color w:val="000000"/>
                <w:sz w:val="22"/>
                <w:szCs w:val="22"/>
                <w:lang w:eastAsia="ru-RU"/>
              </w:rPr>
              <w:br/>
              <w:t xml:space="preserve">информация, необходимая для уплаты которых, включая подлежащую уплате сумму, </w:t>
            </w:r>
            <w:r w:rsidRPr="006933E4">
              <w:rPr>
                <w:color w:val="000000"/>
                <w:sz w:val="22"/>
                <w:szCs w:val="22"/>
                <w:lang w:eastAsia="ru-RU"/>
              </w:rPr>
              <w:br/>
            </w:r>
            <w:r w:rsidRPr="006933E4">
              <w:rPr>
                <w:b/>
                <w:bCs/>
                <w:color w:val="000000"/>
                <w:sz w:val="22"/>
                <w:szCs w:val="22"/>
                <w:lang w:eastAsia="ru-RU"/>
              </w:rPr>
              <w:t>не размещается в ГИС ГМП</w:t>
            </w:r>
            <w:r w:rsidRPr="006933E4">
              <w:rPr>
                <w:color w:val="000000"/>
                <w:sz w:val="22"/>
                <w:szCs w:val="22"/>
                <w:lang w:eastAsia="ru-RU"/>
              </w:rPr>
              <w:t>"</w:t>
            </w:r>
          </w:p>
        </w:tc>
      </w:tr>
    </w:tbl>
    <w:p w14:paraId="2C36E28A" w14:textId="77777777" w:rsidR="00015E28" w:rsidRDefault="00015E28" w:rsidP="00015E28">
      <w:pPr>
        <w:spacing w:line="276" w:lineRule="auto"/>
        <w:rPr>
          <w:rFonts w:eastAsia="Trebuchet MS"/>
          <w:color w:val="FF0000"/>
        </w:rPr>
        <w:sectPr w:rsidR="00015E28" w:rsidSect="00A90622">
          <w:headerReference w:type="default" r:id="rId19"/>
          <w:pgSz w:w="16838" w:h="11906" w:orient="landscape"/>
          <w:pgMar w:top="1418" w:right="992" w:bottom="709" w:left="851" w:header="709" w:footer="709" w:gutter="0"/>
          <w:pgBorders w:offsetFrom="page">
            <w:top w:val="thickThinMediumGap" w:sz="24" w:space="24" w:color="568D11" w:themeColor="accent3" w:themeShade="80"/>
            <w:left w:val="thickThinMediumGap" w:sz="24" w:space="24" w:color="568D11" w:themeColor="accent3" w:themeShade="80"/>
            <w:bottom w:val="thickThinMediumGap" w:sz="24" w:space="24" w:color="568D11" w:themeColor="accent3" w:themeShade="80"/>
            <w:right w:val="thickThinMediumGap" w:sz="24" w:space="24" w:color="568D11" w:themeColor="accent3" w:themeShade="80"/>
          </w:pgBorders>
          <w:pgNumType w:start="36"/>
          <w:cols w:space="708"/>
          <w:titlePg/>
          <w:docGrid w:linePitch="381"/>
        </w:sectPr>
      </w:pPr>
    </w:p>
    <w:p w14:paraId="2F721D75" w14:textId="77777777" w:rsidR="000E43AF" w:rsidRPr="00B82AEF" w:rsidRDefault="000E43AF" w:rsidP="006B3DF7">
      <w:pPr>
        <w:rPr>
          <w:b/>
          <w:bCs/>
          <w:color w:val="auto"/>
        </w:rPr>
      </w:pPr>
      <w:r w:rsidRPr="00B82AEF">
        <w:rPr>
          <w:b/>
          <w:bCs/>
          <w:color w:val="auto"/>
        </w:rPr>
        <w:t>Техническое сопровождение автоматизированных систем, используемых в Министерстве финансов КБР</w:t>
      </w:r>
      <w:r w:rsidR="004372CA" w:rsidRPr="00B82AEF">
        <w:rPr>
          <w:b/>
          <w:bCs/>
          <w:color w:val="auto"/>
        </w:rPr>
        <w:t>.</w:t>
      </w:r>
    </w:p>
    <w:p w14:paraId="3F5E35EB" w14:textId="77777777" w:rsidR="008A3C33" w:rsidRPr="00726F80" w:rsidRDefault="008A3C33" w:rsidP="008A3C33">
      <w:pPr>
        <w:spacing w:line="276" w:lineRule="auto"/>
        <w:rPr>
          <w:color w:val="auto"/>
        </w:rPr>
      </w:pPr>
      <w:bookmarkStart w:id="108" w:name="_Toc131085642"/>
      <w:bookmarkStart w:id="109" w:name="_Toc162008799"/>
      <w:r w:rsidRPr="00726F80">
        <w:rPr>
          <w:color w:val="auto"/>
        </w:rPr>
        <w:t xml:space="preserve">В Министерстве финансов КБР используется 22 </w:t>
      </w:r>
      <w:r>
        <w:rPr>
          <w:color w:val="auto"/>
        </w:rPr>
        <w:t>физических сервера</w:t>
      </w:r>
      <w:r w:rsidRPr="00726F80">
        <w:rPr>
          <w:color w:val="auto"/>
        </w:rPr>
        <w:t>, 46 виртуальных серверов.</w:t>
      </w:r>
      <w:r w:rsidRPr="00C014DC">
        <w:rPr>
          <w:color w:val="FF0000"/>
        </w:rPr>
        <w:t xml:space="preserve"> </w:t>
      </w:r>
      <w:r w:rsidRPr="00726F80">
        <w:rPr>
          <w:color w:val="auto"/>
        </w:rPr>
        <w:t xml:space="preserve">Производится работа по техническому сопровождению и обслуживанию (установка обновлений, настройка, резервное копирование, мониторинг и т.д.) следующих систем и программных обеспечений: </w:t>
      </w:r>
    </w:p>
    <w:p w14:paraId="1C47550F" w14:textId="77777777" w:rsidR="008A3C33" w:rsidRPr="00A461A9" w:rsidRDefault="008A3C33" w:rsidP="008A3C33">
      <w:pPr>
        <w:spacing w:line="276" w:lineRule="auto"/>
        <w:rPr>
          <w:color w:val="auto"/>
        </w:rPr>
      </w:pPr>
      <w:r w:rsidRPr="00A461A9">
        <w:rPr>
          <w:color w:val="auto"/>
        </w:rPr>
        <w:t>•</w:t>
      </w:r>
      <w:r w:rsidRPr="00A461A9">
        <w:rPr>
          <w:color w:val="auto"/>
        </w:rPr>
        <w:tab/>
        <w:t>АЦК-Финансы</w:t>
      </w:r>
    </w:p>
    <w:p w14:paraId="7796EE5F" w14:textId="77777777" w:rsidR="008A3C33" w:rsidRPr="00A461A9" w:rsidRDefault="008A3C33" w:rsidP="008A3C33">
      <w:pPr>
        <w:spacing w:line="276" w:lineRule="auto"/>
        <w:rPr>
          <w:color w:val="auto"/>
        </w:rPr>
      </w:pPr>
      <w:r w:rsidRPr="00A461A9">
        <w:rPr>
          <w:color w:val="auto"/>
        </w:rPr>
        <w:t>•</w:t>
      </w:r>
      <w:r w:rsidRPr="00A461A9">
        <w:rPr>
          <w:color w:val="auto"/>
        </w:rPr>
        <w:tab/>
        <w:t>Скиф БП</w:t>
      </w:r>
    </w:p>
    <w:p w14:paraId="7443AF1D" w14:textId="77777777" w:rsidR="008A3C33" w:rsidRPr="00A461A9" w:rsidRDefault="008A3C33" w:rsidP="008A3C33">
      <w:pPr>
        <w:spacing w:line="276" w:lineRule="auto"/>
        <w:rPr>
          <w:color w:val="auto"/>
        </w:rPr>
      </w:pPr>
      <w:r w:rsidRPr="00A461A9">
        <w:rPr>
          <w:color w:val="auto"/>
        </w:rPr>
        <w:t>•</w:t>
      </w:r>
      <w:r w:rsidRPr="00A461A9">
        <w:rPr>
          <w:color w:val="auto"/>
        </w:rPr>
        <w:tab/>
        <w:t>1С «Бухгалтерия государственного учреждения»</w:t>
      </w:r>
    </w:p>
    <w:p w14:paraId="63A1EE6F" w14:textId="77777777" w:rsidR="008A3C33" w:rsidRPr="00A461A9" w:rsidRDefault="008A3C33" w:rsidP="008A3C33">
      <w:pPr>
        <w:spacing w:line="276" w:lineRule="auto"/>
        <w:rPr>
          <w:color w:val="auto"/>
        </w:rPr>
      </w:pPr>
      <w:r w:rsidRPr="00A461A9">
        <w:rPr>
          <w:color w:val="auto"/>
        </w:rPr>
        <w:t>•</w:t>
      </w:r>
      <w:r w:rsidRPr="00A461A9">
        <w:rPr>
          <w:color w:val="auto"/>
        </w:rPr>
        <w:tab/>
        <w:t>1С «Зарплата и кадры государственного учреждения»</w:t>
      </w:r>
    </w:p>
    <w:p w14:paraId="5644FEC0" w14:textId="77777777" w:rsidR="008A3C33" w:rsidRPr="00246F87" w:rsidRDefault="008A3C33" w:rsidP="008A3C33">
      <w:pPr>
        <w:spacing w:line="276" w:lineRule="auto"/>
        <w:rPr>
          <w:color w:val="auto"/>
        </w:rPr>
      </w:pPr>
      <w:r w:rsidRPr="00A461A9">
        <w:rPr>
          <w:color w:val="auto"/>
        </w:rPr>
        <w:t>•</w:t>
      </w:r>
      <w:r w:rsidRPr="00A461A9">
        <w:rPr>
          <w:color w:val="auto"/>
        </w:rPr>
        <w:tab/>
        <w:t>1С Свод</w:t>
      </w:r>
    </w:p>
    <w:p w14:paraId="2FEDF134" w14:textId="77777777" w:rsidR="008A3C33" w:rsidRPr="00A461A9" w:rsidRDefault="008A3C33" w:rsidP="008A3C33">
      <w:pPr>
        <w:spacing w:line="276" w:lineRule="auto"/>
        <w:rPr>
          <w:color w:val="auto"/>
        </w:rPr>
      </w:pPr>
      <w:r w:rsidRPr="00A461A9">
        <w:rPr>
          <w:color w:val="auto"/>
        </w:rPr>
        <w:t>•</w:t>
      </w:r>
      <w:r w:rsidRPr="00A461A9">
        <w:rPr>
          <w:color w:val="auto"/>
        </w:rPr>
        <w:tab/>
        <w:t>1С Аренда и управление недвижимостью</w:t>
      </w:r>
    </w:p>
    <w:p w14:paraId="564B2F7B" w14:textId="77777777" w:rsidR="008A3C33" w:rsidRPr="00246F87" w:rsidRDefault="008A3C33" w:rsidP="008A3C33">
      <w:pPr>
        <w:spacing w:line="276" w:lineRule="auto"/>
        <w:rPr>
          <w:color w:val="auto"/>
        </w:rPr>
      </w:pPr>
      <w:r w:rsidRPr="00A461A9">
        <w:rPr>
          <w:color w:val="auto"/>
        </w:rPr>
        <w:t>•</w:t>
      </w:r>
      <w:r w:rsidRPr="00A461A9">
        <w:rPr>
          <w:color w:val="auto"/>
        </w:rPr>
        <w:tab/>
        <w:t>1С Больничная аптека</w:t>
      </w:r>
    </w:p>
    <w:p w14:paraId="1D69687D" w14:textId="77777777" w:rsidR="008A3C33" w:rsidRPr="00726F80" w:rsidRDefault="008A3C33" w:rsidP="008A3C33">
      <w:pPr>
        <w:spacing w:line="276" w:lineRule="auto"/>
        <w:rPr>
          <w:color w:val="auto"/>
        </w:rPr>
      </w:pPr>
      <w:r w:rsidRPr="00A461A9">
        <w:rPr>
          <w:color w:val="auto"/>
        </w:rPr>
        <w:t>•</w:t>
      </w:r>
      <w:r w:rsidRPr="00A461A9">
        <w:rPr>
          <w:color w:val="auto"/>
        </w:rPr>
        <w:tab/>
        <w:t xml:space="preserve">1С </w:t>
      </w:r>
      <w:r>
        <w:rPr>
          <w:color w:val="auto"/>
        </w:rPr>
        <w:t>ГИС ГМП</w:t>
      </w:r>
    </w:p>
    <w:p w14:paraId="6FDA3EFA" w14:textId="77777777" w:rsidR="008A3C33" w:rsidRPr="00A461A9" w:rsidRDefault="008A3C33" w:rsidP="008A3C33">
      <w:pPr>
        <w:spacing w:line="276" w:lineRule="auto"/>
        <w:rPr>
          <w:color w:val="auto"/>
        </w:rPr>
      </w:pPr>
      <w:r w:rsidRPr="00A461A9">
        <w:rPr>
          <w:color w:val="auto"/>
        </w:rPr>
        <w:t>•</w:t>
      </w:r>
      <w:r w:rsidRPr="00A461A9">
        <w:rPr>
          <w:color w:val="auto"/>
        </w:rPr>
        <w:tab/>
        <w:t xml:space="preserve">1С </w:t>
      </w:r>
      <w:r>
        <w:rPr>
          <w:color w:val="auto"/>
        </w:rPr>
        <w:t>ЭДО</w:t>
      </w:r>
    </w:p>
    <w:p w14:paraId="22AEE62C" w14:textId="77777777" w:rsidR="008A3C33" w:rsidRPr="00A461A9" w:rsidRDefault="008A3C33" w:rsidP="008A3C33">
      <w:pPr>
        <w:spacing w:line="276" w:lineRule="auto"/>
        <w:rPr>
          <w:color w:val="auto"/>
        </w:rPr>
      </w:pPr>
      <w:r w:rsidRPr="00A461A9">
        <w:rPr>
          <w:color w:val="auto"/>
        </w:rPr>
        <w:t>•</w:t>
      </w:r>
      <w:r w:rsidRPr="00A461A9">
        <w:rPr>
          <w:color w:val="auto"/>
        </w:rPr>
        <w:tab/>
        <w:t>1С Реестр государственного имущества</w:t>
      </w:r>
    </w:p>
    <w:p w14:paraId="2AC0E873" w14:textId="77777777" w:rsidR="008A3C33" w:rsidRPr="00A461A9" w:rsidRDefault="008A3C33" w:rsidP="008A3C33">
      <w:pPr>
        <w:spacing w:line="276" w:lineRule="auto"/>
        <w:rPr>
          <w:color w:val="auto"/>
        </w:rPr>
      </w:pPr>
      <w:r w:rsidRPr="00A461A9">
        <w:rPr>
          <w:color w:val="auto"/>
        </w:rPr>
        <w:t>•</w:t>
      </w:r>
      <w:r w:rsidRPr="00A461A9">
        <w:rPr>
          <w:color w:val="auto"/>
        </w:rPr>
        <w:tab/>
        <w:t>1С Бюджет муниципального образования</w:t>
      </w:r>
    </w:p>
    <w:p w14:paraId="45A23BAD" w14:textId="77777777" w:rsidR="008A3C33" w:rsidRPr="00A461A9" w:rsidRDefault="008A3C33" w:rsidP="008A3C33">
      <w:pPr>
        <w:spacing w:line="276" w:lineRule="auto"/>
        <w:rPr>
          <w:color w:val="auto"/>
        </w:rPr>
      </w:pPr>
      <w:r w:rsidRPr="00A461A9">
        <w:rPr>
          <w:color w:val="auto"/>
        </w:rPr>
        <w:t>•</w:t>
      </w:r>
      <w:r w:rsidRPr="00A461A9">
        <w:rPr>
          <w:color w:val="auto"/>
        </w:rPr>
        <w:tab/>
        <w:t>Подсистема исполнения контрактов</w:t>
      </w:r>
    </w:p>
    <w:p w14:paraId="7BD822A7" w14:textId="77777777" w:rsidR="008A3C33" w:rsidRPr="00A461A9" w:rsidRDefault="008A3C33" w:rsidP="008A3C33">
      <w:pPr>
        <w:spacing w:line="276" w:lineRule="auto"/>
        <w:rPr>
          <w:color w:val="auto"/>
        </w:rPr>
      </w:pPr>
      <w:r w:rsidRPr="00A461A9">
        <w:rPr>
          <w:color w:val="auto"/>
        </w:rPr>
        <w:t>•</w:t>
      </w:r>
      <w:r w:rsidRPr="00A461A9">
        <w:rPr>
          <w:color w:val="auto"/>
        </w:rPr>
        <w:tab/>
        <w:t>Система управления обращениями</w:t>
      </w:r>
    </w:p>
    <w:p w14:paraId="2DB65376" w14:textId="77777777" w:rsidR="008A3C33" w:rsidRPr="00A461A9" w:rsidRDefault="008A3C33" w:rsidP="008A3C33">
      <w:pPr>
        <w:spacing w:line="276" w:lineRule="auto"/>
        <w:rPr>
          <w:color w:val="auto"/>
        </w:rPr>
      </w:pPr>
      <w:r w:rsidRPr="00A461A9">
        <w:rPr>
          <w:color w:val="auto"/>
        </w:rPr>
        <w:t>•</w:t>
      </w:r>
      <w:r w:rsidRPr="00A461A9">
        <w:rPr>
          <w:color w:val="auto"/>
        </w:rPr>
        <w:tab/>
        <w:t xml:space="preserve">СКУД (Система контроля и управления доступом) </w:t>
      </w:r>
    </w:p>
    <w:p w14:paraId="46AC93D5" w14:textId="77777777" w:rsidR="008A3C33" w:rsidRPr="00A461A9" w:rsidRDefault="008A3C33" w:rsidP="008A3C33">
      <w:pPr>
        <w:spacing w:line="276" w:lineRule="auto"/>
        <w:rPr>
          <w:color w:val="auto"/>
        </w:rPr>
      </w:pPr>
      <w:r w:rsidRPr="00A461A9">
        <w:rPr>
          <w:color w:val="auto"/>
        </w:rPr>
        <w:t>•</w:t>
      </w:r>
      <w:r w:rsidRPr="00A461A9">
        <w:rPr>
          <w:color w:val="auto"/>
        </w:rPr>
        <w:tab/>
        <w:t>Консультант плюс</w:t>
      </w:r>
    </w:p>
    <w:p w14:paraId="65B03488" w14:textId="77777777" w:rsidR="008A3C33" w:rsidRPr="00A461A9" w:rsidRDefault="008A3C33" w:rsidP="008A3C33">
      <w:pPr>
        <w:spacing w:line="276" w:lineRule="auto"/>
        <w:rPr>
          <w:color w:val="auto"/>
        </w:rPr>
      </w:pPr>
      <w:r w:rsidRPr="00A461A9">
        <w:rPr>
          <w:color w:val="auto"/>
        </w:rPr>
        <w:t>•</w:t>
      </w:r>
      <w:r w:rsidRPr="00A461A9">
        <w:rPr>
          <w:color w:val="auto"/>
        </w:rPr>
        <w:tab/>
        <w:t>Мониторинг налоговых доходов</w:t>
      </w:r>
    </w:p>
    <w:p w14:paraId="33DC43A9" w14:textId="77777777" w:rsidR="008A3C33" w:rsidRDefault="008A3C33" w:rsidP="008A3C33">
      <w:pPr>
        <w:spacing w:line="276" w:lineRule="auto"/>
        <w:rPr>
          <w:color w:val="auto"/>
        </w:rPr>
      </w:pPr>
      <w:r w:rsidRPr="00A461A9">
        <w:rPr>
          <w:color w:val="auto"/>
        </w:rPr>
        <w:t>•</w:t>
      </w:r>
      <w:r w:rsidRPr="00A461A9">
        <w:rPr>
          <w:color w:val="auto"/>
        </w:rPr>
        <w:tab/>
        <w:t>«</w:t>
      </w:r>
      <w:proofErr w:type="spellStart"/>
      <w:r w:rsidRPr="00A461A9">
        <w:rPr>
          <w:color w:val="auto"/>
        </w:rPr>
        <w:t>РуСофт</w:t>
      </w:r>
      <w:proofErr w:type="spellEnd"/>
      <w:r w:rsidRPr="00A461A9">
        <w:rPr>
          <w:color w:val="auto"/>
        </w:rPr>
        <w:t>- Перечень объектов недвижимого имущества для целей налогообложения. Налог».</w:t>
      </w:r>
    </w:p>
    <w:p w14:paraId="241C86B5" w14:textId="77777777" w:rsidR="008A3C33" w:rsidRDefault="008A3C33" w:rsidP="008A3C33">
      <w:pPr>
        <w:spacing w:line="276" w:lineRule="auto"/>
        <w:rPr>
          <w:bCs/>
          <w:lang w:eastAsia="ru-RU"/>
        </w:rPr>
      </w:pPr>
      <w:r>
        <w:rPr>
          <w:bCs/>
          <w:lang w:eastAsia="ru-RU"/>
        </w:rPr>
        <w:t>В 2025 году проведены работы по вводу в эксплуатацию 5 серверов, установке отечественной операционной системы. Р</w:t>
      </w:r>
      <w:r w:rsidRPr="00F82D1D">
        <w:rPr>
          <w:bCs/>
          <w:lang w:eastAsia="ru-RU"/>
        </w:rPr>
        <w:t>азве</w:t>
      </w:r>
      <w:r>
        <w:rPr>
          <w:bCs/>
          <w:lang w:eastAsia="ru-RU"/>
        </w:rPr>
        <w:t xml:space="preserve">рнуты новые базы </w:t>
      </w:r>
      <w:r w:rsidRPr="00F82D1D">
        <w:rPr>
          <w:bCs/>
          <w:lang w:eastAsia="ru-RU"/>
        </w:rPr>
        <w:t>подсистем</w:t>
      </w:r>
      <w:r>
        <w:rPr>
          <w:bCs/>
          <w:lang w:eastAsia="ru-RU"/>
        </w:rPr>
        <w:t>ы</w:t>
      </w:r>
      <w:r w:rsidRPr="00F82D1D">
        <w:rPr>
          <w:bCs/>
          <w:lang w:eastAsia="ru-RU"/>
        </w:rPr>
        <w:t xml:space="preserve"> </w:t>
      </w:r>
      <w:r>
        <w:rPr>
          <w:bCs/>
          <w:lang w:eastAsia="ru-RU"/>
        </w:rPr>
        <w:t xml:space="preserve">1С </w:t>
      </w:r>
      <w:r w:rsidRPr="00A461A9">
        <w:rPr>
          <w:color w:val="auto"/>
        </w:rPr>
        <w:t>«Зарплата и кадры государственного учреждения»</w:t>
      </w:r>
      <w:r>
        <w:rPr>
          <w:color w:val="auto"/>
        </w:rPr>
        <w:t xml:space="preserve"> для организации учета учреждений. </w:t>
      </w:r>
    </w:p>
    <w:p w14:paraId="75689F33" w14:textId="77777777" w:rsidR="008A3C33" w:rsidRDefault="008A3C33" w:rsidP="008A3C33">
      <w:pPr>
        <w:spacing w:line="276" w:lineRule="auto"/>
        <w:rPr>
          <w:rFonts w:ascii="Times New Roman CYR" w:hAnsi="Times New Roman CYR" w:cs="Times New Roman CYR"/>
          <w:color w:val="000000"/>
        </w:rPr>
      </w:pPr>
      <w:r w:rsidRPr="00F82D1D">
        <w:rPr>
          <w:rFonts w:ascii="Times New Roman CYR" w:hAnsi="Times New Roman CYR" w:cs="Times New Roman CYR"/>
          <w:color w:val="000000"/>
        </w:rPr>
        <w:t>Развер</w:t>
      </w:r>
      <w:r>
        <w:rPr>
          <w:rFonts w:ascii="Times New Roman CYR" w:hAnsi="Times New Roman CYR" w:cs="Times New Roman CYR"/>
          <w:color w:val="000000"/>
        </w:rPr>
        <w:t>нут</w:t>
      </w:r>
      <w:r w:rsidRPr="00F82D1D">
        <w:rPr>
          <w:rFonts w:ascii="Times New Roman CYR" w:hAnsi="Times New Roman CYR" w:cs="Times New Roman CYR"/>
          <w:color w:val="000000"/>
        </w:rPr>
        <w:t xml:space="preserve"> сервер администрирования </w:t>
      </w:r>
      <w:proofErr w:type="spellStart"/>
      <w:r w:rsidRPr="00F82D1D">
        <w:rPr>
          <w:rFonts w:ascii="Times New Roman CYR" w:hAnsi="Times New Roman CYR" w:cs="Times New Roman CYR"/>
          <w:color w:val="000000"/>
        </w:rPr>
        <w:t>Kaspersky</w:t>
      </w:r>
      <w:proofErr w:type="spellEnd"/>
      <w:r>
        <w:rPr>
          <w:rFonts w:ascii="Times New Roman CYR" w:hAnsi="Times New Roman CYR" w:cs="Times New Roman CYR"/>
          <w:color w:val="000000"/>
        </w:rPr>
        <w:t xml:space="preserve"> </w:t>
      </w:r>
      <w:proofErr w:type="spellStart"/>
      <w:r w:rsidRPr="00F82D1D">
        <w:rPr>
          <w:rFonts w:ascii="Times New Roman CYR" w:hAnsi="Times New Roman CYR" w:cs="Times New Roman CYR"/>
          <w:color w:val="000000"/>
        </w:rPr>
        <w:t>Security</w:t>
      </w:r>
      <w:proofErr w:type="spellEnd"/>
      <w:r>
        <w:rPr>
          <w:rFonts w:ascii="Times New Roman CYR" w:hAnsi="Times New Roman CYR" w:cs="Times New Roman CYR"/>
          <w:color w:val="000000"/>
        </w:rPr>
        <w:t xml:space="preserve"> </w:t>
      </w:r>
      <w:proofErr w:type="spellStart"/>
      <w:r w:rsidRPr="00F82D1D">
        <w:rPr>
          <w:rFonts w:ascii="Times New Roman CYR" w:hAnsi="Times New Roman CYR" w:cs="Times New Roman CYR"/>
          <w:color w:val="000000"/>
        </w:rPr>
        <w:t>Center</w:t>
      </w:r>
      <w:proofErr w:type="spellEnd"/>
      <w:r w:rsidRPr="00F82D1D">
        <w:rPr>
          <w:rFonts w:ascii="Times New Roman CYR" w:hAnsi="Times New Roman CYR" w:cs="Times New Roman CYR"/>
          <w:color w:val="000000"/>
        </w:rPr>
        <w:t xml:space="preserve">. </w:t>
      </w:r>
      <w:r>
        <w:rPr>
          <w:rFonts w:ascii="Times New Roman CYR" w:hAnsi="Times New Roman CYR" w:cs="Times New Roman CYR"/>
          <w:color w:val="000000"/>
        </w:rPr>
        <w:t>Проведена у</w:t>
      </w:r>
      <w:r w:rsidRPr="00F82D1D">
        <w:rPr>
          <w:rFonts w:ascii="Times New Roman CYR" w:hAnsi="Times New Roman CYR" w:cs="Times New Roman CYR"/>
          <w:color w:val="000000"/>
        </w:rPr>
        <w:t xml:space="preserve">становка </w:t>
      </w:r>
      <w:r>
        <w:rPr>
          <w:rFonts w:ascii="Times New Roman CYR" w:hAnsi="Times New Roman CYR" w:cs="Times New Roman CYR"/>
          <w:color w:val="000000"/>
        </w:rPr>
        <w:t xml:space="preserve">агента </w:t>
      </w:r>
      <w:proofErr w:type="spellStart"/>
      <w:r w:rsidRPr="00F82D1D">
        <w:rPr>
          <w:rFonts w:ascii="Times New Roman CYR" w:hAnsi="Times New Roman CYR" w:cs="Times New Roman CYR"/>
          <w:color w:val="000000"/>
        </w:rPr>
        <w:t>Kaspersky</w:t>
      </w:r>
      <w:proofErr w:type="spellEnd"/>
      <w:r w:rsidRPr="00F82D1D">
        <w:rPr>
          <w:rFonts w:ascii="Times New Roman CYR" w:hAnsi="Times New Roman CYR" w:cs="Times New Roman CYR"/>
          <w:color w:val="000000"/>
        </w:rPr>
        <w:t xml:space="preserve"> на клиентских устройствах.</w:t>
      </w:r>
      <w:r>
        <w:rPr>
          <w:rFonts w:ascii="Times New Roman CYR" w:hAnsi="Times New Roman CYR" w:cs="Times New Roman CYR"/>
          <w:color w:val="000000"/>
        </w:rPr>
        <w:t xml:space="preserve"> </w:t>
      </w:r>
    </w:p>
    <w:p w14:paraId="49B05260" w14:textId="00DDB9BB" w:rsidR="008A3C33" w:rsidRDefault="008A3C33" w:rsidP="008A3C33">
      <w:pPr>
        <w:spacing w:line="276" w:lineRule="auto"/>
        <w:rPr>
          <w:rFonts w:ascii="Times New Roman CYR" w:hAnsi="Times New Roman CYR" w:cs="Times New Roman CYR"/>
          <w:color w:val="000000"/>
        </w:rPr>
      </w:pPr>
      <w:r>
        <w:rPr>
          <w:rFonts w:ascii="Times New Roman CYR" w:hAnsi="Times New Roman CYR" w:cs="Times New Roman CYR"/>
          <w:color w:val="000000"/>
        </w:rPr>
        <w:t>Настроено а</w:t>
      </w:r>
      <w:r w:rsidRPr="00F82D1D">
        <w:rPr>
          <w:rFonts w:ascii="Times New Roman CYR" w:hAnsi="Times New Roman CYR" w:cs="Times New Roman CYR"/>
          <w:color w:val="000000"/>
        </w:rPr>
        <w:t xml:space="preserve">втоматическое обновление Государственного адресного реестра </w:t>
      </w:r>
      <w:r>
        <w:rPr>
          <w:rFonts w:ascii="Times New Roman CYR" w:hAnsi="Times New Roman CYR" w:cs="Times New Roman CYR"/>
          <w:color w:val="000000"/>
        </w:rPr>
        <w:br/>
      </w:r>
      <w:r w:rsidRPr="00F82D1D">
        <w:rPr>
          <w:rFonts w:ascii="Times New Roman CYR" w:hAnsi="Times New Roman CYR" w:cs="Times New Roman CYR"/>
          <w:color w:val="000000"/>
        </w:rPr>
        <w:t>ФНС России для подсистем Учет и отчетность и Управление оплатой труда через менеджера сервиса.</w:t>
      </w:r>
    </w:p>
    <w:p w14:paraId="0C55079E" w14:textId="231482A7" w:rsidR="008A3C33" w:rsidRPr="00A461A9" w:rsidRDefault="008A3C33" w:rsidP="008A3C33">
      <w:pPr>
        <w:spacing w:line="276" w:lineRule="auto"/>
        <w:rPr>
          <w:color w:val="auto"/>
        </w:rPr>
      </w:pPr>
      <w:r w:rsidRPr="0016594A">
        <w:rPr>
          <w:color w:val="auto"/>
        </w:rPr>
        <w:t>Настрое</w:t>
      </w:r>
      <w:r>
        <w:rPr>
          <w:color w:val="auto"/>
        </w:rPr>
        <w:t>н</w:t>
      </w:r>
      <w:r w:rsidRPr="0016594A">
        <w:rPr>
          <w:color w:val="auto"/>
        </w:rPr>
        <w:t xml:space="preserve"> функционал, позволяющий </w:t>
      </w:r>
      <w:r>
        <w:rPr>
          <w:color w:val="auto"/>
        </w:rPr>
        <w:t>а</w:t>
      </w:r>
      <w:r w:rsidRPr="0016594A">
        <w:rPr>
          <w:color w:val="auto"/>
        </w:rPr>
        <w:t>втоматизирова</w:t>
      </w:r>
      <w:r>
        <w:rPr>
          <w:color w:val="auto"/>
        </w:rPr>
        <w:t>н</w:t>
      </w:r>
      <w:r w:rsidRPr="0016594A">
        <w:rPr>
          <w:color w:val="auto"/>
        </w:rPr>
        <w:t>о</w:t>
      </w:r>
      <w:r>
        <w:rPr>
          <w:color w:val="auto"/>
        </w:rPr>
        <w:t xml:space="preserve"> </w:t>
      </w:r>
      <w:r w:rsidRPr="0016594A">
        <w:rPr>
          <w:color w:val="auto"/>
        </w:rPr>
        <w:t>выгружать через API с Единого портала бюджетной системы РФ отчетность по Федеральн</w:t>
      </w:r>
      <w:r>
        <w:rPr>
          <w:color w:val="auto"/>
        </w:rPr>
        <w:t>ой</w:t>
      </w:r>
      <w:r w:rsidRPr="0016594A">
        <w:rPr>
          <w:color w:val="auto"/>
        </w:rPr>
        <w:t xml:space="preserve"> налогов</w:t>
      </w:r>
      <w:r>
        <w:rPr>
          <w:color w:val="auto"/>
        </w:rPr>
        <w:t>ой службе</w:t>
      </w:r>
      <w:r w:rsidRPr="0016594A">
        <w:rPr>
          <w:color w:val="auto"/>
        </w:rPr>
        <w:t xml:space="preserve"> и иным админис</w:t>
      </w:r>
      <w:r>
        <w:rPr>
          <w:color w:val="auto"/>
        </w:rPr>
        <w:t xml:space="preserve">траторам доходов субъектов РФ </w:t>
      </w:r>
      <w:r w:rsidRPr="0016594A">
        <w:rPr>
          <w:color w:val="auto"/>
        </w:rPr>
        <w:t>в подсистему 1С Свод отчетов.</w:t>
      </w:r>
    </w:p>
    <w:p w14:paraId="3511EA9A" w14:textId="77777777" w:rsidR="008A3C33" w:rsidRDefault="008A3C33" w:rsidP="008A3C33">
      <w:pPr>
        <w:spacing w:line="276" w:lineRule="auto"/>
        <w:rPr>
          <w:color w:val="auto"/>
          <w:lang w:eastAsia="ru-RU"/>
        </w:rPr>
      </w:pPr>
      <w:r w:rsidRPr="00744B37">
        <w:rPr>
          <w:color w:val="auto"/>
        </w:rPr>
        <w:t xml:space="preserve">Минфином КБР в полном объеме осуществляется администрирование ИС УОФ КБР. </w:t>
      </w:r>
      <w:r w:rsidRPr="00744B37">
        <w:rPr>
          <w:rFonts w:ascii="Times New Roman CYR" w:hAnsi="Times New Roman CYR" w:cs="Times New Roman CYR"/>
          <w:color w:val="auto"/>
        </w:rPr>
        <w:t>П</w:t>
      </w:r>
      <w:r>
        <w:rPr>
          <w:rFonts w:ascii="Times New Roman CYR" w:hAnsi="Times New Roman CYR" w:cs="Times New Roman CYR"/>
          <w:color w:val="000000"/>
        </w:rPr>
        <w:t xml:space="preserve">роведена </w:t>
      </w:r>
      <w:r w:rsidRPr="00F82D1D">
        <w:rPr>
          <w:rFonts w:ascii="Times New Roman CYR" w:hAnsi="Times New Roman CYR" w:cs="Times New Roman CYR"/>
          <w:color w:val="000000"/>
        </w:rPr>
        <w:t xml:space="preserve">миграция автоматизированной системы ИС УОФ, в среду эксплуатации российской СУБД </w:t>
      </w:r>
      <w:proofErr w:type="spellStart"/>
      <w:r w:rsidRPr="00F82D1D">
        <w:rPr>
          <w:rFonts w:ascii="Times New Roman CYR" w:hAnsi="Times New Roman CYR" w:cs="Times New Roman CYR"/>
          <w:color w:val="000000"/>
        </w:rPr>
        <w:t>PistgreSQL</w:t>
      </w:r>
      <w:proofErr w:type="spellEnd"/>
      <w:r w:rsidRPr="00F82D1D">
        <w:rPr>
          <w:rFonts w:ascii="Times New Roman CYR" w:hAnsi="Times New Roman CYR" w:cs="Times New Roman CYR"/>
          <w:color w:val="000000"/>
        </w:rPr>
        <w:t>.</w:t>
      </w:r>
      <w:r>
        <w:rPr>
          <w:rFonts w:ascii="Times New Roman CYR" w:hAnsi="Times New Roman CYR" w:cs="Times New Roman CYR"/>
          <w:color w:val="000000"/>
        </w:rPr>
        <w:t xml:space="preserve"> </w:t>
      </w:r>
      <w:r w:rsidRPr="00A461A9">
        <w:rPr>
          <w:color w:val="auto"/>
          <w:lang w:eastAsia="ru-RU"/>
        </w:rPr>
        <w:t xml:space="preserve">Работы были реализованы в полном объеме. </w:t>
      </w:r>
    </w:p>
    <w:p w14:paraId="0B61E440" w14:textId="77777777" w:rsidR="008A3C33" w:rsidRPr="00744B37" w:rsidRDefault="008A3C33" w:rsidP="008A3C33">
      <w:pPr>
        <w:spacing w:line="276" w:lineRule="auto"/>
        <w:rPr>
          <w:color w:val="auto"/>
        </w:rPr>
      </w:pPr>
      <w:r w:rsidRPr="00744B37">
        <w:rPr>
          <w:color w:val="auto"/>
        </w:rPr>
        <w:t xml:space="preserve">Осуществлен переход на </w:t>
      </w:r>
      <w:r>
        <w:rPr>
          <w:color w:val="auto"/>
        </w:rPr>
        <w:t>2026</w:t>
      </w:r>
      <w:r w:rsidRPr="00744B37">
        <w:rPr>
          <w:color w:val="auto"/>
        </w:rPr>
        <w:t xml:space="preserve"> финансовый год.</w:t>
      </w:r>
      <w:r w:rsidRPr="00C014DC">
        <w:rPr>
          <w:color w:val="FF0000"/>
        </w:rPr>
        <w:t xml:space="preserve"> </w:t>
      </w:r>
      <w:r w:rsidRPr="00744B37">
        <w:rPr>
          <w:color w:val="auto"/>
        </w:rPr>
        <w:t>Установлено 11 обновлений на ИС УОФ КБР, 1 обновление АЦК-</w:t>
      </w:r>
      <w:proofErr w:type="spellStart"/>
      <w:r w:rsidRPr="00744B37">
        <w:rPr>
          <w:color w:val="auto"/>
        </w:rPr>
        <w:t>Exchange</w:t>
      </w:r>
      <w:proofErr w:type="spellEnd"/>
      <w:r w:rsidRPr="00744B37">
        <w:rPr>
          <w:color w:val="auto"/>
        </w:rPr>
        <w:t xml:space="preserve">. Развернуто 5 стендов для тестирования обновления ИС УОФ КБР. Пролито более 93 скриптов для исправления ошибок, очистки базы данных, корректировки информации. </w:t>
      </w:r>
    </w:p>
    <w:p w14:paraId="457E179C" w14:textId="2ADC37B8" w:rsidR="008A3C33" w:rsidRPr="00C2426B" w:rsidRDefault="008A3C33" w:rsidP="008A3C33">
      <w:pPr>
        <w:ind w:firstLine="708"/>
        <w:rPr>
          <w:color w:val="auto"/>
        </w:rPr>
      </w:pPr>
      <w:r w:rsidRPr="00C2426B">
        <w:rPr>
          <w:color w:val="auto"/>
        </w:rPr>
        <w:t xml:space="preserve">Удаленно проведена настройка к 329 пользователям для подключения к </w:t>
      </w:r>
      <w:r>
        <w:rPr>
          <w:color w:val="auto"/>
        </w:rPr>
        <w:br/>
      </w:r>
      <w:r w:rsidRPr="00C2426B">
        <w:rPr>
          <w:color w:val="auto"/>
        </w:rPr>
        <w:t xml:space="preserve">АЦК Финансам.    </w:t>
      </w:r>
    </w:p>
    <w:p w14:paraId="115C8388" w14:textId="77777777" w:rsidR="008A3C33" w:rsidRPr="00C2426B" w:rsidRDefault="008A3C33" w:rsidP="008A3C33">
      <w:pPr>
        <w:spacing w:line="276" w:lineRule="auto"/>
        <w:rPr>
          <w:color w:val="auto"/>
        </w:rPr>
      </w:pPr>
      <w:r w:rsidRPr="00C2426B">
        <w:rPr>
          <w:color w:val="auto"/>
        </w:rPr>
        <w:t xml:space="preserve">Установлено </w:t>
      </w:r>
      <w:r>
        <w:rPr>
          <w:color w:val="auto"/>
        </w:rPr>
        <w:t>18</w:t>
      </w:r>
      <w:r w:rsidRPr="00C2426B">
        <w:rPr>
          <w:color w:val="auto"/>
        </w:rPr>
        <w:t xml:space="preserve"> обновлений подсистемы 1С: Аренда.</w:t>
      </w:r>
    </w:p>
    <w:p w14:paraId="252EB34D" w14:textId="77777777" w:rsidR="008A3C33" w:rsidRPr="00C2426B" w:rsidRDefault="008A3C33" w:rsidP="008A3C33">
      <w:pPr>
        <w:spacing w:line="276" w:lineRule="auto"/>
        <w:rPr>
          <w:color w:val="auto"/>
        </w:rPr>
      </w:pPr>
      <w:r>
        <w:rPr>
          <w:color w:val="auto"/>
        </w:rPr>
        <w:t xml:space="preserve">Установлено 28 обновлений на </w:t>
      </w:r>
      <w:r w:rsidRPr="00C2426B">
        <w:rPr>
          <w:color w:val="auto"/>
        </w:rPr>
        <w:t xml:space="preserve">1С ЗКГУ и 32 на 1С БГУ, установлено 42 </w:t>
      </w:r>
      <w:proofErr w:type="spellStart"/>
      <w:r w:rsidRPr="00C2426B">
        <w:rPr>
          <w:color w:val="auto"/>
        </w:rPr>
        <w:t>патча</w:t>
      </w:r>
      <w:proofErr w:type="spellEnd"/>
      <w:r w:rsidRPr="00C2426B">
        <w:rPr>
          <w:color w:val="auto"/>
        </w:rPr>
        <w:t xml:space="preserve"> исправления ошибок.</w:t>
      </w:r>
    </w:p>
    <w:p w14:paraId="0BA161F9" w14:textId="77777777" w:rsidR="008A3C33" w:rsidRPr="00C014DC" w:rsidRDefault="008A3C33" w:rsidP="008A3C33">
      <w:pPr>
        <w:spacing w:line="276" w:lineRule="auto"/>
        <w:rPr>
          <w:color w:val="FF0000"/>
        </w:rPr>
      </w:pPr>
      <w:r w:rsidRPr="00C2426B">
        <w:rPr>
          <w:color w:val="auto"/>
        </w:rPr>
        <w:t>Произведено обновление платформы 1С ИС УОФ КБР.</w:t>
      </w:r>
    </w:p>
    <w:p w14:paraId="49384E7F" w14:textId="77777777" w:rsidR="008A3C33" w:rsidRPr="00C2426B" w:rsidRDefault="008A3C33" w:rsidP="008A3C33">
      <w:pPr>
        <w:spacing w:line="276" w:lineRule="auto"/>
        <w:rPr>
          <w:color w:val="auto"/>
        </w:rPr>
      </w:pPr>
      <w:r w:rsidRPr="00C2426B">
        <w:rPr>
          <w:color w:val="auto"/>
        </w:rPr>
        <w:t>Создано 18 элиминирующих организаций, 16 организационных единиц в периметре консолидации подсистемы 1С: Свод.</w:t>
      </w:r>
    </w:p>
    <w:p w14:paraId="10282B17" w14:textId="77777777" w:rsidR="008A3C33" w:rsidRPr="00C2426B" w:rsidRDefault="008A3C33" w:rsidP="008A3C33">
      <w:pPr>
        <w:spacing w:line="276" w:lineRule="auto"/>
        <w:rPr>
          <w:color w:val="auto"/>
        </w:rPr>
      </w:pPr>
      <w:r w:rsidRPr="00C2426B">
        <w:rPr>
          <w:color w:val="auto"/>
        </w:rPr>
        <w:t xml:space="preserve">Подвязано 106 сертификатов для пользователей в подсистеме Свод отчетов. </w:t>
      </w:r>
    </w:p>
    <w:p w14:paraId="7009D9BC" w14:textId="77777777" w:rsidR="008A3C33" w:rsidRPr="00C2426B" w:rsidRDefault="008A3C33" w:rsidP="008A3C33">
      <w:pPr>
        <w:spacing w:line="276" w:lineRule="auto"/>
        <w:rPr>
          <w:color w:val="auto"/>
        </w:rPr>
      </w:pPr>
      <w:r w:rsidRPr="00C2426B">
        <w:rPr>
          <w:color w:val="auto"/>
        </w:rPr>
        <w:t>Создано 26 учетных записей для пользователей в подсистемах Свод отчетов и Сегменте управления обращениями.</w:t>
      </w:r>
    </w:p>
    <w:p w14:paraId="44F2ECF8" w14:textId="77777777" w:rsidR="008A3C33" w:rsidRPr="00C2426B" w:rsidRDefault="008A3C33" w:rsidP="008A3C33">
      <w:pPr>
        <w:spacing w:line="276" w:lineRule="auto"/>
        <w:rPr>
          <w:color w:val="auto"/>
        </w:rPr>
      </w:pPr>
      <w:r w:rsidRPr="00C2426B">
        <w:rPr>
          <w:color w:val="auto"/>
        </w:rPr>
        <w:t>Заведено 49 баз в подсистемах Учет и отчетность и Управление оплатой труда.</w:t>
      </w:r>
    </w:p>
    <w:p w14:paraId="3679C0AF" w14:textId="00C46A98" w:rsidR="008A3C33" w:rsidRPr="00C014DC" w:rsidRDefault="008A3C33" w:rsidP="008A3C33">
      <w:pPr>
        <w:spacing w:line="276" w:lineRule="auto"/>
        <w:rPr>
          <w:color w:val="FF0000"/>
        </w:rPr>
      </w:pPr>
      <w:r w:rsidRPr="00C2426B">
        <w:rPr>
          <w:color w:val="auto"/>
        </w:rPr>
        <w:t xml:space="preserve">Сотрудниками отдела информационных технологий рассмотрено </w:t>
      </w:r>
      <w:r>
        <w:rPr>
          <w:color w:val="auto"/>
        </w:rPr>
        <w:br/>
      </w:r>
      <w:r w:rsidRPr="00A461A9">
        <w:rPr>
          <w:color w:val="auto"/>
        </w:rPr>
        <w:t>1</w:t>
      </w:r>
      <w:r>
        <w:rPr>
          <w:color w:val="auto"/>
        </w:rPr>
        <w:t> 5</w:t>
      </w:r>
      <w:r w:rsidRPr="00A461A9">
        <w:rPr>
          <w:color w:val="auto"/>
        </w:rPr>
        <w:t xml:space="preserve">99 </w:t>
      </w:r>
      <w:r w:rsidRPr="00C2426B">
        <w:rPr>
          <w:color w:val="auto"/>
        </w:rPr>
        <w:t>обращений в подсистеме 1С: Сегмент управления обращениями.</w:t>
      </w:r>
    </w:p>
    <w:p w14:paraId="77E1C433" w14:textId="77777777" w:rsidR="008A3C33" w:rsidRPr="00C2426B" w:rsidRDefault="008A3C33" w:rsidP="008A3C33">
      <w:pPr>
        <w:spacing w:line="276" w:lineRule="auto"/>
        <w:rPr>
          <w:color w:val="auto"/>
        </w:rPr>
      </w:pPr>
      <w:r w:rsidRPr="00C2426B">
        <w:rPr>
          <w:color w:val="auto"/>
        </w:rPr>
        <w:t xml:space="preserve">В соответствии с регламентом информационного наполнения сайта Министерства финансов КБР на едином портале, отделом размещено </w:t>
      </w:r>
      <w:r>
        <w:rPr>
          <w:color w:val="auto"/>
        </w:rPr>
        <w:t>338</w:t>
      </w:r>
      <w:r w:rsidRPr="00C2426B">
        <w:rPr>
          <w:color w:val="auto"/>
        </w:rPr>
        <w:t xml:space="preserve"> публикаций по основной деятельности Министерства. Так же </w:t>
      </w:r>
      <w:r>
        <w:rPr>
          <w:color w:val="auto"/>
        </w:rPr>
        <w:t>242</w:t>
      </w:r>
      <w:r w:rsidRPr="00C2426B">
        <w:rPr>
          <w:color w:val="auto"/>
        </w:rPr>
        <w:t xml:space="preserve"> публикаций в новостной ленте. В социальной сети Министерства </w:t>
      </w:r>
      <w:proofErr w:type="spellStart"/>
      <w:r w:rsidRPr="00C2426B">
        <w:rPr>
          <w:color w:val="auto"/>
        </w:rPr>
        <w:t>ВКонтакте</w:t>
      </w:r>
      <w:proofErr w:type="spellEnd"/>
      <w:r w:rsidRPr="00C2426B">
        <w:rPr>
          <w:color w:val="auto"/>
        </w:rPr>
        <w:t xml:space="preserve"> опубликовано </w:t>
      </w:r>
      <w:r>
        <w:rPr>
          <w:color w:val="auto"/>
        </w:rPr>
        <w:t>417 новостных постов, МАХ 121 пост.</w:t>
      </w:r>
    </w:p>
    <w:p w14:paraId="2B30D56F" w14:textId="77777777" w:rsidR="008A3C33" w:rsidRPr="00C2426B" w:rsidRDefault="008A3C33" w:rsidP="008A3C33">
      <w:pPr>
        <w:spacing w:line="276" w:lineRule="auto"/>
        <w:rPr>
          <w:color w:val="auto"/>
        </w:rPr>
      </w:pPr>
      <w:r w:rsidRPr="00C2426B">
        <w:rPr>
          <w:color w:val="auto"/>
        </w:rPr>
        <w:t>За отчетный период были проведены технические и организационные работы:</w:t>
      </w:r>
    </w:p>
    <w:p w14:paraId="0B78D560" w14:textId="77777777" w:rsidR="008A3C33" w:rsidRPr="00B4235C" w:rsidRDefault="008A3C33" w:rsidP="008A3C33">
      <w:pPr>
        <w:spacing w:line="276" w:lineRule="auto"/>
        <w:rPr>
          <w:color w:val="auto"/>
        </w:rPr>
      </w:pPr>
      <w:r w:rsidRPr="00C2426B">
        <w:rPr>
          <w:color w:val="auto"/>
        </w:rPr>
        <w:t xml:space="preserve"> - дополнительные настройки по обеспечению информационной безопасности </w:t>
      </w:r>
      <w:r w:rsidRPr="00B4235C">
        <w:rPr>
          <w:color w:val="auto"/>
        </w:rPr>
        <w:t>антивируса Касперского на 90 рабочих станциях;</w:t>
      </w:r>
    </w:p>
    <w:p w14:paraId="359E7361" w14:textId="77777777" w:rsidR="008A3C33" w:rsidRPr="00B4235C" w:rsidRDefault="008A3C33" w:rsidP="008A3C33">
      <w:pPr>
        <w:spacing w:line="276" w:lineRule="auto"/>
        <w:rPr>
          <w:color w:val="auto"/>
        </w:rPr>
      </w:pPr>
      <w:r w:rsidRPr="00B4235C">
        <w:rPr>
          <w:color w:val="auto"/>
        </w:rPr>
        <w:t xml:space="preserve">- замена системных блоков с установкой операционной системы, установкой и настройкой прикладных программ – 22 </w:t>
      </w:r>
      <w:proofErr w:type="spellStart"/>
      <w:r w:rsidRPr="00B4235C">
        <w:rPr>
          <w:color w:val="auto"/>
        </w:rPr>
        <w:t>шт</w:t>
      </w:r>
      <w:proofErr w:type="spellEnd"/>
      <w:r w:rsidRPr="00B4235C">
        <w:rPr>
          <w:color w:val="auto"/>
        </w:rPr>
        <w:t>;</w:t>
      </w:r>
    </w:p>
    <w:p w14:paraId="1ABD3039" w14:textId="77777777" w:rsidR="008A3C33" w:rsidRPr="00B4235C" w:rsidRDefault="008A3C33" w:rsidP="008A3C33">
      <w:pPr>
        <w:spacing w:line="276" w:lineRule="auto"/>
        <w:rPr>
          <w:color w:val="auto"/>
        </w:rPr>
      </w:pPr>
      <w:r w:rsidRPr="00B4235C">
        <w:rPr>
          <w:color w:val="auto"/>
        </w:rPr>
        <w:t xml:space="preserve">- ремонт и переустановка операционной системы на </w:t>
      </w:r>
      <w:r>
        <w:rPr>
          <w:color w:val="auto"/>
        </w:rPr>
        <w:t>26</w:t>
      </w:r>
      <w:r w:rsidRPr="00B4235C">
        <w:rPr>
          <w:color w:val="auto"/>
        </w:rPr>
        <w:t xml:space="preserve"> рабочих станциях; </w:t>
      </w:r>
    </w:p>
    <w:p w14:paraId="66EFC855" w14:textId="77777777" w:rsidR="008A3C33" w:rsidRPr="00B4235C" w:rsidRDefault="008A3C33" w:rsidP="008A3C33">
      <w:pPr>
        <w:spacing w:line="276" w:lineRule="auto"/>
        <w:rPr>
          <w:color w:val="auto"/>
        </w:rPr>
      </w:pPr>
      <w:r w:rsidRPr="00B4235C">
        <w:rPr>
          <w:color w:val="auto"/>
        </w:rPr>
        <w:t xml:space="preserve">- настройка и подключение сетевых принтеров – 2 шт. </w:t>
      </w:r>
    </w:p>
    <w:p w14:paraId="17E5459D" w14:textId="77777777" w:rsidR="008A3C33" w:rsidRPr="00B4235C" w:rsidRDefault="008A3C33" w:rsidP="008A3C33">
      <w:pPr>
        <w:spacing w:line="276" w:lineRule="auto"/>
        <w:rPr>
          <w:color w:val="auto"/>
        </w:rPr>
      </w:pPr>
      <w:r w:rsidRPr="00B4235C">
        <w:rPr>
          <w:color w:val="auto"/>
        </w:rPr>
        <w:t xml:space="preserve">Обеспечивается администрирование и техническое обслуживание ресурсов ЛВС Министерства финансов Кабардино-Балкарской Республики, консультационная и техническая поддержка пользователей сотрудников Министерства. </w:t>
      </w:r>
    </w:p>
    <w:p w14:paraId="51AC5E9E" w14:textId="77777777" w:rsidR="008A3C33" w:rsidRPr="00B4235C" w:rsidRDefault="008A3C33" w:rsidP="008A3C33">
      <w:pPr>
        <w:spacing w:line="276" w:lineRule="auto"/>
        <w:rPr>
          <w:color w:val="auto"/>
        </w:rPr>
      </w:pPr>
      <w:r w:rsidRPr="00B4235C">
        <w:rPr>
          <w:color w:val="auto"/>
        </w:rPr>
        <w:t>Производится администрирование 1С СВОД (консолидация ежемесячной, квартальной, годовой отчетности): регистрация пользователей и настройка прав доступа. Производится обновление комплектов отчетности и форматов выгрузки, справочников бюджетной классификации, обеспечение интеграции с 1С БГУ.</w:t>
      </w:r>
    </w:p>
    <w:p w14:paraId="5CB6B148" w14:textId="11241503" w:rsidR="008A3C33" w:rsidRPr="00B4235C" w:rsidRDefault="008A3C33" w:rsidP="008A3C33">
      <w:pPr>
        <w:ind w:firstLine="708"/>
        <w:rPr>
          <w:color w:val="auto"/>
        </w:rPr>
      </w:pPr>
      <w:r w:rsidRPr="00B4235C">
        <w:rPr>
          <w:color w:val="auto"/>
        </w:rPr>
        <w:t xml:space="preserve">Удаленно настроено 235 рабочих мест пользователям для подключения к </w:t>
      </w:r>
      <w:r w:rsidRPr="00B4235C">
        <w:rPr>
          <w:color w:val="auto"/>
        </w:rPr>
        <w:br/>
        <w:t>1С ЗКГУ по средствам защищенного канала ТЛС "Континент".</w:t>
      </w:r>
    </w:p>
    <w:p w14:paraId="67BC07D9" w14:textId="77777777" w:rsidR="008A3C33" w:rsidRPr="00B4235C" w:rsidRDefault="008A3C33" w:rsidP="008A3C33">
      <w:pPr>
        <w:spacing w:line="276" w:lineRule="auto"/>
        <w:rPr>
          <w:color w:val="auto"/>
        </w:rPr>
      </w:pPr>
      <w:r w:rsidRPr="00B4235C">
        <w:rPr>
          <w:color w:val="auto"/>
        </w:rPr>
        <w:t>Настроена возможность заполнения отчетности по сетям, штатам и контингентам в подсистеме Учет и отчетность.</w:t>
      </w:r>
    </w:p>
    <w:p w14:paraId="5B98D64D" w14:textId="77777777" w:rsidR="0077474D" w:rsidRPr="00B4235C" w:rsidRDefault="0077474D" w:rsidP="00365991">
      <w:pPr>
        <w:spacing w:line="276" w:lineRule="auto"/>
        <w:rPr>
          <w:color w:val="auto"/>
        </w:rPr>
      </w:pPr>
    </w:p>
    <w:p w14:paraId="385E483F" w14:textId="76BED298" w:rsidR="00F811F4" w:rsidRPr="00D04A66" w:rsidRDefault="00F811F4" w:rsidP="006B3DF7">
      <w:pPr>
        <w:pStyle w:val="24"/>
        <w:spacing w:before="0" w:after="0"/>
        <w:ind w:left="0" w:firstLine="709"/>
        <w:rPr>
          <w:color w:val="000000" w:themeColor="text1"/>
        </w:rPr>
      </w:pPr>
      <w:r w:rsidRPr="00370B39">
        <w:rPr>
          <w:color w:val="568D11" w:themeColor="accent3" w:themeShade="80"/>
        </w:rPr>
        <w:t>Деятельность Министерства финансов КБР</w:t>
      </w:r>
      <w:r w:rsidR="00F377CC">
        <w:rPr>
          <w:color w:val="568D11" w:themeColor="accent3" w:themeShade="80"/>
        </w:rPr>
        <w:t xml:space="preserve"> </w:t>
      </w:r>
      <w:r w:rsidRPr="00370B39">
        <w:rPr>
          <w:color w:val="568D11" w:themeColor="accent3" w:themeShade="80"/>
        </w:rPr>
        <w:t>по кассовому исполнению республиканского бюджета</w:t>
      </w:r>
      <w:bookmarkEnd w:id="108"/>
      <w:bookmarkEnd w:id="109"/>
    </w:p>
    <w:p w14:paraId="561E7EBC" w14:textId="77777777" w:rsidR="008C751C" w:rsidRPr="001B68C0" w:rsidRDefault="008C751C" w:rsidP="006B3DF7">
      <w:pPr>
        <w:pStyle w:val="24"/>
        <w:numPr>
          <w:ilvl w:val="0"/>
          <w:numId w:val="0"/>
        </w:numPr>
        <w:spacing w:before="0" w:after="0"/>
        <w:ind w:firstLine="709"/>
        <w:jc w:val="both"/>
        <w:rPr>
          <w:color w:val="FF0000"/>
          <w:sz w:val="28"/>
          <w:szCs w:val="28"/>
        </w:rPr>
      </w:pPr>
    </w:p>
    <w:p w14:paraId="6AF0C7DD" w14:textId="77777777" w:rsidR="003F3CFB" w:rsidRPr="00055C84" w:rsidRDefault="003F3CFB" w:rsidP="006B3DF7">
      <w:pPr>
        <w:rPr>
          <w:rFonts w:eastAsia="Calibri"/>
          <w:color w:val="auto"/>
        </w:rPr>
      </w:pPr>
      <w:r w:rsidRPr="00055C84">
        <w:rPr>
          <w:rFonts w:eastAsia="Calibri"/>
          <w:color w:val="auto"/>
        </w:rPr>
        <w:t>За 202</w:t>
      </w:r>
      <w:r w:rsidR="00055C84" w:rsidRPr="00055C84">
        <w:rPr>
          <w:rFonts w:eastAsia="Calibri"/>
          <w:color w:val="auto"/>
        </w:rPr>
        <w:t>5</w:t>
      </w:r>
      <w:r w:rsidRPr="00055C84">
        <w:rPr>
          <w:rFonts w:eastAsia="Calibri"/>
          <w:color w:val="auto"/>
        </w:rPr>
        <w:t xml:space="preserve"> год работа в части, касающейся кассового исполнения республиканского бюджета, проводилась по следующим направлениям:</w:t>
      </w:r>
    </w:p>
    <w:p w14:paraId="323053C2" w14:textId="77777777" w:rsidR="003F3CFB" w:rsidRPr="00055C84" w:rsidRDefault="003F3CFB" w:rsidP="006B3DF7">
      <w:pPr>
        <w:rPr>
          <w:rFonts w:eastAsia="Calibri"/>
          <w:color w:val="auto"/>
        </w:rPr>
      </w:pPr>
      <w:r w:rsidRPr="00055C84">
        <w:rPr>
          <w:rFonts w:eastAsia="Calibri"/>
          <w:color w:val="auto"/>
        </w:rPr>
        <w:t>предварительный финансовый контроль;</w:t>
      </w:r>
    </w:p>
    <w:p w14:paraId="030A17AA" w14:textId="77777777" w:rsidR="003F3CFB" w:rsidRPr="00055C84" w:rsidRDefault="003F3CFB" w:rsidP="006B3DF7">
      <w:pPr>
        <w:rPr>
          <w:rFonts w:eastAsia="Calibri"/>
          <w:color w:val="auto"/>
        </w:rPr>
      </w:pPr>
      <w:r w:rsidRPr="00055C84">
        <w:rPr>
          <w:rFonts w:eastAsia="Calibri"/>
          <w:color w:val="auto"/>
        </w:rPr>
        <w:t>казначейское сопровождение государственных контрактов, договоров (соглашений);</w:t>
      </w:r>
    </w:p>
    <w:p w14:paraId="353A9499" w14:textId="77777777" w:rsidR="003F3CFB" w:rsidRPr="00055C84" w:rsidRDefault="003F3CFB" w:rsidP="006B3DF7">
      <w:pPr>
        <w:rPr>
          <w:rFonts w:eastAsia="Calibri"/>
          <w:color w:val="auto"/>
        </w:rPr>
      </w:pPr>
      <w:r w:rsidRPr="00055C84">
        <w:rPr>
          <w:rFonts w:eastAsia="Calibri"/>
          <w:color w:val="auto"/>
        </w:rPr>
        <w:t>списание заявок на оплату расходов.</w:t>
      </w:r>
    </w:p>
    <w:p w14:paraId="23638222" w14:textId="77777777" w:rsidR="003F3CFB" w:rsidRPr="00055C84" w:rsidRDefault="003F3CFB" w:rsidP="006B3DF7">
      <w:pPr>
        <w:rPr>
          <w:rFonts w:eastAsia="Calibri"/>
          <w:color w:val="auto"/>
        </w:rPr>
      </w:pPr>
      <w:r w:rsidRPr="00055C84">
        <w:rPr>
          <w:rFonts w:eastAsia="Calibri"/>
          <w:color w:val="auto"/>
        </w:rPr>
        <w:t>Предварительный финансовый контроль проводится для совершения финансовых операций и имеет важное значение для предупреждения финансовых нарушений. Он предусматривает оценку финансовой обоснованности планируемых расходов для предотвращения неэкономного и неэффективного расходования средств, образования необоснованной кредиторской задолженности.</w:t>
      </w:r>
    </w:p>
    <w:p w14:paraId="3B8426F2" w14:textId="77777777" w:rsidR="003F3CFB" w:rsidRPr="00055C84" w:rsidRDefault="003F3CFB" w:rsidP="006B3DF7">
      <w:pPr>
        <w:rPr>
          <w:rFonts w:eastAsia="Calibri"/>
          <w:color w:val="auto"/>
        </w:rPr>
      </w:pPr>
      <w:r w:rsidRPr="00055C84">
        <w:rPr>
          <w:rFonts w:eastAsia="Calibri"/>
          <w:color w:val="auto"/>
        </w:rPr>
        <w:t>В соответствии с</w:t>
      </w:r>
      <w:r w:rsidR="007F6CB8" w:rsidRPr="00055C84">
        <w:rPr>
          <w:rFonts w:eastAsia="Calibri"/>
          <w:color w:val="auto"/>
        </w:rPr>
        <w:t>о</w:t>
      </w:r>
      <w:r w:rsidRPr="00055C84">
        <w:rPr>
          <w:rFonts w:eastAsia="Calibri"/>
          <w:color w:val="auto"/>
        </w:rPr>
        <w:t xml:space="preserve"> статьей 219 Бюджетного кодекса Российской Федерации Министерство осуществляет:</w:t>
      </w:r>
    </w:p>
    <w:p w14:paraId="57D6EE86" w14:textId="77777777" w:rsidR="003F3CFB" w:rsidRPr="00055C84" w:rsidRDefault="003F3CFB" w:rsidP="006B3DF7">
      <w:pPr>
        <w:rPr>
          <w:rFonts w:eastAsia="Calibri"/>
          <w:color w:val="auto"/>
        </w:rPr>
      </w:pPr>
      <w:r w:rsidRPr="00055C84">
        <w:rPr>
          <w:rFonts w:eastAsia="Calibri"/>
          <w:color w:val="auto"/>
        </w:rPr>
        <w:t xml:space="preserve">контроль за не превышением суммы по операции над лимитами бюджетных обязательств; </w:t>
      </w:r>
    </w:p>
    <w:p w14:paraId="6B8977FF" w14:textId="77777777" w:rsidR="003F3CFB" w:rsidRPr="00055C84" w:rsidRDefault="003F3CFB" w:rsidP="006B3DF7">
      <w:pPr>
        <w:rPr>
          <w:rFonts w:eastAsia="Calibri"/>
          <w:color w:val="auto"/>
        </w:rPr>
      </w:pPr>
      <w:r w:rsidRPr="00055C84">
        <w:rPr>
          <w:rFonts w:eastAsia="Calibri"/>
          <w:color w:val="auto"/>
        </w:rPr>
        <w:t>контроль за соответствием содержания операции коду бюджетной классификации РФ, указанному в платежном документе;</w:t>
      </w:r>
    </w:p>
    <w:p w14:paraId="13CD725E" w14:textId="77777777" w:rsidR="003F3CFB" w:rsidRPr="00055C84" w:rsidRDefault="003F3CFB" w:rsidP="006B3DF7">
      <w:pPr>
        <w:rPr>
          <w:rFonts w:eastAsia="Calibri"/>
          <w:color w:val="auto"/>
        </w:rPr>
      </w:pPr>
      <w:r w:rsidRPr="00055C84">
        <w:rPr>
          <w:rFonts w:eastAsia="Calibri"/>
          <w:color w:val="auto"/>
        </w:rPr>
        <w:t>контроль за наличием документов, подтверждающих возникновение денежного обязательства, подлежащего оплате за счет средств бюджета;</w:t>
      </w:r>
    </w:p>
    <w:p w14:paraId="4BA93606" w14:textId="77777777" w:rsidR="003F3CFB" w:rsidRPr="00055C84" w:rsidRDefault="003F3CFB" w:rsidP="006B3DF7">
      <w:pPr>
        <w:rPr>
          <w:rFonts w:eastAsia="Calibri"/>
          <w:color w:val="auto"/>
        </w:rPr>
      </w:pPr>
      <w:r w:rsidRPr="00055C84">
        <w:rPr>
          <w:rFonts w:eastAsia="Calibri"/>
          <w:color w:val="auto"/>
        </w:rPr>
        <w:t>контроль за соответствием сведений по государственному контракту сведениям о данном государственном контракте, содержащемся в реестре контрактов, заключенных заказчиками предусмотренном законодательством РФ о контрактной системе в сфере закупок товаров, работ, услуг для обеспечения государственных и муниципальных нужд;</w:t>
      </w:r>
    </w:p>
    <w:p w14:paraId="358A4EA9" w14:textId="77777777" w:rsidR="003F3CFB" w:rsidRPr="00055C84" w:rsidRDefault="003F3CFB" w:rsidP="006B3DF7">
      <w:pPr>
        <w:rPr>
          <w:rFonts w:eastAsia="Calibri"/>
          <w:color w:val="auto"/>
        </w:rPr>
      </w:pPr>
      <w:r w:rsidRPr="00055C84">
        <w:rPr>
          <w:rFonts w:eastAsia="Calibri"/>
          <w:color w:val="auto"/>
        </w:rPr>
        <w:t xml:space="preserve"> контроль за соответствием сведений документов об исполнении государственного контракта (договора) на закупку товаров, работ и услуг сведениям о государственном контракте, содержащемся в реестре контрактов, заключенных заказчиками предусмотренном законодательством РФ о контрактной системе в сфере закупок товаров, работ, услуг для обеспечения государственных и муниципальных нужд.</w:t>
      </w:r>
    </w:p>
    <w:p w14:paraId="15F87201" w14:textId="734C6EE6" w:rsidR="003F3CFB" w:rsidRPr="00055C84" w:rsidRDefault="003F3CFB" w:rsidP="006B3DF7">
      <w:pPr>
        <w:rPr>
          <w:rFonts w:eastAsia="Calibri"/>
          <w:color w:val="auto"/>
        </w:rPr>
      </w:pPr>
      <w:r w:rsidRPr="00055C84">
        <w:rPr>
          <w:rFonts w:eastAsia="Calibri"/>
          <w:color w:val="auto"/>
        </w:rPr>
        <w:t xml:space="preserve">В соответствии с приказом Министерства о порядке санкционирования оплаты денежных обязательств получателей средств республиканского бюджета и администраторов источников финансирования дефицита республиканского бюджета производится разрешительная надпись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РФ, Федеральному закону № 44-ФЗ </w:t>
      </w:r>
      <w:r w:rsidR="006B3DF7">
        <w:rPr>
          <w:rFonts w:eastAsia="Calibri"/>
          <w:color w:val="auto"/>
        </w:rPr>
        <w:t>«</w:t>
      </w:r>
      <w:r w:rsidRPr="00055C84">
        <w:rPr>
          <w:rFonts w:eastAsia="Calibri"/>
          <w:color w:val="auto"/>
        </w:rPr>
        <w:t>О контрактной системе в сфере закупок товаров, работ, услуг для обеспечения государственных и муниципальных нужд</w:t>
      </w:r>
      <w:r w:rsidR="006B3DF7">
        <w:rPr>
          <w:rFonts w:eastAsia="Calibri"/>
          <w:color w:val="auto"/>
        </w:rPr>
        <w:t>»</w:t>
      </w:r>
      <w:r w:rsidRPr="00055C84">
        <w:rPr>
          <w:rFonts w:eastAsia="Calibri"/>
          <w:color w:val="auto"/>
        </w:rPr>
        <w:t xml:space="preserve"> и иных нормативных правовых актов, регулирующих бюджетные правоотношения.</w:t>
      </w:r>
    </w:p>
    <w:p w14:paraId="773A4436" w14:textId="3FBE6B70" w:rsidR="004E7696" w:rsidRPr="00063D6C" w:rsidRDefault="004E7696" w:rsidP="006B3DF7">
      <w:pPr>
        <w:rPr>
          <w:rFonts w:eastAsia="Calibri"/>
          <w:color w:val="auto"/>
        </w:rPr>
      </w:pPr>
      <w:r w:rsidRPr="00063D6C">
        <w:rPr>
          <w:rFonts w:eastAsia="Calibri"/>
          <w:color w:val="auto"/>
        </w:rPr>
        <w:t>За 202</w:t>
      </w:r>
      <w:r w:rsidR="00063D6C" w:rsidRPr="00063D6C">
        <w:rPr>
          <w:rFonts w:eastAsia="Calibri"/>
          <w:color w:val="auto"/>
        </w:rPr>
        <w:t>5</w:t>
      </w:r>
      <w:r w:rsidRPr="00063D6C">
        <w:rPr>
          <w:rFonts w:eastAsia="Calibri"/>
          <w:color w:val="auto"/>
        </w:rPr>
        <w:t xml:space="preserve"> год каждый сотрудник, осуществляющий предварительный контроль, курировал 16 организаций.</w:t>
      </w:r>
      <w:r w:rsidR="00246F87" w:rsidRPr="00063D6C">
        <w:rPr>
          <w:rFonts w:eastAsia="Calibri"/>
          <w:color w:val="auto"/>
        </w:rPr>
        <w:t xml:space="preserve"> </w:t>
      </w:r>
      <w:r w:rsidRPr="00063D6C">
        <w:rPr>
          <w:rFonts w:eastAsia="Calibri"/>
          <w:color w:val="auto"/>
        </w:rPr>
        <w:t>Министерством проверено и обработано</w:t>
      </w:r>
      <w:r w:rsidR="00063D6C" w:rsidRPr="00063D6C">
        <w:rPr>
          <w:rFonts w:eastAsia="Calibri"/>
          <w:color w:val="auto"/>
        </w:rPr>
        <w:t xml:space="preserve"> </w:t>
      </w:r>
      <w:r w:rsidR="00506CBF">
        <w:rPr>
          <w:rFonts w:eastAsia="Calibri"/>
          <w:color w:val="auto"/>
        </w:rPr>
        <w:br/>
      </w:r>
      <w:r w:rsidR="00063D6C" w:rsidRPr="00063D6C">
        <w:rPr>
          <w:rFonts w:eastAsia="Calibri"/>
          <w:color w:val="auto"/>
        </w:rPr>
        <w:t>90</w:t>
      </w:r>
      <w:r w:rsidRPr="00063D6C">
        <w:rPr>
          <w:rFonts w:eastAsia="Calibri"/>
          <w:color w:val="auto"/>
        </w:rPr>
        <w:t>,</w:t>
      </w:r>
      <w:r w:rsidR="00063D6C" w:rsidRPr="00063D6C">
        <w:rPr>
          <w:rFonts w:eastAsia="Calibri"/>
          <w:color w:val="auto"/>
        </w:rPr>
        <w:t xml:space="preserve">5 </w:t>
      </w:r>
      <w:r w:rsidRPr="00063D6C">
        <w:rPr>
          <w:rFonts w:eastAsia="Calibri"/>
          <w:color w:val="auto"/>
        </w:rPr>
        <w:t>тыс. бюджетных обязательств на сумму 1</w:t>
      </w:r>
      <w:r w:rsidR="00063D6C" w:rsidRPr="00063D6C">
        <w:rPr>
          <w:rFonts w:eastAsia="Calibri"/>
          <w:color w:val="auto"/>
        </w:rPr>
        <w:t>16 177 704</w:t>
      </w:r>
      <w:r w:rsidRPr="00063D6C">
        <w:rPr>
          <w:rFonts w:eastAsia="Calibri"/>
          <w:color w:val="auto"/>
        </w:rPr>
        <w:t>,</w:t>
      </w:r>
      <w:r w:rsidR="00063D6C" w:rsidRPr="00063D6C">
        <w:rPr>
          <w:rFonts w:eastAsia="Calibri"/>
          <w:color w:val="auto"/>
        </w:rPr>
        <w:t>0</w:t>
      </w:r>
      <w:r w:rsidRPr="00063D6C">
        <w:rPr>
          <w:rFonts w:eastAsia="Calibri"/>
          <w:color w:val="auto"/>
        </w:rPr>
        <w:t xml:space="preserve"> тыс. рублей,</w:t>
      </w:r>
      <w:r w:rsidR="00063D6C" w:rsidRPr="00063D6C">
        <w:rPr>
          <w:rFonts w:eastAsia="Calibri"/>
          <w:color w:val="auto"/>
        </w:rPr>
        <w:t xml:space="preserve"> </w:t>
      </w:r>
      <w:r w:rsidRPr="00063D6C">
        <w:rPr>
          <w:rFonts w:eastAsia="Calibri"/>
          <w:color w:val="auto"/>
        </w:rPr>
        <w:t xml:space="preserve">в </w:t>
      </w:r>
      <w:proofErr w:type="spellStart"/>
      <w:r w:rsidRPr="00063D6C">
        <w:rPr>
          <w:rFonts w:eastAsia="Calibri"/>
          <w:color w:val="auto"/>
        </w:rPr>
        <w:t>т.ч</w:t>
      </w:r>
      <w:proofErr w:type="spellEnd"/>
      <w:r w:rsidRPr="00063D6C">
        <w:rPr>
          <w:rFonts w:eastAsia="Calibri"/>
          <w:color w:val="auto"/>
        </w:rPr>
        <w:t xml:space="preserve">. отказано по причинам несоответствия нормативно правовым актам </w:t>
      </w:r>
      <w:r w:rsidR="00063D6C" w:rsidRPr="00063D6C">
        <w:rPr>
          <w:rFonts w:eastAsia="Calibri"/>
          <w:color w:val="auto"/>
        </w:rPr>
        <w:t>23</w:t>
      </w:r>
      <w:r w:rsidRPr="00063D6C">
        <w:rPr>
          <w:rFonts w:eastAsia="Calibri"/>
          <w:color w:val="auto"/>
        </w:rPr>
        <w:t>,</w:t>
      </w:r>
      <w:r w:rsidR="00063D6C" w:rsidRPr="00063D6C">
        <w:rPr>
          <w:rFonts w:eastAsia="Calibri"/>
          <w:color w:val="auto"/>
        </w:rPr>
        <w:t>3</w:t>
      </w:r>
      <w:r w:rsidRPr="00063D6C">
        <w:rPr>
          <w:rFonts w:eastAsia="Calibri"/>
          <w:color w:val="auto"/>
        </w:rPr>
        <w:t xml:space="preserve"> тыс. обязательств на сумму </w:t>
      </w:r>
      <w:r w:rsidR="00063D6C" w:rsidRPr="00063D6C">
        <w:rPr>
          <w:rFonts w:eastAsia="Calibri"/>
          <w:color w:val="auto"/>
        </w:rPr>
        <w:t>30</w:t>
      </w:r>
      <w:r w:rsidRPr="00063D6C">
        <w:rPr>
          <w:rFonts w:eastAsia="Calibri"/>
          <w:color w:val="auto"/>
        </w:rPr>
        <w:t> </w:t>
      </w:r>
      <w:r w:rsidR="00063D6C" w:rsidRPr="00063D6C">
        <w:rPr>
          <w:rFonts w:eastAsia="Calibri"/>
          <w:color w:val="auto"/>
        </w:rPr>
        <w:t>157</w:t>
      </w:r>
      <w:r w:rsidRPr="00063D6C">
        <w:rPr>
          <w:rFonts w:eastAsia="Calibri"/>
          <w:color w:val="auto"/>
        </w:rPr>
        <w:t> </w:t>
      </w:r>
      <w:r w:rsidR="00063D6C" w:rsidRPr="00063D6C">
        <w:rPr>
          <w:rFonts w:eastAsia="Calibri"/>
          <w:color w:val="auto"/>
        </w:rPr>
        <w:t>398</w:t>
      </w:r>
      <w:r w:rsidRPr="00063D6C">
        <w:rPr>
          <w:rFonts w:eastAsia="Calibri"/>
          <w:color w:val="auto"/>
        </w:rPr>
        <w:t>,</w:t>
      </w:r>
      <w:r w:rsidR="00063D6C" w:rsidRPr="00063D6C">
        <w:rPr>
          <w:rFonts w:eastAsia="Calibri"/>
          <w:color w:val="auto"/>
        </w:rPr>
        <w:t>5</w:t>
      </w:r>
      <w:r w:rsidRPr="00063D6C">
        <w:rPr>
          <w:rFonts w:eastAsia="Calibri"/>
          <w:color w:val="auto"/>
        </w:rPr>
        <w:t xml:space="preserve"> тыс. рублей.</w:t>
      </w:r>
      <w:r w:rsidR="00063D6C" w:rsidRPr="00063D6C">
        <w:rPr>
          <w:rFonts w:eastAsia="Calibri"/>
          <w:color w:val="auto"/>
        </w:rPr>
        <w:t xml:space="preserve"> </w:t>
      </w:r>
      <w:r w:rsidRPr="00063D6C">
        <w:rPr>
          <w:rFonts w:eastAsia="Calibri"/>
          <w:color w:val="auto"/>
        </w:rPr>
        <w:t xml:space="preserve">В том числе проверено </w:t>
      </w:r>
      <w:r w:rsidR="00063D6C" w:rsidRPr="00063D6C">
        <w:rPr>
          <w:rFonts w:eastAsia="Calibri"/>
          <w:color w:val="auto"/>
        </w:rPr>
        <w:t>51</w:t>
      </w:r>
      <w:r w:rsidRPr="00063D6C">
        <w:rPr>
          <w:rFonts w:eastAsia="Calibri"/>
          <w:color w:val="auto"/>
        </w:rPr>
        <w:t>,</w:t>
      </w:r>
      <w:r w:rsidR="00063D6C" w:rsidRPr="00063D6C">
        <w:rPr>
          <w:rFonts w:eastAsia="Calibri"/>
          <w:color w:val="auto"/>
        </w:rPr>
        <w:t>9</w:t>
      </w:r>
      <w:r w:rsidRPr="00063D6C">
        <w:rPr>
          <w:rFonts w:eastAsia="Calibri"/>
          <w:color w:val="auto"/>
        </w:rPr>
        <w:t xml:space="preserve"> тыс. контрактов (договоров) на закупку товаров, работ и услу</w:t>
      </w:r>
      <w:r w:rsidR="00DF7E3B">
        <w:rPr>
          <w:rFonts w:eastAsia="Calibri"/>
          <w:color w:val="auto"/>
        </w:rPr>
        <w:t>г.</w:t>
      </w:r>
    </w:p>
    <w:p w14:paraId="1157C022" w14:textId="77777777" w:rsidR="004E7696" w:rsidRPr="00063D6C" w:rsidRDefault="004E7696" w:rsidP="006B3DF7">
      <w:pPr>
        <w:rPr>
          <w:rFonts w:eastAsia="Calibri"/>
          <w:color w:val="auto"/>
        </w:rPr>
      </w:pPr>
      <w:r w:rsidRPr="00063D6C">
        <w:rPr>
          <w:rFonts w:eastAsia="Calibri"/>
          <w:color w:val="auto"/>
        </w:rPr>
        <w:t xml:space="preserve">Обработано: </w:t>
      </w:r>
    </w:p>
    <w:p w14:paraId="6E729D35" w14:textId="73C4011E" w:rsidR="004E7696" w:rsidRPr="00063D6C" w:rsidRDefault="004E7696" w:rsidP="006B3DF7">
      <w:pPr>
        <w:rPr>
          <w:rFonts w:eastAsia="Calibri"/>
          <w:color w:val="auto"/>
        </w:rPr>
      </w:pPr>
      <w:r w:rsidRPr="00063D6C">
        <w:rPr>
          <w:rFonts w:eastAsia="Calibri"/>
          <w:color w:val="auto"/>
        </w:rPr>
        <w:t>расшифровок обращений взысканий – 1</w:t>
      </w:r>
      <w:r w:rsidR="00063D6C" w:rsidRPr="00063D6C">
        <w:rPr>
          <w:rFonts w:eastAsia="Calibri"/>
          <w:color w:val="auto"/>
        </w:rPr>
        <w:t>5</w:t>
      </w:r>
      <w:r w:rsidRPr="00063D6C">
        <w:rPr>
          <w:rFonts w:eastAsia="Calibri"/>
          <w:color w:val="auto"/>
        </w:rPr>
        <w:t xml:space="preserve">1 единица, на сумму </w:t>
      </w:r>
      <w:r w:rsidR="00063D6C" w:rsidRPr="00063D6C">
        <w:rPr>
          <w:rFonts w:eastAsia="Calibri"/>
          <w:color w:val="auto"/>
        </w:rPr>
        <w:t>32</w:t>
      </w:r>
      <w:r w:rsidRPr="00063D6C">
        <w:rPr>
          <w:rFonts w:eastAsia="Calibri"/>
          <w:color w:val="auto"/>
        </w:rPr>
        <w:t xml:space="preserve"> </w:t>
      </w:r>
      <w:r w:rsidR="00063D6C" w:rsidRPr="00063D6C">
        <w:rPr>
          <w:rFonts w:eastAsia="Calibri"/>
          <w:color w:val="auto"/>
        </w:rPr>
        <w:t>974</w:t>
      </w:r>
      <w:r w:rsidRPr="00063D6C">
        <w:rPr>
          <w:rFonts w:eastAsia="Calibri"/>
          <w:color w:val="auto"/>
        </w:rPr>
        <w:t>,</w:t>
      </w:r>
      <w:r w:rsidR="00063D6C" w:rsidRPr="00063D6C">
        <w:rPr>
          <w:rFonts w:eastAsia="Calibri"/>
          <w:color w:val="auto"/>
        </w:rPr>
        <w:t>7</w:t>
      </w:r>
      <w:r w:rsidRPr="00063D6C">
        <w:rPr>
          <w:rFonts w:eastAsia="Calibri"/>
          <w:color w:val="auto"/>
        </w:rPr>
        <w:t xml:space="preserve"> тыс. руб</w:t>
      </w:r>
      <w:r w:rsidR="00DF7E3B">
        <w:rPr>
          <w:rFonts w:eastAsia="Calibri"/>
          <w:color w:val="auto"/>
        </w:rPr>
        <w:t>лей</w:t>
      </w:r>
    </w:p>
    <w:p w14:paraId="3E05F7AF" w14:textId="77777777" w:rsidR="004E7696" w:rsidRPr="00063D6C" w:rsidRDefault="004E7696" w:rsidP="006B3DF7">
      <w:pPr>
        <w:rPr>
          <w:rFonts w:eastAsia="Calibri"/>
          <w:color w:val="auto"/>
        </w:rPr>
      </w:pPr>
      <w:r w:rsidRPr="00063D6C">
        <w:rPr>
          <w:rFonts w:eastAsia="Calibri"/>
          <w:color w:val="auto"/>
        </w:rPr>
        <w:t>более 2</w:t>
      </w:r>
      <w:r w:rsidR="00063D6C" w:rsidRPr="00063D6C">
        <w:rPr>
          <w:rFonts w:eastAsia="Calibri"/>
          <w:color w:val="auto"/>
        </w:rPr>
        <w:t>32</w:t>
      </w:r>
      <w:r w:rsidRPr="00063D6C">
        <w:rPr>
          <w:rFonts w:eastAsia="Calibri"/>
          <w:color w:val="auto"/>
        </w:rPr>
        <w:t>,</w:t>
      </w:r>
      <w:r w:rsidR="00063D6C" w:rsidRPr="00063D6C">
        <w:rPr>
          <w:rFonts w:eastAsia="Calibri"/>
          <w:color w:val="auto"/>
        </w:rPr>
        <w:t>5</w:t>
      </w:r>
      <w:r w:rsidRPr="00063D6C">
        <w:rPr>
          <w:rFonts w:eastAsia="Calibri"/>
          <w:color w:val="auto"/>
        </w:rPr>
        <w:t xml:space="preserve"> тыс. единиц фактов поставок (накладные и счета – фактуры).</w:t>
      </w:r>
    </w:p>
    <w:p w14:paraId="05FBD11D" w14:textId="47942E10" w:rsidR="003F3CFB" w:rsidRPr="00C014DC" w:rsidRDefault="003F3CFB" w:rsidP="006B3DF7">
      <w:pPr>
        <w:rPr>
          <w:rFonts w:eastAsia="Calibri"/>
          <w:color w:val="FF0000"/>
        </w:rPr>
      </w:pPr>
      <w:r w:rsidRPr="00761261">
        <w:rPr>
          <w:rFonts w:eastAsia="Calibri"/>
          <w:color w:val="auto"/>
        </w:rPr>
        <w:t>Тремя сотрудниками Министерства в 202</w:t>
      </w:r>
      <w:r w:rsidR="004C72C8">
        <w:rPr>
          <w:rFonts w:eastAsia="Calibri"/>
          <w:color w:val="auto"/>
        </w:rPr>
        <w:t>5</w:t>
      </w:r>
      <w:r w:rsidRPr="00761261">
        <w:rPr>
          <w:rFonts w:eastAsia="Calibri"/>
          <w:color w:val="auto"/>
        </w:rPr>
        <w:t xml:space="preserve"> году произведено списание </w:t>
      </w:r>
      <w:r w:rsidR="00506CBF">
        <w:rPr>
          <w:rFonts w:eastAsia="Calibri"/>
          <w:color w:val="auto"/>
        </w:rPr>
        <w:br/>
      </w:r>
      <w:r w:rsidRPr="00761261">
        <w:rPr>
          <w:rFonts w:eastAsia="Calibri"/>
          <w:color w:val="auto"/>
        </w:rPr>
        <w:t>2</w:t>
      </w:r>
      <w:r w:rsidR="00B16032" w:rsidRPr="00761261">
        <w:rPr>
          <w:rFonts w:eastAsia="Calibri"/>
          <w:color w:val="auto"/>
        </w:rPr>
        <w:t>8</w:t>
      </w:r>
      <w:r w:rsidR="00761261" w:rsidRPr="00761261">
        <w:rPr>
          <w:rFonts w:eastAsia="Calibri"/>
          <w:color w:val="auto"/>
        </w:rPr>
        <w:t>2</w:t>
      </w:r>
      <w:r w:rsidRPr="00761261">
        <w:rPr>
          <w:rFonts w:eastAsia="Calibri"/>
          <w:color w:val="auto"/>
        </w:rPr>
        <w:t>,</w:t>
      </w:r>
      <w:r w:rsidR="00761261" w:rsidRPr="00761261">
        <w:rPr>
          <w:rFonts w:eastAsia="Calibri"/>
          <w:color w:val="auto"/>
        </w:rPr>
        <w:t>4</w:t>
      </w:r>
      <w:r w:rsidRPr="00761261">
        <w:rPr>
          <w:rFonts w:eastAsia="Calibri"/>
          <w:color w:val="auto"/>
        </w:rPr>
        <w:t xml:space="preserve"> тыс. заявок на оплату расходов</w:t>
      </w:r>
      <w:r w:rsidR="007B0ED5" w:rsidRPr="00761261">
        <w:rPr>
          <w:rFonts w:eastAsia="Calibri"/>
          <w:color w:val="auto"/>
        </w:rPr>
        <w:t xml:space="preserve"> и заявок на выплату средств</w:t>
      </w:r>
      <w:r w:rsidRPr="00761261">
        <w:rPr>
          <w:rFonts w:eastAsia="Calibri"/>
          <w:color w:val="auto"/>
        </w:rPr>
        <w:t>;</w:t>
      </w:r>
      <w:r w:rsidR="004F0760">
        <w:rPr>
          <w:rFonts w:eastAsia="Calibri"/>
          <w:color w:val="auto"/>
        </w:rPr>
        <w:t xml:space="preserve"> </w:t>
      </w:r>
      <w:r w:rsidRPr="00761261">
        <w:rPr>
          <w:rFonts w:eastAsia="Calibri"/>
          <w:color w:val="auto"/>
        </w:rPr>
        <w:t>1</w:t>
      </w:r>
      <w:r w:rsidR="00E25030" w:rsidRPr="00761261">
        <w:rPr>
          <w:rFonts w:eastAsia="Calibri"/>
          <w:color w:val="auto"/>
        </w:rPr>
        <w:t>5</w:t>
      </w:r>
      <w:r w:rsidRPr="00761261">
        <w:rPr>
          <w:rFonts w:eastAsia="Calibri"/>
          <w:color w:val="auto"/>
        </w:rPr>
        <w:t>,</w:t>
      </w:r>
      <w:r w:rsidR="005430AE" w:rsidRPr="00761261">
        <w:rPr>
          <w:rFonts w:eastAsia="Calibri"/>
          <w:color w:val="auto"/>
        </w:rPr>
        <w:t>3</w:t>
      </w:r>
      <w:r w:rsidRPr="00761261">
        <w:rPr>
          <w:rFonts w:eastAsia="Calibri"/>
          <w:color w:val="auto"/>
        </w:rPr>
        <w:t xml:space="preserve"> тыс. заявок на финансирование межбюджетных трансфертов на сумму 1</w:t>
      </w:r>
      <w:r w:rsidR="005430AE" w:rsidRPr="00761261">
        <w:rPr>
          <w:rFonts w:eastAsia="Calibri"/>
          <w:color w:val="auto"/>
        </w:rPr>
        <w:t>7</w:t>
      </w:r>
      <w:r w:rsidRPr="00761261">
        <w:rPr>
          <w:rFonts w:eastAsia="Calibri"/>
          <w:color w:val="auto"/>
        </w:rPr>
        <w:t> </w:t>
      </w:r>
      <w:r w:rsidR="005430AE" w:rsidRPr="00761261">
        <w:rPr>
          <w:rFonts w:eastAsia="Calibri"/>
          <w:color w:val="auto"/>
        </w:rPr>
        <w:t>624</w:t>
      </w:r>
      <w:r w:rsidRPr="00761261">
        <w:rPr>
          <w:rFonts w:eastAsia="Calibri"/>
          <w:color w:val="auto"/>
        </w:rPr>
        <w:t> </w:t>
      </w:r>
      <w:r w:rsidR="005430AE" w:rsidRPr="00761261">
        <w:rPr>
          <w:rFonts w:eastAsia="Calibri"/>
          <w:color w:val="auto"/>
        </w:rPr>
        <w:t>789</w:t>
      </w:r>
      <w:r w:rsidRPr="005430AE">
        <w:rPr>
          <w:rFonts w:eastAsia="Calibri"/>
          <w:color w:val="auto"/>
        </w:rPr>
        <w:t>,</w:t>
      </w:r>
      <w:r w:rsidR="005430AE" w:rsidRPr="005430AE">
        <w:rPr>
          <w:rFonts w:eastAsia="Calibri"/>
          <w:color w:val="auto"/>
        </w:rPr>
        <w:t>4</w:t>
      </w:r>
      <w:r w:rsidRPr="005430AE">
        <w:rPr>
          <w:rFonts w:eastAsia="Calibri"/>
          <w:color w:val="auto"/>
        </w:rPr>
        <w:t xml:space="preserve"> тыс. рублей.</w:t>
      </w:r>
      <w:r w:rsidRPr="00C014DC">
        <w:rPr>
          <w:rFonts w:eastAsia="Calibri"/>
          <w:color w:val="FF0000"/>
        </w:rPr>
        <w:t xml:space="preserve"> </w:t>
      </w:r>
      <w:r w:rsidRPr="00CB1BA2">
        <w:rPr>
          <w:rFonts w:eastAsia="Calibri"/>
          <w:color w:val="auto"/>
        </w:rPr>
        <w:t>Восстановлено кассовых расходов по казенным учреждениям – 1,</w:t>
      </w:r>
      <w:r w:rsidR="00CB1BA2" w:rsidRPr="00CB1BA2">
        <w:rPr>
          <w:rFonts w:eastAsia="Calibri"/>
          <w:color w:val="auto"/>
        </w:rPr>
        <w:t>4</w:t>
      </w:r>
      <w:r w:rsidRPr="00CB1BA2">
        <w:rPr>
          <w:rFonts w:eastAsia="Calibri"/>
          <w:color w:val="auto"/>
        </w:rPr>
        <w:t xml:space="preserve"> тыс. документов на сумму </w:t>
      </w:r>
      <w:r w:rsidR="00CB1BA2" w:rsidRPr="00CB1BA2">
        <w:rPr>
          <w:rFonts w:eastAsia="Calibri"/>
          <w:color w:val="auto"/>
        </w:rPr>
        <w:t>125</w:t>
      </w:r>
      <w:r w:rsidRPr="00CB1BA2">
        <w:rPr>
          <w:rFonts w:eastAsia="Calibri"/>
          <w:color w:val="auto"/>
        </w:rPr>
        <w:t> </w:t>
      </w:r>
      <w:r w:rsidR="00CB1BA2" w:rsidRPr="00CB1BA2">
        <w:rPr>
          <w:rFonts w:eastAsia="Calibri"/>
          <w:color w:val="auto"/>
        </w:rPr>
        <w:t>813</w:t>
      </w:r>
      <w:r w:rsidRPr="00CB1BA2">
        <w:rPr>
          <w:rFonts w:eastAsia="Calibri"/>
          <w:color w:val="auto"/>
        </w:rPr>
        <w:t>,0 тыс. рублей;</w:t>
      </w:r>
      <w:r w:rsidR="002119DE">
        <w:rPr>
          <w:rFonts w:eastAsia="Calibri"/>
          <w:color w:val="FF0000"/>
        </w:rPr>
        <w:t xml:space="preserve"> </w:t>
      </w:r>
      <w:r w:rsidRPr="0037264D">
        <w:rPr>
          <w:rFonts w:eastAsia="Calibri"/>
          <w:color w:val="auto"/>
        </w:rPr>
        <w:t xml:space="preserve">обработано распоряжений на зачисление средств на лицевые счета бюджетных и автономных учреждений – </w:t>
      </w:r>
      <w:r w:rsidR="00705CBC" w:rsidRPr="0037264D">
        <w:rPr>
          <w:rFonts w:eastAsia="Calibri"/>
          <w:color w:val="auto"/>
        </w:rPr>
        <w:t>3</w:t>
      </w:r>
      <w:r w:rsidR="0037264D" w:rsidRPr="0037264D">
        <w:rPr>
          <w:rFonts w:eastAsia="Calibri"/>
          <w:color w:val="auto"/>
        </w:rPr>
        <w:t>8</w:t>
      </w:r>
      <w:r w:rsidRPr="0037264D">
        <w:rPr>
          <w:rFonts w:eastAsia="Calibri"/>
          <w:color w:val="auto"/>
        </w:rPr>
        <w:t>,</w:t>
      </w:r>
      <w:r w:rsidR="0037264D" w:rsidRPr="0037264D">
        <w:rPr>
          <w:rFonts w:eastAsia="Calibri"/>
          <w:color w:val="auto"/>
        </w:rPr>
        <w:t>0</w:t>
      </w:r>
      <w:r w:rsidRPr="0037264D">
        <w:rPr>
          <w:rFonts w:eastAsia="Calibri"/>
          <w:color w:val="auto"/>
        </w:rPr>
        <w:t xml:space="preserve"> тыс. документов на сумму 1</w:t>
      </w:r>
      <w:r w:rsidR="0037264D" w:rsidRPr="0037264D">
        <w:rPr>
          <w:rFonts w:eastAsia="Calibri"/>
          <w:color w:val="auto"/>
        </w:rPr>
        <w:t>6</w:t>
      </w:r>
      <w:r w:rsidRPr="0037264D">
        <w:rPr>
          <w:rFonts w:eastAsia="Calibri"/>
          <w:color w:val="auto"/>
        </w:rPr>
        <w:t> </w:t>
      </w:r>
      <w:r w:rsidR="0037264D" w:rsidRPr="0037264D">
        <w:rPr>
          <w:rFonts w:eastAsia="Calibri"/>
          <w:color w:val="auto"/>
        </w:rPr>
        <w:t>428</w:t>
      </w:r>
      <w:r w:rsidRPr="0037264D">
        <w:rPr>
          <w:rFonts w:eastAsia="Calibri"/>
          <w:color w:val="auto"/>
        </w:rPr>
        <w:t> </w:t>
      </w:r>
      <w:r w:rsidR="0037264D" w:rsidRPr="0037264D">
        <w:rPr>
          <w:rFonts w:eastAsia="Calibri"/>
          <w:color w:val="auto"/>
        </w:rPr>
        <w:t>575</w:t>
      </w:r>
      <w:r w:rsidRPr="0037264D">
        <w:rPr>
          <w:rFonts w:eastAsia="Calibri"/>
          <w:color w:val="auto"/>
        </w:rPr>
        <w:t>,</w:t>
      </w:r>
      <w:r w:rsidR="0037264D" w:rsidRPr="0037264D">
        <w:rPr>
          <w:rFonts w:eastAsia="Calibri"/>
          <w:color w:val="auto"/>
        </w:rPr>
        <w:t>1</w:t>
      </w:r>
      <w:r w:rsidRPr="0037264D">
        <w:rPr>
          <w:rFonts w:eastAsia="Calibri"/>
          <w:color w:val="auto"/>
        </w:rPr>
        <w:t xml:space="preserve"> тыс. рублей;</w:t>
      </w:r>
      <w:r w:rsidR="00E64F24" w:rsidRPr="00C014DC">
        <w:rPr>
          <w:rFonts w:eastAsia="Calibri"/>
          <w:color w:val="FF0000"/>
        </w:rPr>
        <w:t xml:space="preserve"> </w:t>
      </w:r>
      <w:r w:rsidR="00E64F24" w:rsidRPr="00557276">
        <w:rPr>
          <w:rFonts w:eastAsia="Calibri"/>
          <w:color w:val="auto"/>
        </w:rPr>
        <w:t>обработано распоряжений на зачисление в доходы по казенным учреждениям – 9,</w:t>
      </w:r>
      <w:r w:rsidR="00557276" w:rsidRPr="00557276">
        <w:rPr>
          <w:rFonts w:eastAsia="Calibri"/>
          <w:color w:val="auto"/>
        </w:rPr>
        <w:t>9</w:t>
      </w:r>
      <w:r w:rsidR="00E64F24" w:rsidRPr="00557276">
        <w:rPr>
          <w:rFonts w:eastAsia="Calibri"/>
          <w:color w:val="auto"/>
        </w:rPr>
        <w:t xml:space="preserve"> тыс. документов;</w:t>
      </w:r>
      <w:r w:rsidR="00315A7D">
        <w:rPr>
          <w:rFonts w:eastAsia="Calibri"/>
          <w:color w:val="FF0000"/>
        </w:rPr>
        <w:t xml:space="preserve"> </w:t>
      </w:r>
      <w:r w:rsidRPr="001E4A7B">
        <w:rPr>
          <w:rFonts w:eastAsia="Calibri"/>
          <w:color w:val="auto"/>
        </w:rPr>
        <w:t xml:space="preserve">обработано распоряжений на зачисление средств на лицевые счета в рамках казначейского сопровождения – </w:t>
      </w:r>
      <w:r w:rsidR="006C4BFC" w:rsidRPr="001E4A7B">
        <w:rPr>
          <w:rFonts w:eastAsia="Calibri"/>
          <w:color w:val="auto"/>
        </w:rPr>
        <w:t>4</w:t>
      </w:r>
      <w:r w:rsidR="001E4A7B" w:rsidRPr="001E4A7B">
        <w:rPr>
          <w:rFonts w:eastAsia="Calibri"/>
          <w:color w:val="auto"/>
        </w:rPr>
        <w:t>2</w:t>
      </w:r>
      <w:r w:rsidRPr="001E4A7B">
        <w:rPr>
          <w:rFonts w:eastAsia="Calibri"/>
          <w:color w:val="auto"/>
        </w:rPr>
        <w:t>,</w:t>
      </w:r>
      <w:r w:rsidR="001E4A7B" w:rsidRPr="001E4A7B">
        <w:rPr>
          <w:rFonts w:eastAsia="Calibri"/>
          <w:color w:val="auto"/>
        </w:rPr>
        <w:t>0</w:t>
      </w:r>
      <w:r w:rsidRPr="001E4A7B">
        <w:rPr>
          <w:rFonts w:eastAsia="Calibri"/>
          <w:color w:val="auto"/>
        </w:rPr>
        <w:t xml:space="preserve"> тыс. документов на сумму 1</w:t>
      </w:r>
      <w:r w:rsidR="00BC3C07">
        <w:rPr>
          <w:rFonts w:eastAsia="Calibri"/>
          <w:color w:val="auto"/>
        </w:rPr>
        <w:t>1</w:t>
      </w:r>
      <w:r w:rsidRPr="001E4A7B">
        <w:rPr>
          <w:rFonts w:eastAsia="Calibri"/>
          <w:color w:val="auto"/>
        </w:rPr>
        <w:t> </w:t>
      </w:r>
      <w:r w:rsidR="001E4A7B" w:rsidRPr="001E4A7B">
        <w:rPr>
          <w:rFonts w:eastAsia="Calibri"/>
          <w:color w:val="auto"/>
        </w:rPr>
        <w:t>611</w:t>
      </w:r>
      <w:r w:rsidRPr="001E4A7B">
        <w:rPr>
          <w:rFonts w:eastAsia="Calibri"/>
          <w:color w:val="auto"/>
        </w:rPr>
        <w:t> </w:t>
      </w:r>
      <w:r w:rsidR="001E4A7B" w:rsidRPr="001E4A7B">
        <w:rPr>
          <w:rFonts w:eastAsia="Calibri"/>
          <w:color w:val="auto"/>
        </w:rPr>
        <w:t>077</w:t>
      </w:r>
      <w:r w:rsidRPr="001E4A7B">
        <w:rPr>
          <w:rFonts w:eastAsia="Calibri"/>
          <w:color w:val="auto"/>
        </w:rPr>
        <w:t>,</w:t>
      </w:r>
      <w:r w:rsidR="001E4A7B" w:rsidRPr="001E4A7B">
        <w:rPr>
          <w:rFonts w:eastAsia="Calibri"/>
          <w:color w:val="auto"/>
        </w:rPr>
        <w:t>7</w:t>
      </w:r>
      <w:r w:rsidRPr="001E4A7B">
        <w:rPr>
          <w:rFonts w:eastAsia="Calibri"/>
          <w:color w:val="auto"/>
        </w:rPr>
        <w:t xml:space="preserve"> тыс. рублей.</w:t>
      </w:r>
      <w:r w:rsidR="00315A7D">
        <w:rPr>
          <w:rFonts w:eastAsia="Calibri"/>
          <w:color w:val="FF0000"/>
        </w:rPr>
        <w:t xml:space="preserve"> </w:t>
      </w:r>
      <w:r w:rsidRPr="0014310B">
        <w:rPr>
          <w:rFonts w:eastAsia="Calibri"/>
          <w:color w:val="auto"/>
        </w:rPr>
        <w:t xml:space="preserve">Уточнено невыясненных поступлений по </w:t>
      </w:r>
      <w:r w:rsidR="00506CBF">
        <w:rPr>
          <w:rFonts w:eastAsia="Calibri"/>
          <w:color w:val="auto"/>
        </w:rPr>
        <w:br/>
      </w:r>
      <w:r w:rsidR="000F1DB0" w:rsidRPr="0014310B">
        <w:rPr>
          <w:rFonts w:eastAsia="Calibri"/>
          <w:color w:val="auto"/>
        </w:rPr>
        <w:t>3</w:t>
      </w:r>
      <w:r w:rsidR="0014310B" w:rsidRPr="0014310B">
        <w:rPr>
          <w:rFonts w:eastAsia="Calibri"/>
          <w:color w:val="auto"/>
        </w:rPr>
        <w:t>39</w:t>
      </w:r>
      <w:r w:rsidRPr="0014310B">
        <w:rPr>
          <w:rFonts w:eastAsia="Calibri"/>
          <w:color w:val="auto"/>
        </w:rPr>
        <w:t xml:space="preserve"> документам.</w:t>
      </w:r>
      <w:r w:rsidRPr="00C014DC">
        <w:rPr>
          <w:rFonts w:eastAsia="Calibri"/>
          <w:color w:val="FF0000"/>
        </w:rPr>
        <w:t xml:space="preserve"> </w:t>
      </w:r>
      <w:r w:rsidRPr="0072320B">
        <w:rPr>
          <w:rFonts w:eastAsia="Calibri"/>
          <w:color w:val="auto"/>
        </w:rPr>
        <w:t xml:space="preserve">Осуществлено исправительных операций по </w:t>
      </w:r>
      <w:r w:rsidR="0072320B" w:rsidRPr="0072320B">
        <w:rPr>
          <w:rFonts w:eastAsia="Calibri"/>
          <w:color w:val="auto"/>
        </w:rPr>
        <w:t>768</w:t>
      </w:r>
      <w:r w:rsidRPr="0072320B">
        <w:rPr>
          <w:rFonts w:eastAsia="Calibri"/>
          <w:color w:val="auto"/>
        </w:rPr>
        <w:t xml:space="preserve"> документам.</w:t>
      </w:r>
      <w:r w:rsidR="00246F87">
        <w:rPr>
          <w:rFonts w:eastAsia="Calibri"/>
          <w:color w:val="FF0000"/>
        </w:rPr>
        <w:t xml:space="preserve"> </w:t>
      </w:r>
      <w:r w:rsidRPr="007718C8">
        <w:rPr>
          <w:rFonts w:eastAsia="Calibri"/>
          <w:color w:val="auto"/>
        </w:rPr>
        <w:t xml:space="preserve">Обработано уведомлений о предельных объемах финансирования - </w:t>
      </w:r>
      <w:r w:rsidR="00506CBF">
        <w:rPr>
          <w:rFonts w:eastAsia="Calibri"/>
          <w:color w:val="auto"/>
        </w:rPr>
        <w:br/>
      </w:r>
      <w:r w:rsidRPr="007718C8">
        <w:rPr>
          <w:rFonts w:eastAsia="Calibri"/>
          <w:color w:val="auto"/>
        </w:rPr>
        <w:t>1</w:t>
      </w:r>
      <w:r w:rsidR="00386ED6" w:rsidRPr="007718C8">
        <w:rPr>
          <w:rFonts w:eastAsia="Calibri"/>
          <w:color w:val="auto"/>
        </w:rPr>
        <w:t>5</w:t>
      </w:r>
      <w:r w:rsidRPr="007718C8">
        <w:rPr>
          <w:rFonts w:eastAsia="Calibri"/>
          <w:color w:val="auto"/>
        </w:rPr>
        <w:t>,</w:t>
      </w:r>
      <w:r w:rsidR="007718C8" w:rsidRPr="007718C8">
        <w:rPr>
          <w:rFonts w:eastAsia="Calibri"/>
          <w:color w:val="auto"/>
        </w:rPr>
        <w:t>4</w:t>
      </w:r>
      <w:r w:rsidRPr="007718C8">
        <w:rPr>
          <w:rFonts w:eastAsia="Calibri"/>
          <w:color w:val="auto"/>
        </w:rPr>
        <w:t xml:space="preserve"> тыс. документов.</w:t>
      </w:r>
      <w:r w:rsidR="00315A7D">
        <w:rPr>
          <w:rFonts w:eastAsia="Calibri"/>
          <w:color w:val="FF0000"/>
        </w:rPr>
        <w:t xml:space="preserve"> </w:t>
      </w:r>
      <w:r w:rsidRPr="00486EC1">
        <w:rPr>
          <w:rFonts w:eastAsia="Calibri"/>
          <w:color w:val="auto"/>
        </w:rPr>
        <w:t xml:space="preserve">Сформировано и обработано справок по доходам (справка по операциям БУ/АУ) казенных, бюджетных и автономных учреждений - </w:t>
      </w:r>
      <w:r w:rsidR="00506CBF">
        <w:rPr>
          <w:rFonts w:eastAsia="Calibri"/>
          <w:color w:val="auto"/>
        </w:rPr>
        <w:br/>
      </w:r>
      <w:r w:rsidR="006A4604" w:rsidRPr="00486EC1">
        <w:rPr>
          <w:rFonts w:eastAsia="Calibri"/>
          <w:color w:val="auto"/>
        </w:rPr>
        <w:t>9</w:t>
      </w:r>
      <w:r w:rsidRPr="00486EC1">
        <w:rPr>
          <w:rFonts w:eastAsia="Calibri"/>
          <w:color w:val="auto"/>
        </w:rPr>
        <w:t>,</w:t>
      </w:r>
      <w:r w:rsidR="00486EC1" w:rsidRPr="00486EC1">
        <w:rPr>
          <w:rFonts w:eastAsia="Calibri"/>
          <w:color w:val="auto"/>
        </w:rPr>
        <w:t>5</w:t>
      </w:r>
      <w:r w:rsidRPr="00486EC1">
        <w:rPr>
          <w:rFonts w:eastAsia="Calibri"/>
          <w:color w:val="auto"/>
        </w:rPr>
        <w:t xml:space="preserve"> тыс. документов.</w:t>
      </w:r>
      <w:r w:rsidR="00315A7D">
        <w:rPr>
          <w:rFonts w:eastAsia="Calibri"/>
          <w:color w:val="FF0000"/>
        </w:rPr>
        <w:t xml:space="preserve"> </w:t>
      </w:r>
      <w:r w:rsidRPr="001A4B12">
        <w:rPr>
          <w:rFonts w:eastAsia="Calibri"/>
          <w:color w:val="auto"/>
        </w:rPr>
        <w:t xml:space="preserve">Принято и обработано </w:t>
      </w:r>
      <w:r w:rsidR="001A4B12" w:rsidRPr="001A4B12">
        <w:rPr>
          <w:rFonts w:eastAsia="Calibri"/>
          <w:color w:val="auto"/>
        </w:rPr>
        <w:t>6</w:t>
      </w:r>
      <w:r w:rsidRPr="001A4B12">
        <w:rPr>
          <w:rFonts w:eastAsia="Calibri"/>
          <w:color w:val="auto"/>
        </w:rPr>
        <w:t>,</w:t>
      </w:r>
      <w:r w:rsidR="001A4B12" w:rsidRPr="001A4B12">
        <w:rPr>
          <w:rFonts w:eastAsia="Calibri"/>
          <w:color w:val="auto"/>
        </w:rPr>
        <w:t>1</w:t>
      </w:r>
      <w:r w:rsidRPr="001A4B12">
        <w:rPr>
          <w:rFonts w:eastAsia="Calibri"/>
          <w:color w:val="auto"/>
        </w:rPr>
        <w:t xml:space="preserve"> тыс. распоряжений о перечислении на карту </w:t>
      </w:r>
      <w:r w:rsidR="006B3DF7">
        <w:rPr>
          <w:rFonts w:eastAsia="Calibri"/>
          <w:color w:val="auto"/>
        </w:rPr>
        <w:t>«</w:t>
      </w:r>
      <w:r w:rsidRPr="001A4B12">
        <w:rPr>
          <w:rFonts w:eastAsia="Calibri"/>
          <w:color w:val="auto"/>
        </w:rPr>
        <w:t>Мир</w:t>
      </w:r>
      <w:r w:rsidR="006B3DF7">
        <w:rPr>
          <w:rFonts w:eastAsia="Calibri"/>
          <w:color w:val="auto"/>
        </w:rPr>
        <w:t>»</w:t>
      </w:r>
      <w:r w:rsidRPr="001A4B12">
        <w:rPr>
          <w:rFonts w:eastAsia="Calibri"/>
          <w:color w:val="auto"/>
        </w:rPr>
        <w:t>.</w:t>
      </w:r>
    </w:p>
    <w:p w14:paraId="28920587" w14:textId="77777777" w:rsidR="003F3CFB" w:rsidRPr="00D14ECE" w:rsidRDefault="003F3CFB" w:rsidP="006B3DF7">
      <w:pPr>
        <w:rPr>
          <w:rFonts w:eastAsia="Calibri"/>
          <w:color w:val="auto"/>
        </w:rPr>
      </w:pPr>
      <w:r w:rsidRPr="00D14ECE">
        <w:rPr>
          <w:rFonts w:eastAsia="Calibri"/>
          <w:b/>
          <w:color w:val="auto"/>
        </w:rPr>
        <w:t>Казначейское сопровождение</w:t>
      </w:r>
      <w:r w:rsidRPr="00D14ECE">
        <w:rPr>
          <w:rFonts w:eastAsia="Calibri"/>
          <w:color w:val="auto"/>
        </w:rPr>
        <w:t xml:space="preserve"> государственных контрактов, договоров (соглашений), а также контрактов, договоров, соглашений, заключенных в рамках их исполнения, было введено в 2016 году и направлено на повышение эффективности бюджетных расходов путем организации работы по сокращению дебиторской задолженности по расходам республиканского бюджета.</w:t>
      </w:r>
    </w:p>
    <w:p w14:paraId="04EAC42B" w14:textId="6A890BE2" w:rsidR="003F3CFB" w:rsidRPr="00D14ECE" w:rsidRDefault="003F3CFB" w:rsidP="006B3DF7">
      <w:pPr>
        <w:rPr>
          <w:rFonts w:eastAsia="Calibri"/>
          <w:color w:val="auto"/>
        </w:rPr>
      </w:pPr>
      <w:r w:rsidRPr="00D14ECE">
        <w:rPr>
          <w:rFonts w:eastAsia="Calibri"/>
          <w:color w:val="auto"/>
        </w:rPr>
        <w:t>Казначейское сопровождение закреплено положениями статьи 4 Закона Кабардино-Балкарской Республики от 2</w:t>
      </w:r>
      <w:r w:rsidR="00D14ECE" w:rsidRPr="00D14ECE">
        <w:rPr>
          <w:rFonts w:eastAsia="Calibri"/>
          <w:color w:val="auto"/>
        </w:rPr>
        <w:t>8</w:t>
      </w:r>
      <w:r w:rsidRPr="00D14ECE">
        <w:rPr>
          <w:rFonts w:eastAsia="Calibri"/>
          <w:color w:val="auto"/>
        </w:rPr>
        <w:t>.12.202</w:t>
      </w:r>
      <w:r w:rsidR="00D14ECE" w:rsidRPr="00D14ECE">
        <w:rPr>
          <w:rFonts w:eastAsia="Calibri"/>
          <w:color w:val="auto"/>
        </w:rPr>
        <w:t>4</w:t>
      </w:r>
      <w:r w:rsidR="00C314E4" w:rsidRPr="00D14ECE">
        <w:rPr>
          <w:rFonts w:eastAsia="Calibri"/>
          <w:color w:val="auto"/>
        </w:rPr>
        <w:t>года</w:t>
      </w:r>
      <w:r w:rsidRPr="00D14ECE">
        <w:rPr>
          <w:rFonts w:eastAsia="Calibri"/>
          <w:color w:val="auto"/>
        </w:rPr>
        <w:t xml:space="preserve"> № </w:t>
      </w:r>
      <w:r w:rsidR="00D14ECE" w:rsidRPr="00D14ECE">
        <w:rPr>
          <w:rFonts w:eastAsia="Calibri"/>
          <w:color w:val="auto"/>
        </w:rPr>
        <w:t>5</w:t>
      </w:r>
      <w:r w:rsidR="000755B0" w:rsidRPr="00D14ECE">
        <w:rPr>
          <w:rFonts w:eastAsia="Calibri"/>
          <w:color w:val="auto"/>
        </w:rPr>
        <w:t>2</w:t>
      </w:r>
      <w:r w:rsidRPr="00D14ECE">
        <w:rPr>
          <w:rFonts w:eastAsia="Calibri"/>
          <w:color w:val="auto"/>
        </w:rPr>
        <w:t xml:space="preserve">-РЗ </w:t>
      </w:r>
      <w:r w:rsidR="006B3DF7">
        <w:rPr>
          <w:rFonts w:eastAsia="Calibri"/>
          <w:color w:val="auto"/>
        </w:rPr>
        <w:t>«</w:t>
      </w:r>
      <w:r w:rsidRPr="00D14ECE">
        <w:rPr>
          <w:rFonts w:eastAsia="Calibri"/>
          <w:color w:val="auto"/>
        </w:rPr>
        <w:t>О республиканском бюджете Кабардино-Балкарской Республики на 202</w:t>
      </w:r>
      <w:r w:rsidR="00D14ECE" w:rsidRPr="00D14ECE">
        <w:rPr>
          <w:rFonts w:eastAsia="Calibri"/>
          <w:color w:val="auto"/>
        </w:rPr>
        <w:t>5</w:t>
      </w:r>
      <w:r w:rsidRPr="00D14ECE">
        <w:rPr>
          <w:rFonts w:eastAsia="Calibri"/>
          <w:color w:val="auto"/>
        </w:rPr>
        <w:t xml:space="preserve"> год и на плановый период 202</w:t>
      </w:r>
      <w:r w:rsidR="00D14ECE" w:rsidRPr="00D14ECE">
        <w:rPr>
          <w:rFonts w:eastAsia="Calibri"/>
          <w:color w:val="auto"/>
        </w:rPr>
        <w:t>6</w:t>
      </w:r>
      <w:r w:rsidRPr="00D14ECE">
        <w:rPr>
          <w:rFonts w:eastAsia="Calibri"/>
          <w:color w:val="auto"/>
        </w:rPr>
        <w:t xml:space="preserve"> и 202</w:t>
      </w:r>
      <w:r w:rsidR="00D14ECE" w:rsidRPr="00D14ECE">
        <w:rPr>
          <w:rFonts w:eastAsia="Calibri"/>
          <w:color w:val="auto"/>
        </w:rPr>
        <w:t>7</w:t>
      </w:r>
      <w:r w:rsidRPr="00D14ECE">
        <w:rPr>
          <w:rFonts w:eastAsia="Calibri"/>
          <w:color w:val="auto"/>
        </w:rPr>
        <w:t xml:space="preserve"> годов</w:t>
      </w:r>
      <w:r w:rsidR="006B3DF7">
        <w:rPr>
          <w:rFonts w:eastAsia="Calibri"/>
          <w:color w:val="auto"/>
        </w:rPr>
        <w:t>»</w:t>
      </w:r>
      <w:r w:rsidRPr="00D14ECE">
        <w:rPr>
          <w:rFonts w:eastAsia="Calibri"/>
          <w:color w:val="auto"/>
        </w:rPr>
        <w:t xml:space="preserve"> и гарантирует прозрачность, подотчетность и целевое использование средств республиканского бюджета, обеспечивает их направление в реальный сектор экономики, а также позволяет аккумулировать дополнительную ликвидность на едином счете республиканского бюджета.</w:t>
      </w:r>
    </w:p>
    <w:p w14:paraId="3D745AF8" w14:textId="77777777" w:rsidR="003F3CFB" w:rsidRPr="007C2473" w:rsidRDefault="003F3CFB" w:rsidP="006B3DF7">
      <w:pPr>
        <w:rPr>
          <w:rFonts w:eastAsia="Calibri"/>
          <w:color w:val="auto"/>
        </w:rPr>
      </w:pPr>
      <w:r w:rsidRPr="00C014DC">
        <w:rPr>
          <w:rFonts w:eastAsia="Calibri"/>
          <w:color w:val="FF0000"/>
        </w:rPr>
        <w:t xml:space="preserve"> </w:t>
      </w:r>
      <w:r w:rsidRPr="007C2473">
        <w:rPr>
          <w:rFonts w:eastAsia="Calibri"/>
          <w:color w:val="auto"/>
        </w:rPr>
        <w:t>В 202</w:t>
      </w:r>
      <w:r w:rsidR="007C2473" w:rsidRPr="007C2473">
        <w:rPr>
          <w:rFonts w:eastAsia="Calibri"/>
          <w:color w:val="auto"/>
        </w:rPr>
        <w:t>5</w:t>
      </w:r>
      <w:r w:rsidRPr="007C2473">
        <w:rPr>
          <w:rFonts w:eastAsia="Calibri"/>
          <w:color w:val="auto"/>
        </w:rPr>
        <w:t xml:space="preserve"> году казначейскому сопровождению подлежали:</w:t>
      </w:r>
    </w:p>
    <w:p w14:paraId="33D2C286" w14:textId="77777777" w:rsidR="003F3CFB" w:rsidRPr="00E97E83" w:rsidRDefault="003F3CFB" w:rsidP="006B3DF7">
      <w:pPr>
        <w:rPr>
          <w:rFonts w:eastAsia="Calibri"/>
          <w:color w:val="auto"/>
        </w:rPr>
      </w:pPr>
      <w:r w:rsidRPr="00E97E83">
        <w:rPr>
          <w:rFonts w:eastAsia="Calibri"/>
          <w:color w:val="auto"/>
        </w:rPr>
        <w:t>договоры (соглашения) о предоставлении субсидий юридическим лицам и индивидуальным предпринимателям (за исключением субсидий, предоставляемых для возмещения понесенных расходов), а также бюджетных инвестиций юридическим лицам в соответствии со статьей 80 Бюджетного кодекса Российской Федерации;</w:t>
      </w:r>
    </w:p>
    <w:p w14:paraId="377D4DC5" w14:textId="77777777" w:rsidR="003F3CFB" w:rsidRPr="00E97E83" w:rsidRDefault="003F3CFB" w:rsidP="006B3DF7">
      <w:pPr>
        <w:rPr>
          <w:rFonts w:eastAsia="Calibri"/>
          <w:color w:val="auto"/>
        </w:rPr>
      </w:pPr>
      <w:r w:rsidRPr="00E97E83">
        <w:rPr>
          <w:rFonts w:eastAsia="Calibri"/>
          <w:color w:val="auto"/>
        </w:rPr>
        <w:t>договоры о предоставлении взносов в уставные (складочные) капиталы юридических лиц, источником финансового обеспечения которых являются бюджетные инвестиции;</w:t>
      </w:r>
    </w:p>
    <w:p w14:paraId="5D1D5628" w14:textId="77777777" w:rsidR="003F3CFB" w:rsidRPr="00E97E83" w:rsidRDefault="003F3CFB" w:rsidP="006B3DF7">
      <w:pPr>
        <w:rPr>
          <w:rFonts w:eastAsia="Calibri"/>
          <w:color w:val="auto"/>
        </w:rPr>
      </w:pPr>
      <w:r w:rsidRPr="00E97E83">
        <w:rPr>
          <w:rFonts w:eastAsia="Calibri"/>
          <w:color w:val="auto"/>
        </w:rPr>
        <w:t>контракты (договоры) о поставке товаров, выполнении работ, оказании услуг, заключаемые юридическими лицами и индивидуальными предпринимателями, получающими бюджетные инвестиции, юридическими лицами, получающими субсидии, а также юридическими лицами, в уставные (складочные) капиталы которых предоставляются взносы, с юридическими лицами - исполнителями по контрактам (договорам), источником финансового обеспечения которых являются данные бюджетные инвестиции, если условиями данных контрактов (договоров) предусмотрены авансовые платежи;</w:t>
      </w:r>
    </w:p>
    <w:p w14:paraId="497F2355" w14:textId="44395710" w:rsidR="003F3CFB" w:rsidRPr="00E97E83" w:rsidRDefault="003F3CFB" w:rsidP="006B3DF7">
      <w:pPr>
        <w:rPr>
          <w:rFonts w:eastAsia="Calibri"/>
          <w:color w:val="auto"/>
        </w:rPr>
      </w:pPr>
      <w:r w:rsidRPr="00E97E83">
        <w:rPr>
          <w:rFonts w:eastAsia="Calibri"/>
          <w:color w:val="auto"/>
        </w:rPr>
        <w:t xml:space="preserve">государственные контракты о поставке товаров, выполнении работ, оказании услуг (за исключением государственных контрактов,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сумму более </w:t>
      </w:r>
      <w:r w:rsidR="00506CBF">
        <w:rPr>
          <w:rFonts w:eastAsia="Calibri"/>
          <w:color w:val="auto"/>
        </w:rPr>
        <w:br/>
      </w:r>
      <w:r w:rsidRPr="00E97E83">
        <w:rPr>
          <w:rFonts w:eastAsia="Calibri"/>
          <w:color w:val="auto"/>
        </w:rPr>
        <w:t>1 000,0 тыс. рублей, если условиями данных государственных контрактов предусмотрены авансовые платежи;</w:t>
      </w:r>
    </w:p>
    <w:p w14:paraId="2D7B55D0" w14:textId="77777777" w:rsidR="003F3CFB" w:rsidRPr="00E97E83" w:rsidRDefault="003F3CFB" w:rsidP="006B3DF7">
      <w:pPr>
        <w:rPr>
          <w:rFonts w:eastAsia="Calibri"/>
          <w:color w:val="auto"/>
        </w:rPr>
      </w:pPr>
      <w:r w:rsidRPr="00E97E83">
        <w:rPr>
          <w:rFonts w:eastAsia="Calibri"/>
          <w:color w:val="auto"/>
        </w:rPr>
        <w:t>государственные контракты (контракты, договоры) об осуществлении отдельных закупок товаров, работ, услуг, в случаях, установленных Правительством Кабардино-Балкарской Республики;</w:t>
      </w:r>
    </w:p>
    <w:p w14:paraId="6F97CF8C" w14:textId="29417EB6" w:rsidR="003F3CFB" w:rsidRPr="00E97E83" w:rsidRDefault="003F3CFB" w:rsidP="006B3DF7">
      <w:pPr>
        <w:rPr>
          <w:rFonts w:eastAsia="Calibri"/>
          <w:color w:val="auto"/>
        </w:rPr>
      </w:pPr>
      <w:r w:rsidRPr="00E97E83">
        <w:rPr>
          <w:rFonts w:eastAsia="Calibri"/>
          <w:color w:val="auto"/>
        </w:rPr>
        <w:t>государственные контракты (договоры) о поставке товаров, выполнении работ, оказании услуг (за исключением государственных контрактов,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заключенные поставщиками (подрядчиками, исполнителями) с государственными заказчиками на сумму</w:t>
      </w:r>
      <w:r w:rsidR="007C2473" w:rsidRPr="00E97E83">
        <w:rPr>
          <w:rFonts w:eastAsia="Calibri"/>
          <w:color w:val="auto"/>
        </w:rPr>
        <w:t xml:space="preserve"> </w:t>
      </w:r>
      <w:r w:rsidRPr="00E97E83">
        <w:rPr>
          <w:rFonts w:eastAsia="Calibri"/>
          <w:color w:val="auto"/>
        </w:rPr>
        <w:t xml:space="preserve">более </w:t>
      </w:r>
      <w:r w:rsidR="00506CBF">
        <w:rPr>
          <w:rFonts w:eastAsia="Calibri"/>
          <w:color w:val="auto"/>
        </w:rPr>
        <w:br/>
      </w:r>
      <w:r w:rsidRPr="00E97E83">
        <w:rPr>
          <w:rFonts w:eastAsia="Calibri"/>
          <w:color w:val="auto"/>
        </w:rPr>
        <w:t>1 000,0 тыс. рублей</w:t>
      </w:r>
      <w:r w:rsidR="000755B0" w:rsidRPr="00E97E83">
        <w:rPr>
          <w:rFonts w:eastAsia="Calibri"/>
          <w:color w:val="auto"/>
        </w:rPr>
        <w:t>.</w:t>
      </w:r>
    </w:p>
    <w:p w14:paraId="2E021689" w14:textId="030C0A3E" w:rsidR="003F3CFB" w:rsidRPr="00C51668" w:rsidRDefault="003F3CFB" w:rsidP="006B3DF7">
      <w:pPr>
        <w:rPr>
          <w:rFonts w:eastAsia="Calibri"/>
        </w:rPr>
      </w:pPr>
      <w:r w:rsidRPr="00C51668">
        <w:rPr>
          <w:rFonts w:eastAsia="Calibri"/>
        </w:rPr>
        <w:t>В рамках казначейского сопровождения в 202</w:t>
      </w:r>
      <w:r w:rsidR="00156021" w:rsidRPr="00C51668">
        <w:rPr>
          <w:rFonts w:eastAsia="Calibri"/>
        </w:rPr>
        <w:t>5</w:t>
      </w:r>
      <w:r w:rsidRPr="00C51668">
        <w:rPr>
          <w:rFonts w:eastAsia="Calibri"/>
        </w:rPr>
        <w:t xml:space="preserve"> году одним сотрудником Министерства проверено и обработано </w:t>
      </w:r>
      <w:r w:rsidR="00A7563B" w:rsidRPr="00C51668">
        <w:rPr>
          <w:rFonts w:eastAsia="Calibri"/>
        </w:rPr>
        <w:t>4,53</w:t>
      </w:r>
      <w:r w:rsidRPr="00C51668">
        <w:rPr>
          <w:rFonts w:eastAsia="Calibri"/>
        </w:rPr>
        <w:t xml:space="preserve"> тыс. договоров на сумму </w:t>
      </w:r>
      <w:r w:rsidRPr="00C51668">
        <w:rPr>
          <w:rFonts w:eastAsia="Calibri"/>
        </w:rPr>
        <w:br/>
      </w:r>
      <w:r w:rsidR="008860FC" w:rsidRPr="00C51668">
        <w:rPr>
          <w:rFonts w:eastAsia="Calibri"/>
        </w:rPr>
        <w:t>1</w:t>
      </w:r>
      <w:r w:rsidR="00A7563B" w:rsidRPr="00C51668">
        <w:rPr>
          <w:rFonts w:eastAsia="Calibri"/>
        </w:rPr>
        <w:t>9</w:t>
      </w:r>
      <w:r w:rsidR="008860FC" w:rsidRPr="00C51668">
        <w:rPr>
          <w:rFonts w:eastAsia="Calibri"/>
        </w:rPr>
        <w:t> </w:t>
      </w:r>
      <w:r w:rsidR="00A7563B" w:rsidRPr="00C51668">
        <w:rPr>
          <w:rFonts w:eastAsia="Calibri"/>
        </w:rPr>
        <w:t>541</w:t>
      </w:r>
      <w:r w:rsidR="008860FC" w:rsidRPr="00C51668">
        <w:rPr>
          <w:rFonts w:eastAsia="Calibri"/>
        </w:rPr>
        <w:t> </w:t>
      </w:r>
      <w:r w:rsidR="00A7563B" w:rsidRPr="00C51668">
        <w:rPr>
          <w:rFonts w:eastAsia="Calibri"/>
        </w:rPr>
        <w:t>720</w:t>
      </w:r>
      <w:r w:rsidR="008860FC" w:rsidRPr="00C51668">
        <w:rPr>
          <w:rFonts w:eastAsia="Calibri"/>
        </w:rPr>
        <w:t>,0</w:t>
      </w:r>
      <w:r w:rsidR="00754B1D" w:rsidRPr="00C51668">
        <w:rPr>
          <w:rFonts w:eastAsia="Calibri"/>
        </w:rPr>
        <w:t xml:space="preserve"> </w:t>
      </w:r>
      <w:r w:rsidR="008860FC" w:rsidRPr="00C51668">
        <w:rPr>
          <w:rFonts w:eastAsia="Calibri"/>
        </w:rPr>
        <w:t>тыс.</w:t>
      </w:r>
      <w:r w:rsidRPr="00C51668">
        <w:rPr>
          <w:rFonts w:eastAsia="Calibri"/>
        </w:rPr>
        <w:t xml:space="preserve"> рублей.</w:t>
      </w:r>
    </w:p>
    <w:p w14:paraId="2127562B" w14:textId="7835C56C" w:rsidR="003F3CFB" w:rsidRPr="00C51668" w:rsidRDefault="003F3CFB" w:rsidP="006B3DF7">
      <w:pPr>
        <w:rPr>
          <w:rFonts w:eastAsia="Calibri"/>
        </w:rPr>
      </w:pPr>
      <w:r w:rsidRPr="00C51668">
        <w:t xml:space="preserve">В Подсистеме информационно-аналитического обеспечения государственной интегрированной информационной системы управления общественными финансами </w:t>
      </w:r>
      <w:r w:rsidR="006B3DF7">
        <w:t>«</w:t>
      </w:r>
      <w:r w:rsidRPr="00C51668">
        <w:t>Электронный бюджет</w:t>
      </w:r>
      <w:r w:rsidR="006B3DF7">
        <w:t>»</w:t>
      </w:r>
      <w:r w:rsidRPr="00C51668">
        <w:t xml:space="preserve"> </w:t>
      </w:r>
      <w:r w:rsidRPr="00C51668">
        <w:rPr>
          <w:rFonts w:eastAsia="Calibri"/>
        </w:rPr>
        <w:t xml:space="preserve">одним сотрудником проверено и обработано </w:t>
      </w:r>
      <w:r w:rsidR="00506CBF">
        <w:rPr>
          <w:rFonts w:eastAsia="Calibri"/>
        </w:rPr>
        <w:br/>
      </w:r>
      <w:r w:rsidR="009F554C" w:rsidRPr="00C51668">
        <w:rPr>
          <w:rFonts w:eastAsia="Calibri"/>
        </w:rPr>
        <w:t>6,6</w:t>
      </w:r>
      <w:r w:rsidRPr="00C51668">
        <w:rPr>
          <w:rFonts w:eastAsia="Calibri"/>
        </w:rPr>
        <w:t xml:space="preserve"> тыс. платежных поручений на сумму </w:t>
      </w:r>
      <w:r w:rsidR="009F554C" w:rsidRPr="00C51668">
        <w:rPr>
          <w:rFonts w:eastAsia="Calibri"/>
        </w:rPr>
        <w:t>7</w:t>
      </w:r>
      <w:r w:rsidR="00A7563B" w:rsidRPr="00C51668">
        <w:rPr>
          <w:rFonts w:eastAsia="Calibri"/>
        </w:rPr>
        <w:t xml:space="preserve"> </w:t>
      </w:r>
      <w:r w:rsidR="009F554C" w:rsidRPr="00C51668">
        <w:rPr>
          <w:rFonts w:eastAsia="Calibri"/>
        </w:rPr>
        <w:t>852</w:t>
      </w:r>
      <w:r w:rsidR="00DD788A" w:rsidRPr="00C51668">
        <w:rPr>
          <w:rFonts w:eastAsia="Calibri"/>
        </w:rPr>
        <w:t xml:space="preserve"> </w:t>
      </w:r>
      <w:r w:rsidR="009F554C" w:rsidRPr="00C51668">
        <w:rPr>
          <w:rFonts w:eastAsia="Calibri"/>
        </w:rPr>
        <w:t>488</w:t>
      </w:r>
      <w:r w:rsidR="00DD788A" w:rsidRPr="00C51668">
        <w:rPr>
          <w:rFonts w:eastAsia="Calibri"/>
        </w:rPr>
        <w:t>,</w:t>
      </w:r>
      <w:r w:rsidR="009F554C" w:rsidRPr="00C51668">
        <w:rPr>
          <w:rFonts w:eastAsia="Calibri"/>
        </w:rPr>
        <w:t>16</w:t>
      </w:r>
      <w:r w:rsidRPr="00C51668">
        <w:rPr>
          <w:rFonts w:eastAsia="Calibri"/>
        </w:rPr>
        <w:t xml:space="preserve"> тыс. рублей. Отказано по причинам несоответствия нормативно правовым актам </w:t>
      </w:r>
      <w:r w:rsidR="00A7563B" w:rsidRPr="00C51668">
        <w:rPr>
          <w:rFonts w:eastAsia="Calibri"/>
        </w:rPr>
        <w:t>2071</w:t>
      </w:r>
      <w:r w:rsidRPr="00C51668">
        <w:rPr>
          <w:rFonts w:eastAsia="Calibri"/>
        </w:rPr>
        <w:t xml:space="preserve"> платежных поручений. Зачислено на лицевые счета средств по </w:t>
      </w:r>
      <w:r w:rsidR="00932D33" w:rsidRPr="00C51668">
        <w:rPr>
          <w:rFonts w:eastAsia="Calibri"/>
        </w:rPr>
        <w:t>7953</w:t>
      </w:r>
      <w:r w:rsidRPr="00C51668">
        <w:rPr>
          <w:rFonts w:eastAsia="Calibri"/>
        </w:rPr>
        <w:t xml:space="preserve"> поручениям о перечислении на сумму </w:t>
      </w:r>
      <w:r w:rsidRPr="00C51668">
        <w:rPr>
          <w:rFonts w:eastAsia="Calibri"/>
        </w:rPr>
        <w:br/>
      </w:r>
      <w:r w:rsidR="009F554C" w:rsidRPr="00C51668">
        <w:rPr>
          <w:rFonts w:eastAsia="Calibri"/>
        </w:rPr>
        <w:t>8</w:t>
      </w:r>
      <w:r w:rsidR="00DD788A" w:rsidRPr="00C51668">
        <w:rPr>
          <w:rFonts w:eastAsia="Calibri"/>
        </w:rPr>
        <w:t> </w:t>
      </w:r>
      <w:r w:rsidR="009F554C" w:rsidRPr="00C51668">
        <w:rPr>
          <w:rFonts w:eastAsia="Calibri"/>
        </w:rPr>
        <w:t>157</w:t>
      </w:r>
      <w:r w:rsidR="00DD788A" w:rsidRPr="00C51668">
        <w:rPr>
          <w:rFonts w:eastAsia="Calibri"/>
        </w:rPr>
        <w:t xml:space="preserve"> </w:t>
      </w:r>
      <w:r w:rsidR="009F554C" w:rsidRPr="00C51668">
        <w:rPr>
          <w:rFonts w:eastAsia="Calibri"/>
        </w:rPr>
        <w:t>435</w:t>
      </w:r>
      <w:r w:rsidR="00DD788A" w:rsidRPr="00C51668">
        <w:rPr>
          <w:rFonts w:eastAsia="Calibri"/>
        </w:rPr>
        <w:t>,</w:t>
      </w:r>
      <w:r w:rsidR="009F554C" w:rsidRPr="00C51668">
        <w:rPr>
          <w:rFonts w:eastAsia="Calibri"/>
        </w:rPr>
        <w:t>70</w:t>
      </w:r>
      <w:r w:rsidRPr="00C51668">
        <w:rPr>
          <w:rFonts w:eastAsia="Calibri"/>
        </w:rPr>
        <w:t xml:space="preserve"> тыс. рублей. Обработано </w:t>
      </w:r>
      <w:r w:rsidR="00594742" w:rsidRPr="00C51668">
        <w:rPr>
          <w:rFonts w:eastAsia="Calibri"/>
        </w:rPr>
        <w:t>61</w:t>
      </w:r>
      <w:r w:rsidRPr="00C51668">
        <w:rPr>
          <w:rFonts w:eastAsia="Calibri"/>
        </w:rPr>
        <w:t xml:space="preserve"> платежн</w:t>
      </w:r>
      <w:r w:rsidR="00DF7E3B">
        <w:rPr>
          <w:rFonts w:eastAsia="Calibri"/>
        </w:rPr>
        <w:t>ое</w:t>
      </w:r>
      <w:r w:rsidRPr="00C51668">
        <w:rPr>
          <w:rFonts w:eastAsia="Calibri"/>
        </w:rPr>
        <w:t xml:space="preserve"> поручени</w:t>
      </w:r>
      <w:r w:rsidR="00DF7E3B">
        <w:rPr>
          <w:rFonts w:eastAsia="Calibri"/>
        </w:rPr>
        <w:t>е</w:t>
      </w:r>
      <w:r w:rsidRPr="00C51668">
        <w:rPr>
          <w:rFonts w:eastAsia="Calibri"/>
        </w:rPr>
        <w:t xml:space="preserve"> по возврату из банка.</w:t>
      </w:r>
    </w:p>
    <w:p w14:paraId="7D2185A3" w14:textId="77777777" w:rsidR="003F3CFB" w:rsidRPr="00E97E83" w:rsidRDefault="003F3CFB" w:rsidP="006B3DF7">
      <w:pPr>
        <w:rPr>
          <w:rFonts w:eastAsia="Calibri"/>
          <w:color w:val="auto"/>
        </w:rPr>
      </w:pPr>
      <w:r w:rsidRPr="00E97E83">
        <w:rPr>
          <w:rFonts w:eastAsia="Calibri"/>
          <w:color w:val="auto"/>
        </w:rPr>
        <w:t>Проведенная работа позволила повысить операционную эффективность и бюджетную дисциплину при расходовании средств республиканского бюджета.</w:t>
      </w:r>
    </w:p>
    <w:p w14:paraId="0A10AC23" w14:textId="77777777" w:rsidR="003F3CFB" w:rsidRPr="002F7FB1" w:rsidRDefault="003F3CFB" w:rsidP="006B3DF7">
      <w:pPr>
        <w:rPr>
          <w:rFonts w:eastAsia="Calibri"/>
        </w:rPr>
      </w:pPr>
      <w:r w:rsidRPr="002F7FB1">
        <w:rPr>
          <w:rFonts w:eastAsia="Trebuchet MS"/>
        </w:rPr>
        <w:t xml:space="preserve">Министерством финансов </w:t>
      </w:r>
      <w:r w:rsidRPr="002F7FB1">
        <w:rPr>
          <w:rFonts w:eastAsia="Calibri"/>
        </w:rPr>
        <w:t>Кабардино-Балкарской Республики</w:t>
      </w:r>
      <w:r w:rsidRPr="002F7FB1">
        <w:rPr>
          <w:rFonts w:eastAsia="Trebuchet MS"/>
        </w:rPr>
        <w:t xml:space="preserve"> ежемесячно формируется кассовый план исполнения республиканского бюджета. </w:t>
      </w:r>
    </w:p>
    <w:p w14:paraId="3CA8802D" w14:textId="77777777" w:rsidR="00EB5A46" w:rsidRPr="00D05E60" w:rsidRDefault="00EB5A46" w:rsidP="006B3DF7">
      <w:pPr>
        <w:pStyle w:val="24"/>
        <w:numPr>
          <w:ilvl w:val="0"/>
          <w:numId w:val="0"/>
        </w:numPr>
        <w:spacing w:before="0" w:after="0"/>
        <w:ind w:firstLine="709"/>
        <w:rPr>
          <w:color w:val="FF0000"/>
        </w:rPr>
      </w:pPr>
    </w:p>
    <w:p w14:paraId="274A0070" w14:textId="3D4E5B20" w:rsidR="00F811F4" w:rsidRDefault="002C24EA" w:rsidP="006B3DF7">
      <w:pPr>
        <w:pStyle w:val="24"/>
        <w:numPr>
          <w:ilvl w:val="0"/>
          <w:numId w:val="0"/>
        </w:numPr>
        <w:spacing w:before="0" w:after="0"/>
        <w:ind w:firstLine="709"/>
        <w:rPr>
          <w:color w:val="568D11" w:themeColor="accent3" w:themeShade="80"/>
        </w:rPr>
      </w:pPr>
      <w:bookmarkStart w:id="110" w:name="_Toc131085643"/>
      <w:bookmarkStart w:id="111" w:name="_Toc162008800"/>
      <w:r w:rsidRPr="00370B39">
        <w:rPr>
          <w:color w:val="568D11" w:themeColor="accent3" w:themeShade="80"/>
        </w:rPr>
        <w:t>8</w:t>
      </w:r>
      <w:r w:rsidR="008B0C90" w:rsidRPr="00370B39">
        <w:rPr>
          <w:color w:val="568D11" w:themeColor="accent3" w:themeShade="80"/>
        </w:rPr>
        <w:t>.</w:t>
      </w:r>
      <w:r w:rsidR="004E05E9">
        <w:rPr>
          <w:color w:val="568D11" w:themeColor="accent3" w:themeShade="80"/>
        </w:rPr>
        <w:t xml:space="preserve"> </w:t>
      </w:r>
      <w:r w:rsidR="00F811F4" w:rsidRPr="00370B39">
        <w:rPr>
          <w:color w:val="568D11" w:themeColor="accent3" w:themeShade="80"/>
        </w:rPr>
        <w:t>Деятельность Министерства финансов КБР в сфере б</w:t>
      </w:r>
      <w:r w:rsidR="00753386" w:rsidRPr="00370B39">
        <w:rPr>
          <w:color w:val="568D11" w:themeColor="accent3" w:themeShade="80"/>
        </w:rPr>
        <w:t>юджетного</w:t>
      </w:r>
      <w:r w:rsidR="00F811F4" w:rsidRPr="00370B39">
        <w:rPr>
          <w:color w:val="568D11" w:themeColor="accent3" w:themeShade="80"/>
        </w:rPr>
        <w:t xml:space="preserve"> учета и отчетности организаций государственного сектора</w:t>
      </w:r>
      <w:bookmarkEnd w:id="110"/>
      <w:bookmarkEnd w:id="111"/>
    </w:p>
    <w:p w14:paraId="517BDB38" w14:textId="77777777" w:rsidR="00DB2052" w:rsidRPr="00D05E60" w:rsidRDefault="00DB2052" w:rsidP="006B3DF7">
      <w:pPr>
        <w:pStyle w:val="24"/>
        <w:numPr>
          <w:ilvl w:val="0"/>
          <w:numId w:val="0"/>
        </w:numPr>
        <w:spacing w:before="0" w:after="0"/>
        <w:ind w:firstLine="709"/>
        <w:jc w:val="both"/>
        <w:rPr>
          <w:color w:val="FF0000"/>
          <w:sz w:val="20"/>
          <w:szCs w:val="20"/>
        </w:rPr>
      </w:pPr>
    </w:p>
    <w:p w14:paraId="3C3F544E" w14:textId="77777777" w:rsidR="001646F1" w:rsidRPr="001646F1" w:rsidRDefault="001646F1" w:rsidP="006B3DF7">
      <w:pPr>
        <w:rPr>
          <w:color w:val="000000"/>
        </w:rPr>
      </w:pPr>
      <w:bookmarkStart w:id="112" w:name="_Toc482701255"/>
      <w:bookmarkStart w:id="113" w:name="_Toc131085644"/>
      <w:r w:rsidRPr="001646F1">
        <w:rPr>
          <w:color w:val="000000"/>
        </w:rPr>
        <w:t>В сфере регулирования бухгалтерского учета и финансовой отчетности осуществлен ряд мероприятий, направленных на повышение качества учета и отчетности, а также упрощение процедуры консолидации отчетности.</w:t>
      </w:r>
    </w:p>
    <w:p w14:paraId="64920D33" w14:textId="77777777" w:rsidR="001646F1" w:rsidRPr="001646F1" w:rsidRDefault="001646F1" w:rsidP="006B3DF7">
      <w:pPr>
        <w:rPr>
          <w:color w:val="000000"/>
        </w:rPr>
      </w:pPr>
      <w:r w:rsidRPr="001646F1">
        <w:rPr>
          <w:color w:val="000000"/>
        </w:rPr>
        <w:t>В данной области в 2025 году были решены следующие задачи:</w:t>
      </w:r>
    </w:p>
    <w:p w14:paraId="521147B3" w14:textId="77777777" w:rsidR="001646F1" w:rsidRPr="001646F1" w:rsidRDefault="001646F1" w:rsidP="006B3DF7">
      <w:pPr>
        <w:rPr>
          <w:color w:val="000000"/>
        </w:rPr>
      </w:pPr>
      <w:r w:rsidRPr="001646F1">
        <w:rPr>
          <w:color w:val="000000"/>
        </w:rPr>
        <w:t>1. По всем участникам бюджетного процесса КБР, а также бюджетными (автономными) учреждениями получателями средств бюджета КБР, в системе учета проведен мониторинг на наличие учетных ошибок (технологический анализ учета) с дальнейшим контролем на исправление выявленных ошибок.</w:t>
      </w:r>
    </w:p>
    <w:p w14:paraId="7BF886A0" w14:textId="67A8CF7E" w:rsidR="001646F1" w:rsidRPr="001646F1" w:rsidRDefault="001646F1" w:rsidP="006B3DF7">
      <w:pPr>
        <w:rPr>
          <w:color w:val="000000"/>
        </w:rPr>
      </w:pPr>
      <w:r w:rsidRPr="001646F1">
        <w:rPr>
          <w:color w:val="000000"/>
        </w:rPr>
        <w:t xml:space="preserve">2. Ежемесячно проводился мониторинг просроченной кредиторской задолженности. В рамках мониторинга, а также в соответствии с постановлением Правительства Российской Федерации от 17.12.2024 года </w:t>
      </w:r>
      <w:r w:rsidRPr="001646F1">
        <w:rPr>
          <w:color w:val="000000"/>
        </w:rPr>
        <w:br/>
        <w:t xml:space="preserve">№ 1802 </w:t>
      </w:r>
      <w:r w:rsidR="006B3DF7">
        <w:rPr>
          <w:color w:val="000000"/>
        </w:rPr>
        <w:t>«</w:t>
      </w:r>
      <w:r w:rsidRPr="001646F1">
        <w:rPr>
          <w:color w:val="000000"/>
        </w:rPr>
        <w:t>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r w:rsidR="006B3DF7">
        <w:rPr>
          <w:color w:val="000000"/>
        </w:rPr>
        <w:t>»</w:t>
      </w:r>
      <w:r w:rsidRPr="001646F1">
        <w:rPr>
          <w:color w:val="000000"/>
        </w:rPr>
        <w:t xml:space="preserve"> главные распорядители бюджетных средств Кабардино-Балкарской Республики, финансовые органы муниципальных районов и городских округов  представляют в составе месячной отчетности до 15 числа месяца, следующего за отчетным  формы 0503169 и 0503769 </w:t>
      </w:r>
      <w:r w:rsidR="006B3DF7">
        <w:rPr>
          <w:color w:val="000000"/>
        </w:rPr>
        <w:t>«</w:t>
      </w:r>
      <w:r w:rsidRPr="001646F1">
        <w:rPr>
          <w:color w:val="000000"/>
        </w:rPr>
        <w:t>Сведения о дебиторской и кредиторской задолженности учреждения</w:t>
      </w:r>
      <w:r w:rsidR="006B3DF7">
        <w:rPr>
          <w:color w:val="000000"/>
        </w:rPr>
        <w:t>»</w:t>
      </w:r>
      <w:r w:rsidRPr="001646F1">
        <w:rPr>
          <w:color w:val="000000"/>
        </w:rPr>
        <w:t xml:space="preserve">. </w:t>
      </w:r>
    </w:p>
    <w:p w14:paraId="085197D9" w14:textId="69E1F193" w:rsidR="001646F1" w:rsidRPr="001646F1" w:rsidRDefault="001646F1" w:rsidP="006B3DF7">
      <w:pPr>
        <w:rPr>
          <w:color w:val="000000"/>
        </w:rPr>
      </w:pPr>
      <w:r w:rsidRPr="001646F1">
        <w:rPr>
          <w:color w:val="000000"/>
        </w:rPr>
        <w:t>Также, распоряжением Правительства Кабардино-Балкарской Республики от 25.03.2024 года № 178-рп утвержден план мероприятий (</w:t>
      </w:r>
      <w:r w:rsidR="006B3DF7">
        <w:rPr>
          <w:color w:val="000000"/>
        </w:rPr>
        <w:t>«</w:t>
      </w:r>
      <w:r w:rsidRPr="001646F1">
        <w:rPr>
          <w:color w:val="000000"/>
        </w:rPr>
        <w:t>дорожная карта</w:t>
      </w:r>
      <w:r w:rsidR="006B3DF7">
        <w:rPr>
          <w:color w:val="000000"/>
        </w:rPr>
        <w:t>»</w:t>
      </w:r>
      <w:r w:rsidRPr="001646F1">
        <w:rPr>
          <w:color w:val="000000"/>
        </w:rPr>
        <w:t xml:space="preserve">) по погашению (реструктуризации) кредиторской задолженности республиканского бюджета Кабардино-Балкарской Республики и государственных бюджетных и автономных учреждений Кабардино-Балкарской Республики на 2024 - 2026 годы, одним из условий которого являлось соблюдение целевого показателя </w:t>
      </w:r>
      <w:r w:rsidR="006B3DF7">
        <w:rPr>
          <w:color w:val="000000"/>
        </w:rPr>
        <w:t>«</w:t>
      </w:r>
      <w:r w:rsidRPr="001646F1">
        <w:rPr>
          <w:color w:val="000000"/>
        </w:rPr>
        <w:t>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w:t>
      </w:r>
      <w:r w:rsidR="006B3DF7">
        <w:rPr>
          <w:color w:val="000000"/>
        </w:rPr>
        <w:t>»</w:t>
      </w:r>
      <w:r w:rsidRPr="001646F1">
        <w:rPr>
          <w:color w:val="000000"/>
        </w:rPr>
        <w:t xml:space="preserve">, предусмотренного государственной программой Российской Федерации </w:t>
      </w:r>
      <w:r w:rsidR="006B3DF7">
        <w:rPr>
          <w:color w:val="000000"/>
        </w:rPr>
        <w:t>«</w:t>
      </w:r>
      <w:r w:rsidRPr="001646F1">
        <w:rPr>
          <w:color w:val="000000"/>
        </w:rPr>
        <w:t>Развитие федеративных отношений и создание условий для эффективного и ответственного управления региональными и муниципальными финансами</w:t>
      </w:r>
      <w:r w:rsidR="006B3DF7">
        <w:rPr>
          <w:color w:val="000000"/>
        </w:rPr>
        <w:t>»</w:t>
      </w:r>
      <w:r w:rsidRPr="001646F1">
        <w:rPr>
          <w:color w:val="000000"/>
        </w:rPr>
        <w:t xml:space="preserve">, утвержденной постановлением Правительства Российской Федерации </w:t>
      </w:r>
      <w:r>
        <w:rPr>
          <w:color w:val="000000"/>
        </w:rPr>
        <w:br/>
      </w:r>
      <w:r w:rsidRPr="001646F1">
        <w:rPr>
          <w:color w:val="000000"/>
        </w:rPr>
        <w:t>от 18.05.2016 года № 445. Указанный показатель в 2025 году не должен был превышать 0,02%. По итогам 2025 года просроченная кредиторская задолженность отсутствует.</w:t>
      </w:r>
    </w:p>
    <w:p w14:paraId="3D3B0CB7" w14:textId="71D11F1F" w:rsidR="001646F1" w:rsidRDefault="001646F1" w:rsidP="006B3DF7">
      <w:pPr>
        <w:rPr>
          <w:color w:val="auto"/>
        </w:rPr>
      </w:pPr>
      <w:r w:rsidRPr="001646F1">
        <w:t>3. Продолжена работа по оказанию методической поддержки участников бюджетного</w:t>
      </w:r>
      <w:r w:rsidRPr="001646F1">
        <w:rPr>
          <w:color w:val="auto"/>
        </w:rPr>
        <w:t xml:space="preserve"> процесса, бюджетных и автономных учреждений по вопросам бухгалтерского учета и обеспечению понятности и открытости регулирования в данной сфере. Так, в 2025 году на официальном сайте Министерства финансов Кабардино-Балкарской Республики в информационно-телекоммуникационной сети интернет размещено 6 методические рекомендаций в сфере бухгалтерского учета и отчетности (расчет заработной платы, настройка электронного документооборота, формирование отчетности и др.), а также проведено 2 выездных обучающих семинара по ведению учета расчетов по родительской плате в </w:t>
      </w:r>
      <w:proofErr w:type="spellStart"/>
      <w:r w:rsidRPr="001646F1">
        <w:rPr>
          <w:color w:val="auto"/>
        </w:rPr>
        <w:t>Черекском</w:t>
      </w:r>
      <w:proofErr w:type="spellEnd"/>
      <w:r w:rsidRPr="001646F1">
        <w:rPr>
          <w:color w:val="auto"/>
        </w:rPr>
        <w:t xml:space="preserve"> и </w:t>
      </w:r>
      <w:proofErr w:type="spellStart"/>
      <w:r w:rsidRPr="001646F1">
        <w:rPr>
          <w:color w:val="auto"/>
        </w:rPr>
        <w:t>Баксанском</w:t>
      </w:r>
      <w:proofErr w:type="spellEnd"/>
      <w:r w:rsidRPr="001646F1">
        <w:rPr>
          <w:color w:val="auto"/>
        </w:rPr>
        <w:t xml:space="preserve"> муниципальных районах.</w:t>
      </w:r>
    </w:p>
    <w:p w14:paraId="05F1D369" w14:textId="267B8C51" w:rsidR="00603C18" w:rsidRPr="009B4E24" w:rsidRDefault="00603C18" w:rsidP="00603C18">
      <w:r>
        <w:t xml:space="preserve">4. </w:t>
      </w:r>
      <w:r w:rsidRPr="009B4E24">
        <w:t xml:space="preserve">В апреле 2025 года Министерством финансов КБР в </w:t>
      </w:r>
      <w:r>
        <w:t>г.</w:t>
      </w:r>
      <w:r w:rsidRPr="009B4E24">
        <w:t xml:space="preserve"> Нальчике было организовано региональное совещание на тему: </w:t>
      </w:r>
      <w:r>
        <w:t>«</w:t>
      </w:r>
      <w:r w:rsidRPr="009B4E24">
        <w:t>Актуальные вопросы повышения эффективности управления в сфере государственных финансов</w:t>
      </w:r>
      <w:r>
        <w:t>»</w:t>
      </w:r>
      <w:r w:rsidRPr="009B4E24">
        <w:t xml:space="preserve"> с участием представителей Мин</w:t>
      </w:r>
      <w:r>
        <w:t>фина РФ</w:t>
      </w:r>
      <w:r w:rsidRPr="009B4E24">
        <w:t>, Федерального Казначейства, а также федеральных органов исполнительной власти.</w:t>
      </w:r>
    </w:p>
    <w:p w14:paraId="1D639AC1" w14:textId="1651F760" w:rsidR="001646F1" w:rsidRPr="001646F1" w:rsidRDefault="00603C18" w:rsidP="006B3DF7">
      <w:pPr>
        <w:rPr>
          <w:color w:val="auto"/>
        </w:rPr>
      </w:pPr>
      <w:r>
        <w:rPr>
          <w:color w:val="auto"/>
        </w:rPr>
        <w:t>5</w:t>
      </w:r>
      <w:r w:rsidR="001646F1" w:rsidRPr="001646F1">
        <w:rPr>
          <w:color w:val="auto"/>
        </w:rPr>
        <w:t xml:space="preserve">. Продолжена работа по организации электронного документооборота (далее – ЭДО). На конец 2025 года ЭДО настроен между 1000 учреждениями и более </w:t>
      </w:r>
      <w:r w:rsidR="00506CBF">
        <w:rPr>
          <w:color w:val="auto"/>
        </w:rPr>
        <w:br/>
      </w:r>
      <w:r w:rsidR="001646F1" w:rsidRPr="001646F1">
        <w:rPr>
          <w:color w:val="auto"/>
        </w:rPr>
        <w:t xml:space="preserve">5000 поставщиками. </w:t>
      </w:r>
    </w:p>
    <w:p w14:paraId="1134A287" w14:textId="1F59A811" w:rsidR="001646F1" w:rsidRPr="001646F1" w:rsidRDefault="00603C18" w:rsidP="006B3DF7">
      <w:pPr>
        <w:rPr>
          <w:color w:val="auto"/>
        </w:rPr>
      </w:pPr>
      <w:r>
        <w:rPr>
          <w:color w:val="auto"/>
        </w:rPr>
        <w:t>6</w:t>
      </w:r>
      <w:r w:rsidR="001646F1" w:rsidRPr="001646F1">
        <w:rPr>
          <w:color w:val="auto"/>
        </w:rPr>
        <w:t>. В автоматизированном режиме через Сегмент управления обращениями, обработано более 982 обращения участников бюджетного процесса КБР, а также бюджетных, автономных учреждений в сфере методической и технической поддержки ведения бухгалтерского учета, и составления отчётности.</w:t>
      </w:r>
    </w:p>
    <w:p w14:paraId="2B4BC24D" w14:textId="7218D0D7" w:rsidR="001646F1" w:rsidRPr="001646F1" w:rsidRDefault="00603C18" w:rsidP="006B3DF7">
      <w:pPr>
        <w:rPr>
          <w:color w:val="000000"/>
        </w:rPr>
      </w:pPr>
      <w:r>
        <w:rPr>
          <w:color w:val="000000"/>
        </w:rPr>
        <w:t>7</w:t>
      </w:r>
      <w:r w:rsidR="001646F1" w:rsidRPr="001646F1">
        <w:rPr>
          <w:color w:val="000000"/>
        </w:rPr>
        <w:t xml:space="preserve">. В сегменте управления бюджетным процессом информационной системы управления общественными финансами КБР были перенесены остатки неиспользованных средств в 2025 году юридическими лицами (558 строк), бюджетными и автономными учреждениями (163 строк), средств во временном распоряжении </w:t>
      </w:r>
      <w:r w:rsidR="00506CBF">
        <w:rPr>
          <w:color w:val="000000"/>
        </w:rPr>
        <w:br/>
      </w:r>
      <w:r w:rsidR="001646F1" w:rsidRPr="001646F1">
        <w:rPr>
          <w:color w:val="000000"/>
        </w:rPr>
        <w:t>(36 строк), казенными учреждениями (43 строки).</w:t>
      </w:r>
    </w:p>
    <w:p w14:paraId="1469D2BA" w14:textId="39A95BED" w:rsidR="001646F1" w:rsidRPr="001646F1" w:rsidRDefault="00603C18" w:rsidP="006B3DF7">
      <w:pPr>
        <w:rPr>
          <w:color w:val="000000"/>
        </w:rPr>
      </w:pPr>
      <w:r>
        <w:rPr>
          <w:color w:val="000000"/>
        </w:rPr>
        <w:t>8</w:t>
      </w:r>
      <w:r w:rsidR="001646F1" w:rsidRPr="001646F1">
        <w:rPr>
          <w:color w:val="000000"/>
        </w:rPr>
        <w:t>. В подсистеме </w:t>
      </w:r>
      <w:r w:rsidR="0077474D">
        <w:rPr>
          <w:color w:val="000000"/>
        </w:rPr>
        <w:t>«</w:t>
      </w:r>
      <w:r w:rsidR="001646F1" w:rsidRPr="001646F1">
        <w:rPr>
          <w:color w:val="000000"/>
        </w:rPr>
        <w:t>Бюджетное планирование</w:t>
      </w:r>
      <w:r w:rsidR="006B3DF7">
        <w:rPr>
          <w:color w:val="000000"/>
        </w:rPr>
        <w:t>»</w:t>
      </w:r>
      <w:r w:rsidR="001646F1" w:rsidRPr="001646F1">
        <w:rPr>
          <w:color w:val="000000"/>
        </w:rPr>
        <w:t xml:space="preserve"> государственной интегрированной информационной системы управления общественными финансами </w:t>
      </w:r>
      <w:r w:rsidR="006B3DF7">
        <w:rPr>
          <w:color w:val="000000"/>
        </w:rPr>
        <w:t>«</w:t>
      </w:r>
      <w:r w:rsidR="001646F1" w:rsidRPr="001646F1">
        <w:rPr>
          <w:color w:val="000000"/>
        </w:rPr>
        <w:t>Электронный бюджет</w:t>
      </w:r>
      <w:r w:rsidR="006B3DF7">
        <w:rPr>
          <w:color w:val="000000"/>
        </w:rPr>
        <w:t>»</w:t>
      </w:r>
      <w:r w:rsidR="001646F1" w:rsidRPr="001646F1">
        <w:rPr>
          <w:color w:val="000000"/>
        </w:rPr>
        <w:t xml:space="preserve"> заполнена ежегодна форма по срокам представления отчетности в разрезе главных распорядителей бюджетных средств республиканского бюджета КБР (1281 строка).</w:t>
      </w:r>
    </w:p>
    <w:p w14:paraId="3AC5D960" w14:textId="33AD2325" w:rsidR="001646F1" w:rsidRPr="001646F1" w:rsidRDefault="00603C18" w:rsidP="006B3DF7">
      <w:pPr>
        <w:rPr>
          <w:color w:val="000000"/>
        </w:rPr>
      </w:pPr>
      <w:r>
        <w:rPr>
          <w:color w:val="000000"/>
        </w:rPr>
        <w:t>9</w:t>
      </w:r>
      <w:r w:rsidR="001646F1" w:rsidRPr="001646F1">
        <w:rPr>
          <w:color w:val="000000"/>
        </w:rPr>
        <w:t xml:space="preserve">. Проводился ежемесячный мониторинг соотношения данных отчетных форм Федерального казначейства, данным, отраженным в ГИИС </w:t>
      </w:r>
      <w:r w:rsidR="006B3DF7">
        <w:rPr>
          <w:color w:val="000000"/>
        </w:rPr>
        <w:t>«</w:t>
      </w:r>
      <w:r w:rsidR="001646F1" w:rsidRPr="001646F1">
        <w:rPr>
          <w:color w:val="000000"/>
        </w:rPr>
        <w:t>Электронный бюджет</w:t>
      </w:r>
      <w:r w:rsidR="006B3DF7">
        <w:rPr>
          <w:color w:val="000000"/>
        </w:rPr>
        <w:t>»</w:t>
      </w:r>
      <w:r w:rsidR="001646F1" w:rsidRPr="001646F1">
        <w:rPr>
          <w:color w:val="000000"/>
        </w:rPr>
        <w:t xml:space="preserve"> в части:</w:t>
      </w:r>
    </w:p>
    <w:p w14:paraId="53310D5E" w14:textId="367DB1A6" w:rsidR="001646F1" w:rsidRPr="001646F1" w:rsidRDefault="001646F1" w:rsidP="006B3DF7">
      <w:pPr>
        <w:rPr>
          <w:color w:val="000000"/>
        </w:rPr>
      </w:pPr>
      <w:r w:rsidRPr="001646F1">
        <w:rPr>
          <w:color w:val="000000"/>
        </w:rPr>
        <w:t xml:space="preserve">- формы 0503140 </w:t>
      </w:r>
      <w:r w:rsidR="006B3DF7">
        <w:rPr>
          <w:color w:val="000000"/>
        </w:rPr>
        <w:t>«</w:t>
      </w:r>
      <w:r w:rsidRPr="001646F1">
        <w:rPr>
          <w:color w:val="000000"/>
        </w:rPr>
        <w:t>Баланс по поступлениям и выбытиям бюджетных средств</w:t>
      </w:r>
      <w:r w:rsidR="006B3DF7">
        <w:rPr>
          <w:color w:val="000000"/>
        </w:rPr>
        <w:t>»</w:t>
      </w:r>
      <w:r w:rsidRPr="001646F1">
        <w:rPr>
          <w:color w:val="000000"/>
        </w:rPr>
        <w:t>;</w:t>
      </w:r>
    </w:p>
    <w:p w14:paraId="1BDAB2A8" w14:textId="77777777" w:rsidR="001646F1" w:rsidRPr="001646F1" w:rsidRDefault="001646F1" w:rsidP="006B3DF7">
      <w:pPr>
        <w:rPr>
          <w:color w:val="000000"/>
        </w:rPr>
      </w:pPr>
      <w:r w:rsidRPr="001646F1">
        <w:rPr>
          <w:color w:val="000000"/>
        </w:rPr>
        <w:t>- исполнения республиканского бюджета;</w:t>
      </w:r>
    </w:p>
    <w:p w14:paraId="300492E6" w14:textId="77777777" w:rsidR="001646F1" w:rsidRPr="001646F1" w:rsidRDefault="001646F1" w:rsidP="006B3DF7">
      <w:pPr>
        <w:rPr>
          <w:color w:val="000000"/>
        </w:rPr>
      </w:pPr>
      <w:r w:rsidRPr="001646F1">
        <w:rPr>
          <w:color w:val="000000"/>
        </w:rPr>
        <w:t>- ведение лицевых счетов бюджетных и автономных учреждений;</w:t>
      </w:r>
    </w:p>
    <w:p w14:paraId="3A84606A" w14:textId="77777777" w:rsidR="001646F1" w:rsidRPr="001646F1" w:rsidRDefault="001646F1" w:rsidP="006B3DF7">
      <w:pPr>
        <w:rPr>
          <w:color w:val="000000"/>
        </w:rPr>
      </w:pPr>
      <w:r w:rsidRPr="001646F1">
        <w:rPr>
          <w:color w:val="000000"/>
        </w:rPr>
        <w:t>- ведение лицевых счетов юридических лиц;</w:t>
      </w:r>
    </w:p>
    <w:p w14:paraId="03739AB4" w14:textId="77777777" w:rsidR="001646F1" w:rsidRPr="001646F1" w:rsidRDefault="001646F1" w:rsidP="006B3DF7">
      <w:pPr>
        <w:rPr>
          <w:color w:val="000000"/>
        </w:rPr>
      </w:pPr>
      <w:r w:rsidRPr="001646F1">
        <w:rPr>
          <w:color w:val="000000"/>
        </w:rPr>
        <w:t>- данных по республиканскому бюджету.</w:t>
      </w:r>
    </w:p>
    <w:p w14:paraId="050296DA" w14:textId="2BA54477" w:rsidR="001646F1" w:rsidRPr="001646F1" w:rsidRDefault="00603C18" w:rsidP="006B3DF7">
      <w:pPr>
        <w:rPr>
          <w:color w:val="000000"/>
        </w:rPr>
      </w:pPr>
      <w:r>
        <w:rPr>
          <w:color w:val="000000"/>
        </w:rPr>
        <w:t>10</w:t>
      </w:r>
      <w:r w:rsidR="001646F1" w:rsidRPr="001646F1">
        <w:rPr>
          <w:color w:val="000000"/>
        </w:rPr>
        <w:t>. Ежемесячная сверка следующих отчетов главных распорядителей бюджетных средств республиканского бюджета КБР и местных бюджетов по форме:</w:t>
      </w:r>
    </w:p>
    <w:p w14:paraId="4F61EA28" w14:textId="105B3D98" w:rsidR="001646F1" w:rsidRPr="001646F1" w:rsidRDefault="001646F1" w:rsidP="006B3DF7">
      <w:pPr>
        <w:rPr>
          <w:color w:val="000000"/>
        </w:rPr>
      </w:pPr>
      <w:r w:rsidRPr="001646F1">
        <w:rPr>
          <w:color w:val="000000"/>
        </w:rPr>
        <w:t xml:space="preserve">- 0503127 </w:t>
      </w:r>
      <w:r w:rsidR="006B3DF7">
        <w:rPr>
          <w:color w:val="000000"/>
        </w:rPr>
        <w:t>«</w:t>
      </w:r>
      <w:r w:rsidRPr="001646F1">
        <w:rPr>
          <w:color w:val="000000"/>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6B3DF7">
        <w:rPr>
          <w:color w:val="000000"/>
        </w:rPr>
        <w:t>»</w:t>
      </w:r>
      <w:r w:rsidRPr="001646F1">
        <w:rPr>
          <w:color w:val="000000"/>
        </w:rPr>
        <w:t xml:space="preserve"> (41 отчет);</w:t>
      </w:r>
    </w:p>
    <w:p w14:paraId="7A60ECE0" w14:textId="006DC236" w:rsidR="001646F1" w:rsidRPr="001646F1" w:rsidRDefault="001646F1" w:rsidP="006B3DF7">
      <w:pPr>
        <w:rPr>
          <w:color w:val="000000"/>
        </w:rPr>
      </w:pPr>
      <w:r w:rsidRPr="001646F1">
        <w:rPr>
          <w:color w:val="000000"/>
        </w:rPr>
        <w:t xml:space="preserve">- 0503125 </w:t>
      </w:r>
      <w:r w:rsidR="006B3DF7">
        <w:rPr>
          <w:color w:val="000000"/>
        </w:rPr>
        <w:t>«</w:t>
      </w:r>
      <w:hyperlink r:id="rId20" w:history="1">
        <w:r w:rsidRPr="001646F1">
          <w:rPr>
            <w:color w:val="000000"/>
          </w:rPr>
          <w:t>Справка</w:t>
        </w:r>
      </w:hyperlink>
      <w:r w:rsidRPr="001646F1">
        <w:rPr>
          <w:color w:val="000000"/>
        </w:rPr>
        <w:t xml:space="preserve"> по консолидируемым расчетам</w:t>
      </w:r>
      <w:r w:rsidR="006B3DF7">
        <w:rPr>
          <w:color w:val="000000"/>
        </w:rPr>
        <w:t>»</w:t>
      </w:r>
      <w:r w:rsidRPr="001646F1">
        <w:rPr>
          <w:color w:val="000000"/>
        </w:rPr>
        <w:t xml:space="preserve"> (191 отчет);</w:t>
      </w:r>
    </w:p>
    <w:p w14:paraId="736C403D" w14:textId="41231EFD" w:rsidR="001646F1" w:rsidRPr="001646F1" w:rsidRDefault="001646F1" w:rsidP="006B3DF7">
      <w:pPr>
        <w:rPr>
          <w:color w:val="000000"/>
        </w:rPr>
      </w:pPr>
      <w:r w:rsidRPr="001646F1">
        <w:rPr>
          <w:color w:val="000000"/>
        </w:rPr>
        <w:t xml:space="preserve">- 0503169 </w:t>
      </w:r>
      <w:r w:rsidR="006B3DF7">
        <w:rPr>
          <w:color w:val="000000"/>
        </w:rPr>
        <w:t>«</w:t>
      </w:r>
      <w:hyperlink r:id="rId21" w:history="1">
        <w:r w:rsidRPr="001646F1">
          <w:rPr>
            <w:color w:val="000000"/>
          </w:rPr>
          <w:t>Сведениях</w:t>
        </w:r>
      </w:hyperlink>
      <w:r w:rsidRPr="001646F1">
        <w:rPr>
          <w:color w:val="000000"/>
        </w:rPr>
        <w:t xml:space="preserve"> по дебиторской и кредиторской задолженности</w:t>
      </w:r>
      <w:r w:rsidR="006B3DF7">
        <w:rPr>
          <w:color w:val="000000"/>
        </w:rPr>
        <w:t>»</w:t>
      </w:r>
      <w:r w:rsidRPr="001646F1">
        <w:rPr>
          <w:color w:val="000000"/>
        </w:rPr>
        <w:t xml:space="preserve"> </w:t>
      </w:r>
      <w:r>
        <w:rPr>
          <w:color w:val="000000"/>
        </w:rPr>
        <w:br/>
      </w:r>
      <w:r w:rsidRPr="001646F1">
        <w:rPr>
          <w:color w:val="000000"/>
        </w:rPr>
        <w:t>(84 отчета);</w:t>
      </w:r>
    </w:p>
    <w:p w14:paraId="1AE94F89" w14:textId="2555F868" w:rsidR="001646F1" w:rsidRPr="001646F1" w:rsidRDefault="001646F1" w:rsidP="006B3DF7">
      <w:pPr>
        <w:rPr>
          <w:color w:val="000000"/>
        </w:rPr>
      </w:pPr>
      <w:r w:rsidRPr="001646F1">
        <w:rPr>
          <w:color w:val="000000"/>
        </w:rPr>
        <w:t xml:space="preserve">- 0503769 </w:t>
      </w:r>
      <w:r w:rsidR="006B3DF7">
        <w:rPr>
          <w:color w:val="000000"/>
        </w:rPr>
        <w:t>«</w:t>
      </w:r>
      <w:r w:rsidRPr="001646F1">
        <w:rPr>
          <w:color w:val="000000"/>
        </w:rPr>
        <w:t>Сведениях по дебиторской и кредиторской задолженности бюджетных и автономных учреждений</w:t>
      </w:r>
      <w:r w:rsidR="006B3DF7">
        <w:rPr>
          <w:color w:val="000000"/>
        </w:rPr>
        <w:t>»</w:t>
      </w:r>
      <w:r w:rsidRPr="001646F1">
        <w:rPr>
          <w:color w:val="000000"/>
        </w:rPr>
        <w:t xml:space="preserve"> (76 отчетов);</w:t>
      </w:r>
    </w:p>
    <w:p w14:paraId="039CF97D" w14:textId="653657FC" w:rsidR="001646F1" w:rsidRPr="001646F1" w:rsidRDefault="001646F1" w:rsidP="006B3DF7">
      <w:pPr>
        <w:rPr>
          <w:color w:val="000000"/>
        </w:rPr>
      </w:pPr>
      <w:r w:rsidRPr="001646F1">
        <w:rPr>
          <w:color w:val="000000"/>
        </w:rPr>
        <w:t xml:space="preserve">- 0503387 </w:t>
      </w:r>
      <w:r w:rsidR="006B3DF7">
        <w:rPr>
          <w:color w:val="000000"/>
        </w:rPr>
        <w:t>«</w:t>
      </w:r>
      <w:r w:rsidRPr="001646F1">
        <w:rPr>
          <w:color w:val="000000"/>
        </w:rPr>
        <w:t xml:space="preserve">Справочная таблица об исполнении консолидированного бюджета </w:t>
      </w:r>
      <w:r w:rsidR="00506CBF">
        <w:rPr>
          <w:color w:val="000000"/>
        </w:rPr>
        <w:br/>
      </w:r>
      <w:r w:rsidRPr="001646F1">
        <w:rPr>
          <w:color w:val="000000"/>
        </w:rPr>
        <w:t>(13 отчетов);</w:t>
      </w:r>
    </w:p>
    <w:p w14:paraId="381BE529" w14:textId="5D01FE73" w:rsidR="001646F1" w:rsidRPr="001646F1" w:rsidRDefault="001646F1" w:rsidP="006B3DF7">
      <w:pPr>
        <w:rPr>
          <w:color w:val="000000"/>
        </w:rPr>
      </w:pPr>
      <w:r w:rsidRPr="001646F1">
        <w:rPr>
          <w:color w:val="000000"/>
        </w:rPr>
        <w:t xml:space="preserve">- 0503317 </w:t>
      </w:r>
      <w:r w:rsidR="006B3DF7">
        <w:rPr>
          <w:color w:val="000000"/>
        </w:rPr>
        <w:t>«</w:t>
      </w:r>
      <w:r w:rsidRPr="001646F1">
        <w:rPr>
          <w:color w:val="000000"/>
        </w:rPr>
        <w:t>Отчет об исполнении консолидированного бюджета</w:t>
      </w:r>
      <w:r w:rsidR="006B3DF7">
        <w:rPr>
          <w:color w:val="000000"/>
        </w:rPr>
        <w:t>»</w:t>
      </w:r>
      <w:r w:rsidRPr="001646F1">
        <w:rPr>
          <w:color w:val="000000"/>
        </w:rPr>
        <w:t xml:space="preserve"> </w:t>
      </w:r>
      <w:r w:rsidRPr="001646F1">
        <w:rPr>
          <w:color w:val="000000"/>
        </w:rPr>
        <w:br/>
        <w:t>(10 отчетов);</w:t>
      </w:r>
    </w:p>
    <w:p w14:paraId="21332AF1" w14:textId="72B853BB" w:rsidR="001646F1" w:rsidRPr="001646F1" w:rsidRDefault="001646F1" w:rsidP="006B3DF7">
      <w:pPr>
        <w:rPr>
          <w:color w:val="000000"/>
        </w:rPr>
      </w:pPr>
      <w:r w:rsidRPr="001646F1">
        <w:rPr>
          <w:color w:val="000000"/>
        </w:rPr>
        <w:t xml:space="preserve">- 0503117 </w:t>
      </w:r>
      <w:r w:rsidR="006B3DF7">
        <w:rPr>
          <w:color w:val="000000"/>
        </w:rPr>
        <w:t>«</w:t>
      </w:r>
      <w:r w:rsidRPr="001646F1">
        <w:rPr>
          <w:color w:val="000000"/>
        </w:rPr>
        <w:t>Отчет о кассовом поступлении и выбытии бюджетных средств</w:t>
      </w:r>
      <w:r w:rsidR="006B3DF7">
        <w:rPr>
          <w:color w:val="000000"/>
        </w:rPr>
        <w:t>»</w:t>
      </w:r>
      <w:r w:rsidRPr="001646F1">
        <w:rPr>
          <w:color w:val="000000"/>
        </w:rPr>
        <w:t xml:space="preserve"> </w:t>
      </w:r>
      <w:r>
        <w:rPr>
          <w:color w:val="000000"/>
        </w:rPr>
        <w:br/>
      </w:r>
      <w:r w:rsidRPr="001646F1">
        <w:rPr>
          <w:color w:val="000000"/>
        </w:rPr>
        <w:t>(3 отчета);</w:t>
      </w:r>
    </w:p>
    <w:p w14:paraId="4303193F" w14:textId="7D3B4398" w:rsidR="001646F1" w:rsidRPr="001646F1" w:rsidRDefault="001646F1" w:rsidP="006B3DF7">
      <w:pPr>
        <w:rPr>
          <w:color w:val="000000"/>
        </w:rPr>
      </w:pPr>
      <w:r w:rsidRPr="001646F1">
        <w:rPr>
          <w:color w:val="000000"/>
        </w:rPr>
        <w:t xml:space="preserve">- 0503117 - НП </w:t>
      </w:r>
      <w:r w:rsidR="006B3DF7">
        <w:rPr>
          <w:color w:val="000000"/>
        </w:rPr>
        <w:t>«</w:t>
      </w:r>
      <w:r w:rsidRPr="001646F1">
        <w:rPr>
          <w:color w:val="000000"/>
        </w:rPr>
        <w:t>Отчет об исполнении бюджета по национальным проектам</w:t>
      </w:r>
      <w:r w:rsidR="006B3DF7">
        <w:rPr>
          <w:color w:val="000000"/>
        </w:rPr>
        <w:t>»</w:t>
      </w:r>
      <w:r w:rsidRPr="001646F1">
        <w:rPr>
          <w:color w:val="000000"/>
        </w:rPr>
        <w:t xml:space="preserve"> </w:t>
      </w:r>
      <w:r>
        <w:rPr>
          <w:color w:val="000000"/>
        </w:rPr>
        <w:br/>
      </w:r>
      <w:r w:rsidRPr="001646F1">
        <w:rPr>
          <w:color w:val="000000"/>
        </w:rPr>
        <w:t>(65 отчетов);</w:t>
      </w:r>
    </w:p>
    <w:p w14:paraId="68EC5A7B" w14:textId="0B6790E5" w:rsidR="001646F1" w:rsidRPr="001646F1" w:rsidRDefault="001646F1" w:rsidP="006B3DF7">
      <w:pPr>
        <w:rPr>
          <w:color w:val="000000"/>
        </w:rPr>
      </w:pPr>
      <w:r w:rsidRPr="001646F1">
        <w:rPr>
          <w:color w:val="000000"/>
        </w:rPr>
        <w:t xml:space="preserve">- 0503128 – НП </w:t>
      </w:r>
      <w:r w:rsidR="006B3DF7">
        <w:rPr>
          <w:color w:val="000000"/>
        </w:rPr>
        <w:t>«</w:t>
      </w:r>
      <w:r w:rsidRPr="001646F1">
        <w:rPr>
          <w:color w:val="000000"/>
        </w:rPr>
        <w:t>Отчет о бюджетных обязательствах по национальным проектам</w:t>
      </w:r>
      <w:r w:rsidR="006B3DF7">
        <w:rPr>
          <w:color w:val="000000"/>
        </w:rPr>
        <w:t>»</w:t>
      </w:r>
      <w:r w:rsidRPr="001646F1">
        <w:rPr>
          <w:color w:val="000000"/>
        </w:rPr>
        <w:t xml:space="preserve"> (65 отчетов);</w:t>
      </w:r>
    </w:p>
    <w:p w14:paraId="4E57FD4B" w14:textId="407E3878" w:rsidR="001646F1" w:rsidRPr="001646F1" w:rsidRDefault="001646F1" w:rsidP="006B3DF7">
      <w:pPr>
        <w:rPr>
          <w:color w:val="000000"/>
        </w:rPr>
      </w:pPr>
      <w:r w:rsidRPr="001646F1">
        <w:rPr>
          <w:color w:val="000000"/>
        </w:rPr>
        <w:t xml:space="preserve">- 0503738 – НП </w:t>
      </w:r>
      <w:r w:rsidR="006B3DF7">
        <w:rPr>
          <w:color w:val="000000"/>
        </w:rPr>
        <w:t>«</w:t>
      </w:r>
      <w:r w:rsidRPr="001646F1">
        <w:rPr>
          <w:color w:val="000000"/>
        </w:rPr>
        <w:t>Отчет об обязательствах учреждений по национальным проектам</w:t>
      </w:r>
      <w:r w:rsidR="006B3DF7">
        <w:rPr>
          <w:color w:val="000000"/>
        </w:rPr>
        <w:t>»</w:t>
      </w:r>
      <w:r w:rsidRPr="001646F1">
        <w:rPr>
          <w:color w:val="000000"/>
        </w:rPr>
        <w:t>.</w:t>
      </w:r>
    </w:p>
    <w:p w14:paraId="209D1392" w14:textId="537E543F" w:rsidR="001646F1" w:rsidRPr="001646F1" w:rsidRDefault="001646F1" w:rsidP="006B3DF7">
      <w:pPr>
        <w:rPr>
          <w:color w:val="000000"/>
        </w:rPr>
      </w:pPr>
      <w:r w:rsidRPr="001646F1">
        <w:rPr>
          <w:color w:val="000000"/>
        </w:rPr>
        <w:t>1</w:t>
      </w:r>
      <w:r w:rsidR="00603C18">
        <w:rPr>
          <w:color w:val="000000"/>
        </w:rPr>
        <w:t>1</w:t>
      </w:r>
      <w:r w:rsidRPr="001646F1">
        <w:rPr>
          <w:color w:val="000000"/>
        </w:rPr>
        <w:t>. Проведен прием, проверка и представление в МОУ ФК консолидированного отчета об исполнении бюджета КБР за 2025 год. Отчетность представлена в срок</w:t>
      </w:r>
      <w:r>
        <w:rPr>
          <w:color w:val="000000"/>
        </w:rPr>
        <w:t xml:space="preserve"> и без замечаний. В программе 1</w:t>
      </w:r>
      <w:r w:rsidRPr="001646F1">
        <w:rPr>
          <w:color w:val="000000"/>
        </w:rPr>
        <w:t xml:space="preserve">С </w:t>
      </w:r>
      <w:r w:rsidR="006B3DF7">
        <w:rPr>
          <w:color w:val="000000"/>
        </w:rPr>
        <w:t>«</w:t>
      </w:r>
      <w:r w:rsidRPr="001646F1">
        <w:rPr>
          <w:color w:val="000000"/>
        </w:rPr>
        <w:t>СВОД отчетов</w:t>
      </w:r>
      <w:r w:rsidR="006B3DF7">
        <w:rPr>
          <w:color w:val="000000"/>
        </w:rPr>
        <w:t>»</w:t>
      </w:r>
      <w:r w:rsidRPr="001646F1">
        <w:rPr>
          <w:color w:val="000000"/>
        </w:rPr>
        <w:t xml:space="preserve"> в рамках годовой отчетности было проверено 2242 отчета главных распорядителей бюджетных средств республиканского бюджета КБР, местных бюджетов, федеральных служб и Территориального фонда обязательного медицинского страхования. Консолидированные отчеты были направлены в Федеральное казначейство через ГИИС </w:t>
      </w:r>
      <w:r w:rsidR="006B3DF7">
        <w:rPr>
          <w:color w:val="000000"/>
        </w:rPr>
        <w:t>«</w:t>
      </w:r>
      <w:r w:rsidRPr="001646F1">
        <w:rPr>
          <w:color w:val="000000"/>
        </w:rPr>
        <w:t>Электронный бюджет</w:t>
      </w:r>
      <w:r w:rsidR="006B3DF7">
        <w:rPr>
          <w:color w:val="000000"/>
        </w:rPr>
        <w:t>»</w:t>
      </w:r>
      <w:r w:rsidRPr="001646F1">
        <w:rPr>
          <w:color w:val="000000"/>
        </w:rPr>
        <w:t xml:space="preserve"> </w:t>
      </w:r>
      <w:r>
        <w:rPr>
          <w:color w:val="000000"/>
        </w:rPr>
        <w:br/>
      </w:r>
      <w:r w:rsidRPr="001646F1">
        <w:rPr>
          <w:color w:val="000000"/>
        </w:rPr>
        <w:t>(147 отчетов) в срок и без замечаний.</w:t>
      </w:r>
    </w:p>
    <w:p w14:paraId="6FFBC983" w14:textId="77777777" w:rsidR="005F02E3" w:rsidRPr="00034CD9" w:rsidRDefault="005F02E3" w:rsidP="006B3DF7">
      <w:pPr>
        <w:pStyle w:val="24"/>
        <w:numPr>
          <w:ilvl w:val="0"/>
          <w:numId w:val="0"/>
        </w:numPr>
        <w:spacing w:before="0" w:after="0"/>
        <w:ind w:firstLine="709"/>
        <w:rPr>
          <w:color w:val="FF0000"/>
        </w:rPr>
      </w:pPr>
    </w:p>
    <w:p w14:paraId="296E8D51" w14:textId="0305239E" w:rsidR="001327A7" w:rsidRDefault="002C24EA" w:rsidP="006B3DF7">
      <w:pPr>
        <w:pStyle w:val="24"/>
        <w:numPr>
          <w:ilvl w:val="0"/>
          <w:numId w:val="0"/>
        </w:numPr>
        <w:spacing w:before="0" w:after="0"/>
        <w:ind w:firstLine="709"/>
        <w:rPr>
          <w:color w:val="568D11" w:themeColor="accent3" w:themeShade="80"/>
        </w:rPr>
      </w:pPr>
      <w:bookmarkStart w:id="114" w:name="_Toc162008801"/>
      <w:r w:rsidRPr="00370B39">
        <w:rPr>
          <w:color w:val="568D11" w:themeColor="accent3" w:themeShade="80"/>
        </w:rPr>
        <w:t>9</w:t>
      </w:r>
      <w:r w:rsidR="008B0C90" w:rsidRPr="00370B39">
        <w:rPr>
          <w:color w:val="568D11" w:themeColor="accent3" w:themeShade="80"/>
        </w:rPr>
        <w:t>.</w:t>
      </w:r>
      <w:r w:rsidR="00A662D2">
        <w:rPr>
          <w:color w:val="568D11" w:themeColor="accent3" w:themeShade="80"/>
        </w:rPr>
        <w:t xml:space="preserve"> </w:t>
      </w:r>
      <w:r w:rsidR="00F811F4" w:rsidRPr="00370B39">
        <w:rPr>
          <w:color w:val="568D11" w:themeColor="accent3" w:themeShade="80"/>
        </w:rPr>
        <w:t>Деятельность Министерства финансов КБР в правовой сфере</w:t>
      </w:r>
      <w:bookmarkStart w:id="115" w:name="_Toc482701256"/>
      <w:bookmarkEnd w:id="112"/>
      <w:r w:rsidR="004F2163">
        <w:rPr>
          <w:color w:val="568D11" w:themeColor="accent3" w:themeShade="80"/>
        </w:rPr>
        <w:t xml:space="preserve"> и</w:t>
      </w:r>
      <w:r w:rsidR="00F811F4" w:rsidRPr="00370B39">
        <w:rPr>
          <w:color w:val="568D11" w:themeColor="accent3" w:themeShade="80"/>
        </w:rPr>
        <w:t xml:space="preserve"> в сфере государственного финансового контроля</w:t>
      </w:r>
      <w:bookmarkStart w:id="116" w:name="_Hlk192756339"/>
      <w:bookmarkEnd w:id="113"/>
      <w:bookmarkEnd w:id="115"/>
      <w:bookmarkEnd w:id="114"/>
    </w:p>
    <w:p w14:paraId="01CC9E4F" w14:textId="77777777" w:rsidR="007F6CB8" w:rsidRPr="001B68C0" w:rsidRDefault="007F6CB8" w:rsidP="006B3DF7">
      <w:pPr>
        <w:pStyle w:val="24"/>
        <w:numPr>
          <w:ilvl w:val="0"/>
          <w:numId w:val="0"/>
        </w:numPr>
        <w:spacing w:before="0" w:after="0"/>
        <w:ind w:firstLine="709"/>
        <w:rPr>
          <w:color w:val="000000" w:themeColor="text1"/>
          <w:sz w:val="28"/>
          <w:szCs w:val="28"/>
        </w:rPr>
      </w:pPr>
    </w:p>
    <w:p w14:paraId="21E1FA84" w14:textId="31F3FA66" w:rsidR="001327A7" w:rsidRPr="006357BA" w:rsidRDefault="001327A7" w:rsidP="006B3DF7">
      <w:pPr>
        <w:widowControl/>
        <w:rPr>
          <w:rFonts w:eastAsia="Calibri"/>
        </w:rPr>
      </w:pPr>
      <w:r w:rsidRPr="006357BA">
        <w:rPr>
          <w:rFonts w:eastAsia="Calibri"/>
        </w:rPr>
        <w:t>За 202</w:t>
      </w:r>
      <w:r w:rsidR="00971CFB" w:rsidRPr="006357BA">
        <w:rPr>
          <w:rFonts w:eastAsia="Calibri"/>
        </w:rPr>
        <w:t>5</w:t>
      </w:r>
      <w:r w:rsidRPr="006357BA">
        <w:rPr>
          <w:rFonts w:eastAsia="Calibri"/>
        </w:rPr>
        <w:t xml:space="preserve"> год в производстве судебных органов с</w:t>
      </w:r>
      <w:r w:rsidR="00244952" w:rsidRPr="006357BA">
        <w:rPr>
          <w:rFonts w:eastAsia="Calibri"/>
        </w:rPr>
        <w:t xml:space="preserve"> участием Министерства финансов </w:t>
      </w:r>
      <w:r w:rsidRPr="006357BA">
        <w:rPr>
          <w:rFonts w:eastAsia="Calibri"/>
        </w:rPr>
        <w:t xml:space="preserve">Кабардино-Балкарской Республики находилось </w:t>
      </w:r>
      <w:r w:rsidR="006357BA" w:rsidRPr="006357BA">
        <w:rPr>
          <w:rFonts w:eastAsia="Calibri"/>
        </w:rPr>
        <w:t>49</w:t>
      </w:r>
      <w:r w:rsidRPr="006357BA">
        <w:rPr>
          <w:rFonts w:eastAsia="Calibri"/>
        </w:rPr>
        <w:t xml:space="preserve"> дел.</w:t>
      </w:r>
    </w:p>
    <w:p w14:paraId="75546E2C" w14:textId="590CC4B6" w:rsidR="001327A7" w:rsidRPr="006357BA" w:rsidRDefault="001327A7" w:rsidP="006B3DF7">
      <w:pPr>
        <w:widowControl/>
        <w:rPr>
          <w:rFonts w:eastAsia="Calibri"/>
        </w:rPr>
      </w:pPr>
      <w:r w:rsidRPr="006357BA">
        <w:rPr>
          <w:rFonts w:eastAsia="Calibri"/>
        </w:rPr>
        <w:t>Общая сум</w:t>
      </w:r>
      <w:r w:rsidR="006357BA" w:rsidRPr="006357BA">
        <w:rPr>
          <w:rFonts w:eastAsia="Calibri"/>
        </w:rPr>
        <w:t>ма</w:t>
      </w:r>
      <w:r w:rsidR="0029445F">
        <w:rPr>
          <w:rFonts w:eastAsia="Calibri"/>
        </w:rPr>
        <w:t xml:space="preserve"> исковых требований в размере 1,</w:t>
      </w:r>
      <w:r w:rsidR="006357BA" w:rsidRPr="006357BA">
        <w:rPr>
          <w:rFonts w:eastAsia="Calibri"/>
        </w:rPr>
        <w:t>8 млн.</w:t>
      </w:r>
      <w:r w:rsidRPr="006357BA">
        <w:rPr>
          <w:rFonts w:eastAsia="Calibri"/>
        </w:rPr>
        <w:t xml:space="preserve"> рублей о взыскании с Кабардино-Балкарской Республики компенсаций за нарушение права   на   исполнение судебных актов, предусматривающих внеочередное предоставление жилья детям сиротам и лицам из их ч</w:t>
      </w:r>
      <w:r w:rsidR="00244952" w:rsidRPr="006357BA">
        <w:rPr>
          <w:rFonts w:eastAsia="Calibri"/>
        </w:rPr>
        <w:t>исла в разумный срок, снижена до</w:t>
      </w:r>
      <w:r w:rsidR="0029445F">
        <w:rPr>
          <w:rFonts w:eastAsia="Calibri"/>
        </w:rPr>
        <w:t xml:space="preserve"> </w:t>
      </w:r>
      <w:r w:rsidR="006357BA" w:rsidRPr="006357BA">
        <w:rPr>
          <w:rFonts w:eastAsia="Calibri"/>
        </w:rPr>
        <w:t xml:space="preserve">750 тыс. </w:t>
      </w:r>
      <w:r w:rsidRPr="006357BA">
        <w:rPr>
          <w:rFonts w:eastAsia="Calibri"/>
        </w:rPr>
        <w:t xml:space="preserve">рублей. </w:t>
      </w:r>
    </w:p>
    <w:p w14:paraId="4313851F" w14:textId="77777777" w:rsidR="003D0604" w:rsidRPr="006357BA" w:rsidRDefault="003D0604" w:rsidP="006B3DF7">
      <w:pPr>
        <w:widowControl/>
        <w:rPr>
          <w:rFonts w:eastAsia="Calibri"/>
        </w:rPr>
      </w:pPr>
      <w:r w:rsidRPr="006357BA">
        <w:rPr>
          <w:rFonts w:eastAsia="Calibri"/>
        </w:rPr>
        <w:t>Проводилась судебная защита в рамках оспаривания ежегодно утверждаемых Правительством КБР перечней объектов</w:t>
      </w:r>
      <w:r w:rsidR="006357BA" w:rsidRPr="006357BA">
        <w:rPr>
          <w:rFonts w:eastAsia="Calibri"/>
        </w:rPr>
        <w:t xml:space="preserve"> недвижимого имущества, всего 18 дел</w:t>
      </w:r>
      <w:r w:rsidRPr="006357BA">
        <w:rPr>
          <w:rFonts w:eastAsia="Calibri"/>
        </w:rPr>
        <w:t>.</w:t>
      </w:r>
    </w:p>
    <w:p w14:paraId="5EE6C8E8" w14:textId="77777777" w:rsidR="00244952" w:rsidRPr="006357BA" w:rsidRDefault="00244952" w:rsidP="006B3DF7">
      <w:pPr>
        <w:widowControl/>
        <w:rPr>
          <w:rFonts w:eastAsia="Calibri"/>
        </w:rPr>
      </w:pPr>
      <w:r w:rsidRPr="006357BA">
        <w:rPr>
          <w:rFonts w:eastAsia="Calibri"/>
        </w:rPr>
        <w:t>В 202</w:t>
      </w:r>
      <w:r w:rsidR="00971CFB" w:rsidRPr="006357BA">
        <w:rPr>
          <w:rFonts w:eastAsia="Calibri"/>
        </w:rPr>
        <w:t>5</w:t>
      </w:r>
      <w:r w:rsidRPr="006357BA">
        <w:rPr>
          <w:rFonts w:eastAsia="Calibri"/>
        </w:rPr>
        <w:t xml:space="preserve"> году открыто </w:t>
      </w:r>
      <w:r w:rsidR="00971CFB" w:rsidRPr="006357BA">
        <w:rPr>
          <w:rFonts w:eastAsia="Calibri"/>
        </w:rPr>
        <w:t>527</w:t>
      </w:r>
      <w:r w:rsidRPr="006357BA">
        <w:rPr>
          <w:rFonts w:eastAsia="Calibri"/>
        </w:rPr>
        <w:t xml:space="preserve"> лицевых счет</w:t>
      </w:r>
      <w:r w:rsidR="007F6CB8" w:rsidRPr="006357BA">
        <w:rPr>
          <w:rFonts w:eastAsia="Calibri"/>
        </w:rPr>
        <w:t>ов</w:t>
      </w:r>
      <w:r w:rsidRPr="006357BA">
        <w:rPr>
          <w:rFonts w:eastAsia="Calibri"/>
        </w:rPr>
        <w:t xml:space="preserve">; продолжается работа по ведению и дальнейшему юридическому сопровождению лицевых счетов получателей средств республиканского бюджета (участники и не участники бюджетного процесса).        </w:t>
      </w:r>
    </w:p>
    <w:p w14:paraId="56B65388" w14:textId="41384404" w:rsidR="001327A7" w:rsidRPr="006357BA" w:rsidRDefault="001327A7" w:rsidP="006B3DF7">
      <w:pPr>
        <w:widowControl/>
        <w:rPr>
          <w:rFonts w:eastAsia="Calibri"/>
        </w:rPr>
      </w:pPr>
      <w:r w:rsidRPr="006357BA">
        <w:rPr>
          <w:rFonts w:eastAsia="Calibri"/>
        </w:rPr>
        <w:t>В 202</w:t>
      </w:r>
      <w:r w:rsidR="00971CFB" w:rsidRPr="006357BA">
        <w:rPr>
          <w:rFonts w:eastAsia="Calibri"/>
        </w:rPr>
        <w:t>5</w:t>
      </w:r>
      <w:r w:rsidRPr="006357BA">
        <w:rPr>
          <w:rFonts w:eastAsia="Calibri"/>
        </w:rPr>
        <w:t xml:space="preserve"> году на исполнении находил</w:t>
      </w:r>
      <w:r w:rsidR="004E6CF2" w:rsidRPr="006357BA">
        <w:rPr>
          <w:rFonts w:eastAsia="Calibri"/>
        </w:rPr>
        <w:t>ся</w:t>
      </w:r>
      <w:r w:rsidR="0029445F">
        <w:rPr>
          <w:rFonts w:eastAsia="Calibri"/>
        </w:rPr>
        <w:t xml:space="preserve"> </w:t>
      </w:r>
      <w:r w:rsidR="00971CFB" w:rsidRPr="006357BA">
        <w:rPr>
          <w:rFonts w:eastAsia="Calibri"/>
        </w:rPr>
        <w:t>236</w:t>
      </w:r>
      <w:r w:rsidRPr="006357BA">
        <w:rPr>
          <w:rFonts w:eastAsia="Calibri"/>
        </w:rPr>
        <w:t xml:space="preserve"> исполнительны</w:t>
      </w:r>
      <w:r w:rsidR="004E6CF2" w:rsidRPr="006357BA">
        <w:rPr>
          <w:rFonts w:eastAsia="Calibri"/>
        </w:rPr>
        <w:t>й</w:t>
      </w:r>
      <w:r w:rsidRPr="006357BA">
        <w:rPr>
          <w:rFonts w:eastAsia="Calibri"/>
        </w:rPr>
        <w:t xml:space="preserve"> документ на общую сумму </w:t>
      </w:r>
      <w:r w:rsidR="00971CFB" w:rsidRPr="006357BA">
        <w:rPr>
          <w:rFonts w:eastAsia="Calibri"/>
        </w:rPr>
        <w:t>142</w:t>
      </w:r>
      <w:r w:rsidRPr="006357BA">
        <w:rPr>
          <w:rFonts w:eastAsia="Calibri"/>
        </w:rPr>
        <w:t>,</w:t>
      </w:r>
      <w:r w:rsidR="00971CFB" w:rsidRPr="006357BA">
        <w:rPr>
          <w:rFonts w:eastAsia="Calibri"/>
        </w:rPr>
        <w:t>8</w:t>
      </w:r>
      <w:r w:rsidRPr="006357BA">
        <w:rPr>
          <w:rFonts w:eastAsia="Calibri"/>
        </w:rPr>
        <w:t xml:space="preserve"> млн рублей.</w:t>
      </w:r>
    </w:p>
    <w:p w14:paraId="2BAF6DC9" w14:textId="165798E1" w:rsidR="001327A7" w:rsidRPr="006357BA" w:rsidRDefault="001327A7" w:rsidP="006B3DF7">
      <w:pPr>
        <w:widowControl/>
        <w:rPr>
          <w:rFonts w:eastAsia="Calibri"/>
        </w:rPr>
      </w:pPr>
      <w:r w:rsidRPr="006357BA">
        <w:rPr>
          <w:rFonts w:eastAsia="Calibri"/>
        </w:rPr>
        <w:t>По состоянию на 1 января 202</w:t>
      </w:r>
      <w:r w:rsidR="00971CFB" w:rsidRPr="006357BA">
        <w:rPr>
          <w:rFonts w:eastAsia="Calibri"/>
        </w:rPr>
        <w:t>6</w:t>
      </w:r>
      <w:r w:rsidR="0029445F">
        <w:rPr>
          <w:rFonts w:eastAsia="Calibri"/>
        </w:rPr>
        <w:t xml:space="preserve"> </w:t>
      </w:r>
      <w:r w:rsidRPr="006357BA">
        <w:rPr>
          <w:rFonts w:eastAsia="Calibri"/>
        </w:rPr>
        <w:t xml:space="preserve">года </w:t>
      </w:r>
      <w:r w:rsidR="003D0604" w:rsidRPr="006357BA">
        <w:rPr>
          <w:rFonts w:eastAsia="Calibri"/>
        </w:rPr>
        <w:t>с</w:t>
      </w:r>
      <w:r w:rsidRPr="006357BA">
        <w:rPr>
          <w:rFonts w:eastAsia="Calibri"/>
        </w:rPr>
        <w:t>умма остатка к оплате по исполнительным документам, предъявленным к казне Кабардин</w:t>
      </w:r>
      <w:r w:rsidR="00244952" w:rsidRPr="006357BA">
        <w:rPr>
          <w:rFonts w:eastAsia="Calibri"/>
        </w:rPr>
        <w:t>о-Балкарской Республики, составила</w:t>
      </w:r>
      <w:r w:rsidR="002B01B7" w:rsidRPr="006357BA">
        <w:rPr>
          <w:rFonts w:eastAsia="Calibri"/>
        </w:rPr>
        <w:br/>
      </w:r>
      <w:r w:rsidR="00971CFB" w:rsidRPr="006357BA">
        <w:rPr>
          <w:rFonts w:eastAsia="Calibri"/>
        </w:rPr>
        <w:t>3,1</w:t>
      </w:r>
      <w:r w:rsidRPr="006357BA">
        <w:rPr>
          <w:rFonts w:eastAsia="Calibri"/>
        </w:rPr>
        <w:t xml:space="preserve"> млн рублей.</w:t>
      </w:r>
    </w:p>
    <w:p w14:paraId="041388A5" w14:textId="3D96C3FB" w:rsidR="00156084" w:rsidRDefault="00971CFB" w:rsidP="006B3DF7">
      <w:pPr>
        <w:widowControl/>
        <w:rPr>
          <w:rFonts w:eastAsia="Calibri"/>
          <w:color w:val="FF0000"/>
        </w:rPr>
      </w:pPr>
      <w:r w:rsidRPr="001758BB">
        <w:rPr>
          <w:rFonts w:eastAsia="Calibri"/>
          <w:color w:val="auto"/>
        </w:rPr>
        <w:t>В 2025</w:t>
      </w:r>
      <w:r w:rsidR="00075E2D" w:rsidRPr="001758BB">
        <w:rPr>
          <w:rFonts w:eastAsia="Calibri"/>
          <w:color w:val="auto"/>
        </w:rPr>
        <w:t xml:space="preserve"> году проведено </w:t>
      </w:r>
      <w:r w:rsidR="001758BB" w:rsidRPr="001758BB">
        <w:rPr>
          <w:rFonts w:eastAsia="Calibri"/>
          <w:color w:val="auto"/>
        </w:rPr>
        <w:t>7</w:t>
      </w:r>
      <w:r w:rsidR="00075E2D" w:rsidRPr="001758BB">
        <w:rPr>
          <w:rFonts w:eastAsia="Calibri"/>
          <w:color w:val="auto"/>
        </w:rPr>
        <w:t xml:space="preserve"> контрольных мероприятий, в том числе в соответствии с Планом контрольных мероприятий - </w:t>
      </w:r>
      <w:r w:rsidR="00156084">
        <w:rPr>
          <w:rFonts w:eastAsia="Calibri"/>
          <w:color w:val="auto"/>
        </w:rPr>
        <w:t>6</w:t>
      </w:r>
      <w:r w:rsidR="00075E2D" w:rsidRPr="001758BB">
        <w:rPr>
          <w:rFonts w:eastAsia="Calibri"/>
          <w:color w:val="auto"/>
        </w:rPr>
        <w:t>, внеплан</w:t>
      </w:r>
      <w:r w:rsidR="001758BB" w:rsidRPr="001758BB">
        <w:rPr>
          <w:rFonts w:eastAsia="Calibri"/>
          <w:color w:val="auto"/>
        </w:rPr>
        <w:t xml:space="preserve">овых контрольных мероприятий - </w:t>
      </w:r>
      <w:r w:rsidR="00156084">
        <w:rPr>
          <w:rFonts w:eastAsia="Calibri"/>
          <w:color w:val="auto"/>
        </w:rPr>
        <w:t>1</w:t>
      </w:r>
      <w:r w:rsidR="00075E2D" w:rsidRPr="001758BB">
        <w:rPr>
          <w:rFonts w:eastAsia="Calibri"/>
          <w:color w:val="auto"/>
        </w:rPr>
        <w:t xml:space="preserve">. Количество проведенных выездных проверок при осуществлении внутреннего государственного (муниципального) финансового контроля </w:t>
      </w:r>
      <w:r w:rsidR="00075E2D" w:rsidRPr="00156084">
        <w:rPr>
          <w:rFonts w:eastAsia="Calibri"/>
          <w:color w:val="auto"/>
        </w:rPr>
        <w:t xml:space="preserve">- </w:t>
      </w:r>
      <w:r w:rsidR="00156084" w:rsidRPr="00156084">
        <w:rPr>
          <w:rFonts w:eastAsia="Calibri"/>
          <w:color w:val="auto"/>
        </w:rPr>
        <w:t>6</w:t>
      </w:r>
      <w:r w:rsidR="00075E2D" w:rsidRPr="00156084">
        <w:rPr>
          <w:rFonts w:eastAsia="Calibri"/>
          <w:color w:val="auto"/>
        </w:rPr>
        <w:t>. В 202</w:t>
      </w:r>
      <w:r w:rsidR="00156084" w:rsidRPr="00156084">
        <w:rPr>
          <w:rFonts w:eastAsia="Calibri"/>
          <w:color w:val="auto"/>
        </w:rPr>
        <w:t>5</w:t>
      </w:r>
      <w:r w:rsidR="00075E2D" w:rsidRPr="00156084">
        <w:rPr>
          <w:rFonts w:eastAsia="Calibri"/>
          <w:color w:val="auto"/>
        </w:rPr>
        <w:t xml:space="preserve"> году начата проверка в части контроля в сфере закупок, предусмотренного законодательством РФ о контрактной системе в сфере закупок товаров, работ, услуг для обеспечения государственных и муниципальных нужд, которая завершена в 202</w:t>
      </w:r>
      <w:r w:rsidR="00156084" w:rsidRPr="00156084">
        <w:rPr>
          <w:rFonts w:eastAsia="Calibri"/>
          <w:color w:val="auto"/>
        </w:rPr>
        <w:t>6</w:t>
      </w:r>
      <w:r w:rsidR="00075E2D" w:rsidRPr="00156084">
        <w:rPr>
          <w:rFonts w:eastAsia="Calibri"/>
          <w:color w:val="auto"/>
        </w:rPr>
        <w:t xml:space="preserve"> году. Количество проведенных камеральных проверок при осуществлении внутреннего государственного (муниципального) финансового контроля - 1. Объем проверенных средств при осуществлении внутреннего государственного (муниципального) финансового контроля составил 1 2</w:t>
      </w:r>
      <w:r w:rsidR="00156084" w:rsidRPr="00156084">
        <w:rPr>
          <w:rFonts w:eastAsia="Calibri"/>
          <w:color w:val="auto"/>
        </w:rPr>
        <w:t>23</w:t>
      </w:r>
      <w:r w:rsidR="00075E2D" w:rsidRPr="00156084">
        <w:rPr>
          <w:rFonts w:eastAsia="Calibri"/>
          <w:color w:val="auto"/>
        </w:rPr>
        <w:t xml:space="preserve"> </w:t>
      </w:r>
      <w:r w:rsidR="00156084" w:rsidRPr="00156084">
        <w:rPr>
          <w:rFonts w:eastAsia="Calibri"/>
          <w:color w:val="auto"/>
        </w:rPr>
        <w:t>130</w:t>
      </w:r>
      <w:r w:rsidR="00075E2D" w:rsidRPr="00156084">
        <w:rPr>
          <w:rFonts w:eastAsia="Calibri"/>
          <w:color w:val="auto"/>
        </w:rPr>
        <w:t>,</w:t>
      </w:r>
      <w:r w:rsidR="00156084" w:rsidRPr="00156084">
        <w:rPr>
          <w:rFonts w:eastAsia="Calibri"/>
          <w:color w:val="auto"/>
        </w:rPr>
        <w:t>4</w:t>
      </w:r>
      <w:r w:rsidR="00075E2D" w:rsidRPr="00156084">
        <w:rPr>
          <w:rFonts w:eastAsia="Calibri"/>
          <w:color w:val="auto"/>
        </w:rPr>
        <w:t xml:space="preserve"> тыс. руб</w:t>
      </w:r>
      <w:r w:rsidR="002B01B7" w:rsidRPr="00156084">
        <w:rPr>
          <w:rFonts w:eastAsia="Calibri"/>
          <w:color w:val="auto"/>
        </w:rPr>
        <w:t>лей</w:t>
      </w:r>
      <w:r w:rsidR="00075E2D" w:rsidRPr="00156084">
        <w:rPr>
          <w:rFonts w:eastAsia="Calibri"/>
          <w:color w:val="auto"/>
        </w:rPr>
        <w:t>, выявлены нарушения на общую су</w:t>
      </w:r>
      <w:r w:rsidR="002B01B7" w:rsidRPr="00156084">
        <w:rPr>
          <w:rFonts w:eastAsia="Calibri"/>
          <w:color w:val="auto"/>
        </w:rPr>
        <w:t>мму в размере</w:t>
      </w:r>
      <w:r w:rsidR="00156084" w:rsidRPr="00156084">
        <w:rPr>
          <w:rFonts w:eastAsia="Calibri"/>
          <w:color w:val="auto"/>
        </w:rPr>
        <w:t xml:space="preserve"> 48</w:t>
      </w:r>
      <w:r w:rsidR="002B01B7" w:rsidRPr="00156084">
        <w:rPr>
          <w:rFonts w:eastAsia="Calibri"/>
          <w:color w:val="auto"/>
        </w:rPr>
        <w:t xml:space="preserve"> </w:t>
      </w:r>
      <w:r w:rsidR="00156084" w:rsidRPr="00156084">
        <w:rPr>
          <w:rFonts w:eastAsia="Calibri"/>
          <w:color w:val="auto"/>
        </w:rPr>
        <w:t>795</w:t>
      </w:r>
      <w:r w:rsidR="002B01B7" w:rsidRPr="00156084">
        <w:rPr>
          <w:rFonts w:eastAsia="Calibri"/>
          <w:color w:val="auto"/>
        </w:rPr>
        <w:t>,8 тыс. рублей</w:t>
      </w:r>
      <w:r w:rsidR="00156084" w:rsidRPr="00156084">
        <w:rPr>
          <w:rFonts w:eastAsia="Calibri"/>
          <w:color w:val="auto"/>
        </w:rPr>
        <w:t>.</w:t>
      </w:r>
    </w:p>
    <w:p w14:paraId="7C6DE67F" w14:textId="64776919" w:rsidR="00075E2D" w:rsidRPr="00156084" w:rsidRDefault="00075E2D" w:rsidP="006B3DF7">
      <w:pPr>
        <w:widowControl/>
        <w:rPr>
          <w:rFonts w:eastAsia="Calibri"/>
          <w:color w:val="auto"/>
        </w:rPr>
      </w:pPr>
      <w:r w:rsidRPr="00156084">
        <w:rPr>
          <w:rFonts w:eastAsia="Calibri"/>
          <w:color w:val="auto"/>
        </w:rPr>
        <w:t xml:space="preserve">В связи с невозможностью получения необходимой информации (документов, материалов) при проведении </w:t>
      </w:r>
      <w:r w:rsidR="00156084" w:rsidRPr="00156084">
        <w:rPr>
          <w:rFonts w:eastAsia="Calibri"/>
          <w:color w:val="auto"/>
        </w:rPr>
        <w:t>6</w:t>
      </w:r>
      <w:r w:rsidRPr="00156084">
        <w:rPr>
          <w:rFonts w:eastAsia="Calibri"/>
          <w:color w:val="auto"/>
        </w:rPr>
        <w:t xml:space="preserve"> плановых выездных проверок и 1 камеральной в </w:t>
      </w:r>
      <w:r w:rsidR="001B68C0">
        <w:rPr>
          <w:rFonts w:eastAsia="Calibri"/>
          <w:color w:val="auto"/>
        </w:rPr>
        <w:br/>
      </w:r>
      <w:r w:rsidRPr="00156084">
        <w:rPr>
          <w:rFonts w:eastAsia="Calibri"/>
          <w:color w:val="auto"/>
        </w:rPr>
        <w:t>202</w:t>
      </w:r>
      <w:r w:rsidR="00156084" w:rsidRPr="00156084">
        <w:rPr>
          <w:rFonts w:eastAsia="Calibri"/>
          <w:color w:val="auto"/>
        </w:rPr>
        <w:t>5</w:t>
      </w:r>
      <w:r w:rsidRPr="00156084">
        <w:rPr>
          <w:rFonts w:eastAsia="Calibri"/>
          <w:color w:val="auto"/>
        </w:rPr>
        <w:t xml:space="preserve"> году назначено и проведено </w:t>
      </w:r>
      <w:r w:rsidR="00156084" w:rsidRPr="00156084">
        <w:rPr>
          <w:rFonts w:eastAsia="Calibri"/>
          <w:color w:val="auto"/>
        </w:rPr>
        <w:t>5</w:t>
      </w:r>
      <w:r w:rsidRPr="00156084">
        <w:rPr>
          <w:rFonts w:eastAsia="Calibri"/>
          <w:color w:val="auto"/>
        </w:rPr>
        <w:t xml:space="preserve"> встречных контрольных мероприяти</w:t>
      </w:r>
      <w:r w:rsidR="00156084" w:rsidRPr="00156084">
        <w:rPr>
          <w:rFonts w:eastAsia="Calibri"/>
          <w:color w:val="auto"/>
        </w:rPr>
        <w:t>й</w:t>
      </w:r>
      <w:r w:rsidRPr="00156084">
        <w:rPr>
          <w:rFonts w:eastAsia="Calibri"/>
          <w:color w:val="auto"/>
        </w:rPr>
        <w:t xml:space="preserve">, в ходе проведения которых выявлено </w:t>
      </w:r>
      <w:r w:rsidR="00156084" w:rsidRPr="00156084">
        <w:rPr>
          <w:rFonts w:eastAsia="Calibri"/>
          <w:color w:val="auto"/>
        </w:rPr>
        <w:t>45</w:t>
      </w:r>
      <w:r w:rsidRPr="00156084">
        <w:rPr>
          <w:rFonts w:eastAsia="Calibri"/>
          <w:color w:val="auto"/>
        </w:rPr>
        <w:t xml:space="preserve"> факт</w:t>
      </w:r>
      <w:r w:rsidR="00156084" w:rsidRPr="00156084">
        <w:rPr>
          <w:rFonts w:eastAsia="Calibri"/>
          <w:color w:val="auto"/>
        </w:rPr>
        <w:t>ов</w:t>
      </w:r>
      <w:r w:rsidRPr="00156084">
        <w:rPr>
          <w:rFonts w:eastAsia="Calibri"/>
          <w:color w:val="auto"/>
        </w:rPr>
        <w:t xml:space="preserve"> нарушений законодательства Российской Федерации. </w:t>
      </w:r>
    </w:p>
    <w:p w14:paraId="1F309E0F" w14:textId="4E87A215" w:rsidR="00075E2D" w:rsidRPr="00156084" w:rsidRDefault="00075E2D" w:rsidP="006B3DF7">
      <w:pPr>
        <w:widowControl/>
        <w:rPr>
          <w:rFonts w:eastAsia="Calibri"/>
          <w:color w:val="auto"/>
        </w:rPr>
      </w:pPr>
      <w:r w:rsidRPr="00156084">
        <w:rPr>
          <w:rFonts w:eastAsia="Calibri"/>
          <w:color w:val="auto"/>
        </w:rPr>
        <w:t xml:space="preserve">По результатам контрольных мероприятий, </w:t>
      </w:r>
      <w:r w:rsidR="00156084" w:rsidRPr="00156084">
        <w:rPr>
          <w:rFonts w:eastAsia="Calibri"/>
          <w:color w:val="auto"/>
        </w:rPr>
        <w:t>5</w:t>
      </w:r>
      <w:r w:rsidRPr="00156084">
        <w:rPr>
          <w:rFonts w:eastAsia="Calibri"/>
          <w:color w:val="auto"/>
        </w:rPr>
        <w:t xml:space="preserve"> объектам контроля направлены Представления </w:t>
      </w:r>
      <w:r w:rsidR="00016E54">
        <w:rPr>
          <w:rFonts w:eastAsia="Calibri"/>
          <w:color w:val="auto"/>
        </w:rPr>
        <w:t>Министерства</w:t>
      </w:r>
      <w:r w:rsidRPr="00156084">
        <w:rPr>
          <w:rFonts w:eastAsia="Calibri"/>
          <w:color w:val="auto"/>
        </w:rPr>
        <w:t xml:space="preserve"> с требованием об устранении нарушений </w:t>
      </w:r>
      <w:r w:rsidR="00156084">
        <w:rPr>
          <w:rFonts w:eastAsia="Calibri"/>
          <w:color w:val="auto"/>
        </w:rPr>
        <w:br/>
      </w:r>
      <w:r w:rsidRPr="00156084">
        <w:rPr>
          <w:rFonts w:eastAsia="Calibri"/>
          <w:color w:val="auto"/>
        </w:rPr>
        <w:t xml:space="preserve">в установленный министерством срок. </w:t>
      </w:r>
    </w:p>
    <w:p w14:paraId="272C6C1C" w14:textId="78C4B354" w:rsidR="00156084" w:rsidRPr="00156084" w:rsidRDefault="00075E2D" w:rsidP="006B3DF7">
      <w:pPr>
        <w:widowControl/>
        <w:rPr>
          <w:rFonts w:eastAsia="Calibri"/>
          <w:color w:val="auto"/>
        </w:rPr>
      </w:pPr>
      <w:r w:rsidRPr="00156084">
        <w:rPr>
          <w:rFonts w:eastAsia="Calibri"/>
          <w:color w:val="auto"/>
        </w:rPr>
        <w:t xml:space="preserve">Должностными лицами Министерства возбуждены дела </w:t>
      </w:r>
      <w:r w:rsidR="00156084">
        <w:rPr>
          <w:rFonts w:eastAsia="Calibri"/>
          <w:color w:val="auto"/>
        </w:rPr>
        <w:br/>
      </w:r>
      <w:r w:rsidRPr="00156084">
        <w:rPr>
          <w:rFonts w:eastAsia="Calibri"/>
          <w:color w:val="auto"/>
        </w:rPr>
        <w:t xml:space="preserve">об административных правонарушениях, в том числе по </w:t>
      </w:r>
      <w:r w:rsidR="00156084" w:rsidRPr="00156084">
        <w:rPr>
          <w:rFonts w:eastAsia="Calibri"/>
          <w:color w:val="auto"/>
        </w:rPr>
        <w:t>ст. 15.14, части 1 ст. 15.15.6, части 2 ст. 15.15.5</w:t>
      </w:r>
      <w:r w:rsidRPr="00156084">
        <w:rPr>
          <w:rFonts w:eastAsia="Calibri"/>
          <w:color w:val="auto"/>
        </w:rPr>
        <w:t xml:space="preserve"> КоАП с вынесением </w:t>
      </w:r>
      <w:r w:rsidR="00156084" w:rsidRPr="00156084">
        <w:rPr>
          <w:rFonts w:eastAsia="Calibri"/>
          <w:color w:val="auto"/>
        </w:rPr>
        <w:t>3</w:t>
      </w:r>
      <w:r w:rsidRPr="00156084">
        <w:rPr>
          <w:rFonts w:eastAsia="Calibri"/>
          <w:color w:val="auto"/>
        </w:rPr>
        <w:t xml:space="preserve"> постановлений о назначении административных штрафов на сумму </w:t>
      </w:r>
      <w:r w:rsidR="00156084" w:rsidRPr="00156084">
        <w:rPr>
          <w:rFonts w:eastAsia="Calibri"/>
          <w:color w:val="auto"/>
        </w:rPr>
        <w:t>40</w:t>
      </w:r>
      <w:r w:rsidRPr="00156084">
        <w:rPr>
          <w:rFonts w:eastAsia="Calibri"/>
          <w:color w:val="auto"/>
        </w:rPr>
        <w:t xml:space="preserve"> тыс. рублей, которые своевременно оплачены.</w:t>
      </w:r>
      <w:r w:rsidR="00156084" w:rsidRPr="00156084">
        <w:rPr>
          <w:rFonts w:ascii="Times New Roman CYR" w:eastAsiaTheme="minorEastAsia" w:hAnsi="Times New Roman CYR" w:cs="Times New Roman CYR"/>
          <w:color w:val="auto"/>
          <w:sz w:val="27"/>
          <w:szCs w:val="27"/>
          <w:lang w:eastAsia="ru-RU"/>
        </w:rPr>
        <w:t xml:space="preserve"> </w:t>
      </w:r>
      <w:r w:rsidR="00156084" w:rsidRPr="00156084">
        <w:rPr>
          <w:rFonts w:eastAsia="Calibri"/>
          <w:color w:val="auto"/>
        </w:rPr>
        <w:t xml:space="preserve">Кроме того, рассмотрены постановления Прокуратуры </w:t>
      </w:r>
      <w:r w:rsidR="003D4698">
        <w:rPr>
          <w:rFonts w:eastAsia="Calibri"/>
          <w:color w:val="auto"/>
        </w:rPr>
        <w:t>г.</w:t>
      </w:r>
      <w:r w:rsidR="00156084" w:rsidRPr="00156084">
        <w:rPr>
          <w:rFonts w:eastAsia="Calibri"/>
          <w:color w:val="auto"/>
        </w:rPr>
        <w:t xml:space="preserve"> Нальчик, </w:t>
      </w:r>
      <w:r w:rsidR="00156084">
        <w:rPr>
          <w:rFonts w:eastAsia="Calibri"/>
          <w:color w:val="auto"/>
        </w:rPr>
        <w:br/>
      </w:r>
      <w:r w:rsidR="00156084" w:rsidRPr="00156084">
        <w:rPr>
          <w:rFonts w:eastAsia="Calibri"/>
          <w:color w:val="auto"/>
        </w:rPr>
        <w:t>по которым вынесено</w:t>
      </w:r>
      <w:r w:rsidR="00156084">
        <w:rPr>
          <w:rFonts w:eastAsia="Calibri"/>
          <w:color w:val="auto"/>
        </w:rPr>
        <w:t xml:space="preserve"> </w:t>
      </w:r>
      <w:r w:rsidR="00156084" w:rsidRPr="00156084">
        <w:rPr>
          <w:rFonts w:eastAsia="Calibri"/>
          <w:color w:val="auto"/>
        </w:rPr>
        <w:t>5 предупреждений.</w:t>
      </w:r>
    </w:p>
    <w:p w14:paraId="6E3C2CA9" w14:textId="0DE39332" w:rsidR="00075E2D" w:rsidRPr="00656EEB" w:rsidRDefault="00A94C78" w:rsidP="006B3DF7">
      <w:pPr>
        <w:widowControl/>
        <w:rPr>
          <w:rFonts w:eastAsia="Calibri"/>
        </w:rPr>
      </w:pPr>
      <w:r>
        <w:rPr>
          <w:rFonts w:eastAsia="Calibri"/>
        </w:rPr>
        <w:t>В рамках полномочий Мин</w:t>
      </w:r>
      <w:r w:rsidR="00016E54">
        <w:rPr>
          <w:rFonts w:eastAsia="Calibri"/>
        </w:rPr>
        <w:t>истерства</w:t>
      </w:r>
      <w:r>
        <w:rPr>
          <w:rFonts w:eastAsia="Calibri"/>
        </w:rPr>
        <w:t xml:space="preserve"> по осуществлению внутреннего финансового аудита п</w:t>
      </w:r>
      <w:r w:rsidR="00075E2D" w:rsidRPr="00656EEB">
        <w:rPr>
          <w:rFonts w:eastAsia="Calibri"/>
        </w:rPr>
        <w:t xml:space="preserve">роведено </w:t>
      </w:r>
      <w:r w:rsidR="003A30EA" w:rsidRPr="00656EEB">
        <w:rPr>
          <w:rFonts w:eastAsia="Calibri"/>
        </w:rPr>
        <w:t>3</w:t>
      </w:r>
      <w:r w:rsidR="00075E2D" w:rsidRPr="00656EEB">
        <w:rPr>
          <w:rFonts w:eastAsia="Calibri"/>
        </w:rPr>
        <w:t xml:space="preserve"> аудиторских мероприятия, в том числе 2 плановых мероприятия</w:t>
      </w:r>
      <w:r>
        <w:rPr>
          <w:rFonts w:eastAsia="Calibri"/>
        </w:rPr>
        <w:t xml:space="preserve"> по</w:t>
      </w:r>
      <w:r w:rsidR="00075E2D" w:rsidRPr="00656EEB">
        <w:rPr>
          <w:rFonts w:eastAsia="Calibri"/>
        </w:rPr>
        <w:t xml:space="preserve"> </w:t>
      </w:r>
      <w:r>
        <w:rPr>
          <w:rFonts w:eastAsia="Calibri"/>
        </w:rPr>
        <w:t>п</w:t>
      </w:r>
      <w:r w:rsidR="00075E2D" w:rsidRPr="00656EEB">
        <w:rPr>
          <w:rFonts w:eastAsia="Calibri"/>
        </w:rPr>
        <w:t>роверк</w:t>
      </w:r>
      <w:r>
        <w:rPr>
          <w:rFonts w:eastAsia="Calibri"/>
        </w:rPr>
        <w:t>е</w:t>
      </w:r>
      <w:r w:rsidR="00075E2D" w:rsidRPr="00656EEB">
        <w:rPr>
          <w:rFonts w:eastAsia="Calibri"/>
        </w:rPr>
        <w:t xml:space="preserve"> исполнения условий соглашений о мерах по </w:t>
      </w:r>
      <w:r w:rsidR="004F0760">
        <w:rPr>
          <w:rFonts w:eastAsia="Calibri"/>
        </w:rPr>
        <w:br/>
      </w:r>
      <w:r w:rsidR="00075E2D" w:rsidRPr="00656EEB">
        <w:rPr>
          <w:rFonts w:eastAsia="Calibri"/>
        </w:rPr>
        <w:t>социально-экономическому развитию и оздоровлению муниципальных финансов муниципальных образований КБР и соглашений о предоставлении бюджетам муниципальных образований  КБР дополнительной финансовой помощи из республиканского бюджета КБР в виде дотации на поддержку мер по обеспечению сбалансированности бюджетов муниципальных образований</w:t>
      </w:r>
      <w:r>
        <w:rPr>
          <w:rFonts w:eastAsia="Calibri"/>
        </w:rPr>
        <w:t xml:space="preserve"> и</w:t>
      </w:r>
      <w:r w:rsidR="003A30EA" w:rsidRPr="00656EEB">
        <w:rPr>
          <w:rFonts w:eastAsia="Calibri"/>
        </w:rPr>
        <w:t xml:space="preserve"> </w:t>
      </w:r>
      <w:r>
        <w:rPr>
          <w:rFonts w:eastAsia="Calibri"/>
        </w:rPr>
        <w:t>п</w:t>
      </w:r>
      <w:r w:rsidR="00075E2D" w:rsidRPr="00656EEB">
        <w:rPr>
          <w:rFonts w:eastAsia="Calibri"/>
        </w:rPr>
        <w:t>роверк</w:t>
      </w:r>
      <w:r>
        <w:rPr>
          <w:rFonts w:eastAsia="Calibri"/>
        </w:rPr>
        <w:t>е</w:t>
      </w:r>
      <w:r w:rsidR="00075E2D" w:rsidRPr="00656EEB">
        <w:rPr>
          <w:rFonts w:eastAsia="Calibri"/>
        </w:rPr>
        <w:t xml:space="preserve"> достоверности, своевременности составления и представления бюджетной отчетности </w:t>
      </w:r>
      <w:r w:rsidR="00016E54">
        <w:rPr>
          <w:rFonts w:eastAsia="Calibri"/>
        </w:rPr>
        <w:t>Министерства</w:t>
      </w:r>
      <w:r w:rsidR="003A30EA" w:rsidRPr="00656EEB">
        <w:rPr>
          <w:rFonts w:eastAsia="Calibri"/>
        </w:rPr>
        <w:t xml:space="preserve">, а также 1 внеплановое мероприятие на </w:t>
      </w:r>
      <w:r>
        <w:rPr>
          <w:rFonts w:eastAsia="Calibri"/>
        </w:rPr>
        <w:t>с</w:t>
      </w:r>
      <w:r w:rsidR="003A30EA" w:rsidRPr="00656EEB">
        <w:rPr>
          <w:rFonts w:eastAsia="Calibri"/>
        </w:rPr>
        <w:t>облюдение законодательства Российской Федерации о контрактной системе в сфере закупок товаров, работ, услуг для обеспечения государственных нужд Кабардино-Балкарской Республики</w:t>
      </w:r>
      <w:r w:rsidR="00075E2D" w:rsidRPr="00656EEB">
        <w:rPr>
          <w:rFonts w:eastAsia="Calibri"/>
        </w:rPr>
        <w:t xml:space="preserve">. </w:t>
      </w:r>
    </w:p>
    <w:p w14:paraId="732B5436" w14:textId="6B92BE24" w:rsidR="00075E2D" w:rsidRPr="00C014DC" w:rsidRDefault="00075E2D" w:rsidP="006B3DF7">
      <w:pPr>
        <w:widowControl/>
        <w:rPr>
          <w:rFonts w:eastAsia="Calibri"/>
          <w:color w:val="FF0000"/>
        </w:rPr>
      </w:pPr>
      <w:r w:rsidRPr="00B81F85">
        <w:rPr>
          <w:rFonts w:eastAsia="Calibri"/>
        </w:rPr>
        <w:t>Рекомендации по результатам аудиторск</w:t>
      </w:r>
      <w:r w:rsidR="00A94C78">
        <w:rPr>
          <w:rFonts w:eastAsia="Calibri"/>
        </w:rPr>
        <w:t>их</w:t>
      </w:r>
      <w:r w:rsidRPr="00B81F85">
        <w:rPr>
          <w:rFonts w:eastAsia="Calibri"/>
        </w:rPr>
        <w:t xml:space="preserve"> мероприяти</w:t>
      </w:r>
      <w:r w:rsidR="00A94C78">
        <w:rPr>
          <w:rFonts w:eastAsia="Calibri"/>
        </w:rPr>
        <w:t>й реализованы</w:t>
      </w:r>
      <w:r w:rsidRPr="00B81F85">
        <w:rPr>
          <w:rFonts w:eastAsia="Calibri"/>
        </w:rPr>
        <w:t>.</w:t>
      </w:r>
    </w:p>
    <w:bookmarkEnd w:id="116"/>
    <w:p w14:paraId="604A8185" w14:textId="77777777" w:rsidR="00272DF6" w:rsidRPr="00D05E60" w:rsidRDefault="00272DF6" w:rsidP="006B3DF7">
      <w:pPr>
        <w:rPr>
          <w:color w:val="FF0000"/>
        </w:rPr>
      </w:pPr>
    </w:p>
    <w:p w14:paraId="2557A65B" w14:textId="77777777" w:rsidR="0099789F" w:rsidRPr="00D05E60" w:rsidRDefault="0099789F" w:rsidP="006B3DF7">
      <w:pPr>
        <w:rPr>
          <w:color w:val="FF0000"/>
        </w:rPr>
        <w:sectPr w:rsidR="0099789F" w:rsidRPr="00D05E60" w:rsidSect="00A90622">
          <w:pgSz w:w="11906" w:h="16838"/>
          <w:pgMar w:top="-993" w:right="707" w:bottom="851" w:left="709" w:header="708" w:footer="708" w:gutter="0"/>
          <w:pgBorders w:offsetFrom="page">
            <w:top w:val="thickThinMediumGap" w:sz="24" w:space="24" w:color="568D11" w:themeColor="accent3" w:themeShade="80"/>
            <w:left w:val="thickThinMediumGap" w:sz="24" w:space="24" w:color="568D11" w:themeColor="accent3" w:themeShade="80"/>
            <w:bottom w:val="thickThinMediumGap" w:sz="24" w:space="24" w:color="568D11" w:themeColor="accent3" w:themeShade="80"/>
            <w:right w:val="thickThinMediumGap" w:sz="24" w:space="24" w:color="568D11" w:themeColor="accent3" w:themeShade="80"/>
          </w:pgBorders>
          <w:pgNumType w:start="37"/>
          <w:cols w:space="708"/>
          <w:titlePg/>
          <w:docGrid w:linePitch="381"/>
        </w:sectPr>
      </w:pPr>
    </w:p>
    <w:p w14:paraId="2E95BF23" w14:textId="466EBC08" w:rsidR="00F811F4" w:rsidRDefault="008B0C90" w:rsidP="006B3DF7">
      <w:pPr>
        <w:pStyle w:val="24"/>
        <w:numPr>
          <w:ilvl w:val="0"/>
          <w:numId w:val="0"/>
        </w:numPr>
        <w:spacing w:before="0" w:after="0"/>
        <w:ind w:firstLine="709"/>
        <w:rPr>
          <w:color w:val="568D11" w:themeColor="accent3" w:themeShade="80"/>
        </w:rPr>
      </w:pPr>
      <w:bookmarkStart w:id="117" w:name="_Toc131085645"/>
      <w:bookmarkStart w:id="118" w:name="_Toc162008802"/>
      <w:r w:rsidRPr="00370B39">
        <w:rPr>
          <w:color w:val="568D11" w:themeColor="accent3" w:themeShade="80"/>
        </w:rPr>
        <w:t>1</w:t>
      </w:r>
      <w:r w:rsidR="002C24EA" w:rsidRPr="00370B39">
        <w:rPr>
          <w:color w:val="568D11" w:themeColor="accent3" w:themeShade="80"/>
        </w:rPr>
        <w:t>0</w:t>
      </w:r>
      <w:r w:rsidRPr="00370B39">
        <w:rPr>
          <w:color w:val="568D11" w:themeColor="accent3" w:themeShade="80"/>
        </w:rPr>
        <w:t>.</w:t>
      </w:r>
      <w:r w:rsidR="00A662D2">
        <w:rPr>
          <w:color w:val="568D11" w:themeColor="accent3" w:themeShade="80"/>
        </w:rPr>
        <w:t xml:space="preserve"> </w:t>
      </w:r>
      <w:r w:rsidR="00F811F4" w:rsidRPr="00370B39">
        <w:rPr>
          <w:color w:val="568D11" w:themeColor="accent3" w:themeShade="80"/>
        </w:rPr>
        <w:t xml:space="preserve">Деятельность Министерства финансов КБР в сфере профилактики </w:t>
      </w:r>
      <w:bookmarkStart w:id="119" w:name="_Toc482701261"/>
      <w:r w:rsidR="00F811F4" w:rsidRPr="00370B39">
        <w:rPr>
          <w:color w:val="568D11" w:themeColor="accent3" w:themeShade="80"/>
        </w:rPr>
        <w:t xml:space="preserve">антикоррупционных </w:t>
      </w:r>
      <w:bookmarkEnd w:id="119"/>
      <w:r w:rsidR="00F811F4" w:rsidRPr="00370B39">
        <w:rPr>
          <w:color w:val="568D11" w:themeColor="accent3" w:themeShade="80"/>
        </w:rPr>
        <w:t>нарушений</w:t>
      </w:r>
      <w:bookmarkEnd w:id="117"/>
      <w:bookmarkEnd w:id="118"/>
    </w:p>
    <w:p w14:paraId="3EA7B8A0" w14:textId="77777777" w:rsidR="004F65CE" w:rsidRDefault="004F65CE" w:rsidP="006B3DF7">
      <w:pPr>
        <w:rPr>
          <w:color w:val="auto"/>
        </w:rPr>
      </w:pPr>
      <w:bookmarkStart w:id="120" w:name="_Toc482701257"/>
    </w:p>
    <w:p w14:paraId="27225095" w14:textId="77777777" w:rsidR="0077474D" w:rsidRDefault="00F1221F" w:rsidP="0077474D">
      <w:pPr>
        <w:rPr>
          <w:color w:val="auto"/>
        </w:rPr>
      </w:pPr>
      <w:r w:rsidRPr="00D72ED7">
        <w:rPr>
          <w:color w:val="auto"/>
        </w:rPr>
        <w:t>В соответствии с требованиями антикоррупционного законодательства в Министерстве ведется работа по предупреждению и предотвращен</w:t>
      </w:r>
      <w:r w:rsidR="00910929">
        <w:rPr>
          <w:color w:val="auto"/>
        </w:rPr>
        <w:t>ию коррупционных правонарушений.</w:t>
      </w:r>
    </w:p>
    <w:p w14:paraId="3C5D698A" w14:textId="5F22355F" w:rsidR="00E657E5" w:rsidRPr="0077474D" w:rsidRDefault="00105C97" w:rsidP="0077474D">
      <w:pPr>
        <w:rPr>
          <w:color w:val="auto"/>
        </w:rPr>
      </w:pPr>
      <w:r w:rsidRPr="0077474D">
        <w:rPr>
          <w:color w:val="auto"/>
        </w:rPr>
        <w:t>О</w:t>
      </w:r>
      <w:r w:rsidR="00E622D4" w:rsidRPr="0077474D">
        <w:rPr>
          <w:color w:val="auto"/>
        </w:rPr>
        <w:t>существляется мониторинг нормативных правовых актов министерства, регулирующи</w:t>
      </w:r>
      <w:r w:rsidR="007C6E51" w:rsidRPr="0077474D">
        <w:rPr>
          <w:color w:val="auto"/>
        </w:rPr>
        <w:t>х</w:t>
      </w:r>
      <w:r w:rsidR="00E622D4" w:rsidRPr="0077474D">
        <w:rPr>
          <w:color w:val="auto"/>
        </w:rPr>
        <w:t xml:space="preserve"> вопросы противодействия коррупции</w:t>
      </w:r>
      <w:r w:rsidR="007C6E51" w:rsidRPr="0077474D">
        <w:rPr>
          <w:color w:val="auto"/>
        </w:rPr>
        <w:t>,</w:t>
      </w:r>
      <w:r w:rsidR="0077474D">
        <w:rPr>
          <w:color w:val="auto"/>
        </w:rPr>
        <w:t xml:space="preserve"> </w:t>
      </w:r>
      <w:r w:rsidR="007C6E51" w:rsidRPr="0077474D">
        <w:rPr>
          <w:color w:val="auto"/>
        </w:rPr>
        <w:t>с целью их актуализации и соответствия изменениям, внесенным в законодательные акты</w:t>
      </w:r>
      <w:r w:rsidR="00260DDB" w:rsidRPr="0077474D">
        <w:rPr>
          <w:color w:val="auto"/>
        </w:rPr>
        <w:t>.</w:t>
      </w:r>
      <w:r w:rsidR="0077474D">
        <w:rPr>
          <w:color w:val="auto"/>
        </w:rPr>
        <w:t xml:space="preserve"> </w:t>
      </w:r>
      <w:r w:rsidRPr="0077474D">
        <w:rPr>
          <w:color w:val="auto"/>
        </w:rPr>
        <w:t>В</w:t>
      </w:r>
      <w:r w:rsidR="00E657E5" w:rsidRPr="0077474D">
        <w:rPr>
          <w:color w:val="auto"/>
        </w:rPr>
        <w:t xml:space="preserve"> 2025 году внесены изменения, дополнения и подготовлены правовые акты министерства:</w:t>
      </w:r>
    </w:p>
    <w:p w14:paraId="66A6AB9F" w14:textId="41F83191" w:rsidR="00E657E5" w:rsidRPr="00E657E5" w:rsidRDefault="00E657E5" w:rsidP="006B3DF7">
      <w:pPr>
        <w:rPr>
          <w:color w:val="auto"/>
        </w:rPr>
      </w:pPr>
      <w:r w:rsidRPr="00E657E5">
        <w:rPr>
          <w:color w:val="auto"/>
        </w:rPr>
        <w:t xml:space="preserve">от 28.01.2025 № 8 </w:t>
      </w:r>
      <w:r w:rsidR="006B3DF7">
        <w:rPr>
          <w:color w:val="auto"/>
        </w:rPr>
        <w:t>«</w:t>
      </w:r>
      <w:r w:rsidRPr="00E657E5">
        <w:rPr>
          <w:color w:val="auto"/>
        </w:rPr>
        <w:t>Об утверждении Плана противодействия коррупции Министерства финансов Кабардино-Балкарской Республики на 2025 год</w:t>
      </w:r>
      <w:r w:rsidR="006B3DF7">
        <w:rPr>
          <w:color w:val="auto"/>
        </w:rPr>
        <w:t>»</w:t>
      </w:r>
      <w:r w:rsidRPr="00E657E5">
        <w:rPr>
          <w:color w:val="auto"/>
        </w:rPr>
        <w:t xml:space="preserve">; </w:t>
      </w:r>
    </w:p>
    <w:p w14:paraId="2312E075" w14:textId="7C65E085" w:rsidR="00E657E5" w:rsidRPr="00E657E5" w:rsidRDefault="00E657E5" w:rsidP="006B3DF7">
      <w:pPr>
        <w:rPr>
          <w:color w:val="auto"/>
        </w:rPr>
      </w:pPr>
      <w:r w:rsidRPr="00E657E5">
        <w:rPr>
          <w:color w:val="auto"/>
        </w:rPr>
        <w:t xml:space="preserve">от 17.02.2025 № 19 </w:t>
      </w:r>
      <w:r w:rsidR="006B3DF7">
        <w:rPr>
          <w:color w:val="auto"/>
        </w:rPr>
        <w:t>«</w:t>
      </w:r>
      <w:r w:rsidRPr="00E657E5">
        <w:rPr>
          <w:color w:val="auto"/>
        </w:rPr>
        <w:t xml:space="preserve">О внесении изменений в приказ Министерства финансов КБР от 18 апреля 2016 № 54 </w:t>
      </w:r>
      <w:r w:rsidR="006B3DF7">
        <w:rPr>
          <w:color w:val="auto"/>
        </w:rPr>
        <w:t>«</w:t>
      </w:r>
      <w:r w:rsidRPr="00E657E5">
        <w:rPr>
          <w:color w:val="auto"/>
        </w:rPr>
        <w:t>Об утверждении Порядка сообщения лицами, замещающими должности государственной гражданской службы КБР в Министерстве финансов КБР,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6B3DF7">
        <w:rPr>
          <w:color w:val="auto"/>
        </w:rPr>
        <w:t>»</w:t>
      </w:r>
      <w:r w:rsidRPr="00E657E5">
        <w:rPr>
          <w:color w:val="auto"/>
        </w:rPr>
        <w:t>;</w:t>
      </w:r>
    </w:p>
    <w:p w14:paraId="2639BF59" w14:textId="5413894F" w:rsidR="00260DDB" w:rsidRDefault="00E657E5" w:rsidP="006B3DF7">
      <w:pPr>
        <w:rPr>
          <w:color w:val="auto"/>
        </w:rPr>
      </w:pPr>
      <w:r w:rsidRPr="00E657E5">
        <w:rPr>
          <w:color w:val="auto"/>
        </w:rPr>
        <w:t>от 25.11.2025 №</w:t>
      </w:r>
      <w:r w:rsidR="00016E54">
        <w:rPr>
          <w:color w:val="auto"/>
        </w:rPr>
        <w:t xml:space="preserve"> </w:t>
      </w:r>
      <w:r w:rsidRPr="00E657E5">
        <w:rPr>
          <w:color w:val="auto"/>
        </w:rPr>
        <w:t xml:space="preserve">140н </w:t>
      </w:r>
      <w:r w:rsidR="006B3DF7">
        <w:rPr>
          <w:color w:val="auto"/>
        </w:rPr>
        <w:t>«</w:t>
      </w:r>
      <w:r w:rsidRPr="00E657E5">
        <w:rPr>
          <w:color w:val="auto"/>
        </w:rPr>
        <w:t>О внесении изменений в Положение о Комиссии Минфина КБР по соблюдению требований к служебному поведению гос. гражданских служащих и урегулированию конфликта интересов</w:t>
      </w:r>
      <w:r w:rsidR="006B3DF7">
        <w:rPr>
          <w:color w:val="auto"/>
        </w:rPr>
        <w:t>»</w:t>
      </w:r>
      <w:r w:rsidR="00260DDB">
        <w:rPr>
          <w:color w:val="auto"/>
        </w:rPr>
        <w:t>;</w:t>
      </w:r>
    </w:p>
    <w:p w14:paraId="74559B46" w14:textId="402F3211" w:rsidR="0077474D" w:rsidRDefault="00260DDB" w:rsidP="0077474D">
      <w:pPr>
        <w:rPr>
          <w:color w:val="auto"/>
        </w:rPr>
      </w:pPr>
      <w:r>
        <w:rPr>
          <w:color w:val="auto"/>
        </w:rPr>
        <w:t>от 1</w:t>
      </w:r>
      <w:r w:rsidRPr="00260DDB">
        <w:rPr>
          <w:color w:val="auto"/>
        </w:rPr>
        <w:t>8.12.2025</w:t>
      </w:r>
      <w:r>
        <w:rPr>
          <w:color w:val="auto"/>
        </w:rPr>
        <w:t xml:space="preserve"> №</w:t>
      </w:r>
      <w:r w:rsidR="00016E54">
        <w:rPr>
          <w:color w:val="auto"/>
        </w:rPr>
        <w:t xml:space="preserve"> </w:t>
      </w:r>
      <w:r>
        <w:rPr>
          <w:color w:val="auto"/>
        </w:rPr>
        <w:t xml:space="preserve">160 </w:t>
      </w:r>
      <w:r w:rsidR="006B3DF7">
        <w:rPr>
          <w:color w:val="auto"/>
        </w:rPr>
        <w:t>«</w:t>
      </w:r>
      <w:r w:rsidRPr="00260DDB">
        <w:rPr>
          <w:color w:val="auto"/>
        </w:rPr>
        <w:t xml:space="preserve">Об утверждении Плана противодействия коррупции на 2026-2028 </w:t>
      </w:r>
      <w:proofErr w:type="spellStart"/>
      <w:r w:rsidR="003D4698">
        <w:rPr>
          <w:color w:val="auto"/>
        </w:rPr>
        <w:t>годагода</w:t>
      </w:r>
      <w:proofErr w:type="spellEnd"/>
      <w:r w:rsidR="006B3DF7">
        <w:rPr>
          <w:color w:val="auto"/>
        </w:rPr>
        <w:t>»</w:t>
      </w:r>
      <w:r w:rsidR="00105C97">
        <w:rPr>
          <w:color w:val="auto"/>
        </w:rPr>
        <w:t>.</w:t>
      </w:r>
    </w:p>
    <w:p w14:paraId="7A509056" w14:textId="59F05765" w:rsidR="00701D6B" w:rsidRPr="0077474D" w:rsidRDefault="00105C97" w:rsidP="0077474D">
      <w:pPr>
        <w:rPr>
          <w:color w:val="auto"/>
        </w:rPr>
      </w:pPr>
      <w:r w:rsidRPr="0077474D">
        <w:rPr>
          <w:color w:val="auto"/>
        </w:rPr>
        <w:t>П</w:t>
      </w:r>
      <w:r w:rsidR="00F1221F" w:rsidRPr="0077474D">
        <w:rPr>
          <w:color w:val="auto"/>
        </w:rPr>
        <w:t>роводится антикоррупционная экспертиза нормативных актов и их проектов</w:t>
      </w:r>
      <w:r w:rsidRPr="0077474D">
        <w:rPr>
          <w:color w:val="auto"/>
        </w:rPr>
        <w:t>.</w:t>
      </w:r>
    </w:p>
    <w:p w14:paraId="7FBE3F34" w14:textId="77777777" w:rsidR="005171F3" w:rsidRDefault="00105C97" w:rsidP="006B3DF7">
      <w:pPr>
        <w:pStyle w:val="a"/>
        <w:numPr>
          <w:ilvl w:val="0"/>
          <w:numId w:val="0"/>
        </w:numPr>
        <w:spacing w:before="0" w:after="0"/>
        <w:ind w:firstLine="709"/>
        <w:jc w:val="both"/>
        <w:rPr>
          <w:color w:val="auto"/>
        </w:rPr>
      </w:pPr>
      <w:r>
        <w:t>З</w:t>
      </w:r>
      <w:r w:rsidR="00701D6B">
        <w:t xml:space="preserve">а отчетный период </w:t>
      </w:r>
      <w:r w:rsidR="00E657E5">
        <w:t>п</w:t>
      </w:r>
      <w:r w:rsidR="003854A4" w:rsidRPr="00701D6B">
        <w:rPr>
          <w:color w:val="auto"/>
        </w:rPr>
        <w:t xml:space="preserve">роведена экспертиза 45 нормативных правовых актов и проектов нормативных правовых актов (проекты законов КБР, Указов Главы КБР, постановлений, распоряжений Правительства КБР, проекты приказов министерства), </w:t>
      </w:r>
      <w:proofErr w:type="spellStart"/>
      <w:r w:rsidR="003854A4" w:rsidRPr="00701D6B">
        <w:rPr>
          <w:color w:val="auto"/>
        </w:rPr>
        <w:t>коррупциогенных</w:t>
      </w:r>
      <w:proofErr w:type="spellEnd"/>
      <w:r w:rsidR="003854A4" w:rsidRPr="00701D6B">
        <w:rPr>
          <w:color w:val="auto"/>
        </w:rPr>
        <w:t xml:space="preserve"> факторов не выявлено</w:t>
      </w:r>
      <w:r>
        <w:rPr>
          <w:color w:val="auto"/>
        </w:rPr>
        <w:t>.</w:t>
      </w:r>
    </w:p>
    <w:p w14:paraId="408BB9C8" w14:textId="794ADFAD" w:rsidR="00CB5310" w:rsidRPr="0077474D" w:rsidRDefault="00105C97" w:rsidP="0077474D">
      <w:pPr>
        <w:rPr>
          <w:color w:val="auto"/>
        </w:rPr>
      </w:pPr>
      <w:r w:rsidRPr="0077474D">
        <w:rPr>
          <w:color w:val="000000"/>
        </w:rPr>
        <w:t>В</w:t>
      </w:r>
      <w:r w:rsidR="00CB5310" w:rsidRPr="0077474D">
        <w:rPr>
          <w:color w:val="000000"/>
        </w:rPr>
        <w:t xml:space="preserve"> целях обеспечения возможности проведения независимой антикоррупционной экспертизы в соответствии со статьей 34-2. Закона Кабардино-Балкарской Республики от 3 августа 2002 года № 52-РЗ </w:t>
      </w:r>
      <w:r w:rsidR="006B3DF7" w:rsidRPr="0077474D">
        <w:rPr>
          <w:color w:val="000000"/>
        </w:rPr>
        <w:t>«</w:t>
      </w:r>
      <w:r w:rsidR="00CB5310" w:rsidRPr="0077474D">
        <w:rPr>
          <w:color w:val="000000"/>
        </w:rPr>
        <w:t>О правовых актах в Кабардино-Балкарской Республике</w:t>
      </w:r>
      <w:r w:rsidR="006B3DF7" w:rsidRPr="0077474D">
        <w:rPr>
          <w:color w:val="000000"/>
        </w:rPr>
        <w:t>»</w:t>
      </w:r>
      <w:r w:rsidR="00CB5310" w:rsidRPr="0077474D">
        <w:rPr>
          <w:color w:val="000000"/>
        </w:rPr>
        <w:t xml:space="preserve"> и постановлением Правительства КБР от 11.08.2010 № 163-ПП </w:t>
      </w:r>
      <w:r w:rsidR="006B3DF7" w:rsidRPr="0077474D">
        <w:rPr>
          <w:color w:val="000000"/>
        </w:rPr>
        <w:t>«</w:t>
      </w:r>
      <w:r w:rsidR="00CB5310" w:rsidRPr="0077474D">
        <w:rPr>
          <w:color w:val="000000"/>
        </w:rPr>
        <w:t xml:space="preserve">О Порядке проведения антикоррупционной экспертизы нормативных правовых актов и проектов нормативных правовых актов Правительства Кабардино-Балкарской Республики размещены на официальном сайте в информационно-телекоммуникационной сети </w:t>
      </w:r>
      <w:r w:rsidR="006B3DF7" w:rsidRPr="0077474D">
        <w:rPr>
          <w:color w:val="000000"/>
        </w:rPr>
        <w:t>«</w:t>
      </w:r>
      <w:r w:rsidR="00CB5310" w:rsidRPr="0077474D">
        <w:rPr>
          <w:color w:val="000000"/>
        </w:rPr>
        <w:t>Интернет</w:t>
      </w:r>
      <w:r w:rsidR="006B3DF7" w:rsidRPr="0077474D">
        <w:rPr>
          <w:color w:val="000000"/>
        </w:rPr>
        <w:t>»</w:t>
      </w:r>
      <w:r w:rsidR="00CB5310" w:rsidRPr="0077474D">
        <w:rPr>
          <w:color w:val="000000"/>
        </w:rPr>
        <w:t xml:space="preserve"> тексты подготовленных 38 проектов нормативных правовых актов с указанием срока и электронного адреса для приема сообщений о замечаниях и предложениях к ним</w:t>
      </w:r>
      <w:r w:rsidRPr="0077474D">
        <w:rPr>
          <w:color w:val="000000"/>
        </w:rPr>
        <w:t>.</w:t>
      </w:r>
    </w:p>
    <w:p w14:paraId="4B630C4A" w14:textId="77777777" w:rsidR="00890D36" w:rsidRPr="0077474D" w:rsidRDefault="00105C97" w:rsidP="0077474D">
      <w:pPr>
        <w:rPr>
          <w:color w:val="auto"/>
        </w:rPr>
      </w:pPr>
      <w:r w:rsidRPr="0077474D">
        <w:rPr>
          <w:color w:val="auto"/>
        </w:rPr>
        <w:t>В</w:t>
      </w:r>
      <w:r w:rsidR="00701D6B" w:rsidRPr="0077474D">
        <w:rPr>
          <w:color w:val="auto"/>
        </w:rPr>
        <w:t xml:space="preserve"> рабочем режиме </w:t>
      </w:r>
      <w:r w:rsidR="00F1221F" w:rsidRPr="0077474D">
        <w:rPr>
          <w:color w:val="auto"/>
        </w:rPr>
        <w:t>проводятся консультации</w:t>
      </w:r>
      <w:r w:rsidR="003271A8" w:rsidRPr="0077474D">
        <w:rPr>
          <w:color w:val="auto"/>
        </w:rPr>
        <w:t>, семинары, опросы, тестирования</w:t>
      </w:r>
      <w:r w:rsidR="00F1221F" w:rsidRPr="0077474D">
        <w:rPr>
          <w:color w:val="auto"/>
        </w:rPr>
        <w:t xml:space="preserve"> служащих министерства</w:t>
      </w:r>
      <w:r w:rsidR="003271A8" w:rsidRPr="0077474D">
        <w:rPr>
          <w:color w:val="auto"/>
        </w:rPr>
        <w:t xml:space="preserve"> с целью повышения уровня знаний в области антикоррупционного законодательства</w:t>
      </w:r>
      <w:r w:rsidR="006F76C9" w:rsidRPr="0077474D">
        <w:rPr>
          <w:color w:val="auto"/>
        </w:rPr>
        <w:t xml:space="preserve"> и </w:t>
      </w:r>
      <w:r w:rsidR="00D8042B" w:rsidRPr="0077474D">
        <w:rPr>
          <w:color w:val="auto"/>
        </w:rPr>
        <w:t xml:space="preserve">контроля за </w:t>
      </w:r>
      <w:r w:rsidR="00F1221F" w:rsidRPr="0077474D">
        <w:rPr>
          <w:color w:val="auto"/>
        </w:rPr>
        <w:t>исполнени</w:t>
      </w:r>
      <w:r w:rsidR="00D8042B" w:rsidRPr="0077474D">
        <w:rPr>
          <w:color w:val="auto"/>
        </w:rPr>
        <w:t>ем</w:t>
      </w:r>
      <w:r w:rsidR="00F1221F" w:rsidRPr="0077474D">
        <w:rPr>
          <w:color w:val="auto"/>
        </w:rPr>
        <w:t xml:space="preserve"> законодательно установленных антикоррупционных обязанностей гражданских служащих</w:t>
      </w:r>
      <w:r w:rsidR="00890D36" w:rsidRPr="0077474D">
        <w:rPr>
          <w:color w:val="auto"/>
        </w:rPr>
        <w:t>:</w:t>
      </w:r>
    </w:p>
    <w:p w14:paraId="31DB5C88" w14:textId="77777777" w:rsidR="00890D36" w:rsidRPr="00890D36" w:rsidRDefault="005C3E07" w:rsidP="006B3DF7">
      <w:pPr>
        <w:pStyle w:val="a"/>
        <w:numPr>
          <w:ilvl w:val="0"/>
          <w:numId w:val="0"/>
        </w:numPr>
        <w:spacing w:before="0" w:after="0"/>
        <w:ind w:firstLine="709"/>
        <w:jc w:val="both"/>
        <w:rPr>
          <w:color w:val="auto"/>
        </w:rPr>
      </w:pPr>
      <w:r>
        <w:rPr>
          <w:color w:val="auto"/>
        </w:rPr>
        <w:t>в</w:t>
      </w:r>
      <w:r w:rsidR="0031144A">
        <w:rPr>
          <w:color w:val="auto"/>
        </w:rPr>
        <w:t xml:space="preserve"> </w:t>
      </w:r>
      <w:r w:rsidR="006F1914">
        <w:rPr>
          <w:color w:val="auto"/>
        </w:rPr>
        <w:t>период декларационной кампании</w:t>
      </w:r>
      <w:r w:rsidR="00890D36" w:rsidRPr="00890D36">
        <w:rPr>
          <w:color w:val="auto"/>
        </w:rPr>
        <w:t xml:space="preserve"> проведены консультации по вопросам заполнени</w:t>
      </w:r>
      <w:r w:rsidR="00890D36">
        <w:rPr>
          <w:color w:val="auto"/>
        </w:rPr>
        <w:t>я</w:t>
      </w:r>
      <w:r w:rsidR="00890D36" w:rsidRPr="00890D36">
        <w:rPr>
          <w:color w:val="auto"/>
        </w:rPr>
        <w:t xml:space="preserve"> справок о доходах, расходах, имуществе и обязательствах имущественного характера в рамках декларационной кампании, разъяснительная работа по изменениям законодательства и НПА; о дополнительных обязанностях в рамках противодействия коррупции при переводе служащих на другие должности госслужбы; а также при поступлении сотрудников на государственную службу впервые</w:t>
      </w:r>
      <w:r w:rsidR="00890D36">
        <w:rPr>
          <w:color w:val="auto"/>
        </w:rPr>
        <w:t>;</w:t>
      </w:r>
    </w:p>
    <w:p w14:paraId="4779AB97" w14:textId="77777777" w:rsidR="00890D36" w:rsidRPr="00890D36" w:rsidRDefault="00890D36" w:rsidP="006B3DF7">
      <w:pPr>
        <w:pStyle w:val="a"/>
        <w:numPr>
          <w:ilvl w:val="0"/>
          <w:numId w:val="0"/>
        </w:numPr>
        <w:spacing w:before="0" w:after="0"/>
        <w:ind w:firstLine="709"/>
        <w:jc w:val="both"/>
        <w:rPr>
          <w:color w:val="auto"/>
        </w:rPr>
      </w:pPr>
      <w:r>
        <w:rPr>
          <w:color w:val="auto"/>
        </w:rPr>
        <w:t>в</w:t>
      </w:r>
      <w:r w:rsidRPr="00890D36">
        <w:rPr>
          <w:color w:val="auto"/>
        </w:rPr>
        <w:t xml:space="preserve"> октябре проведен семинар по результатам декларационной кампании за 202</w:t>
      </w:r>
      <w:r w:rsidR="006F1914">
        <w:rPr>
          <w:color w:val="auto"/>
        </w:rPr>
        <w:t>5</w:t>
      </w:r>
      <w:r w:rsidRPr="00890D36">
        <w:rPr>
          <w:color w:val="auto"/>
        </w:rPr>
        <w:t xml:space="preserve"> год и иным обязанностям госслужащих в рамках требований антикоррупционного законодательства</w:t>
      </w:r>
      <w:r>
        <w:rPr>
          <w:color w:val="auto"/>
        </w:rPr>
        <w:t>, р</w:t>
      </w:r>
      <w:r w:rsidRPr="00890D36">
        <w:rPr>
          <w:color w:val="auto"/>
        </w:rPr>
        <w:t>ассмотрены часто повторяющиеся ошибки и нарушения, допускаемые служащими при представлении сведений; инструктивно-методические материалы по отдельным вопросам применения статьи 8.2 Федерального закона от 25.12.2008 № 273-ФЗ о контроле за законностью получения денежных средств; обзор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color w:val="auto"/>
        </w:rPr>
        <w:t>;</w:t>
      </w:r>
    </w:p>
    <w:p w14:paraId="21B8A60F" w14:textId="7A0E1502" w:rsidR="00F1221F" w:rsidRPr="00E657E5" w:rsidRDefault="00890D36" w:rsidP="006B3DF7">
      <w:pPr>
        <w:pStyle w:val="a"/>
        <w:numPr>
          <w:ilvl w:val="0"/>
          <w:numId w:val="0"/>
        </w:numPr>
        <w:spacing w:before="0" w:after="0"/>
        <w:ind w:firstLine="709"/>
        <w:jc w:val="both"/>
        <w:rPr>
          <w:color w:val="auto"/>
        </w:rPr>
      </w:pPr>
      <w:r>
        <w:rPr>
          <w:color w:val="auto"/>
        </w:rPr>
        <w:t>в</w:t>
      </w:r>
      <w:r w:rsidRPr="00890D36">
        <w:rPr>
          <w:color w:val="auto"/>
        </w:rPr>
        <w:t xml:space="preserve"> соответствии с требованиями действующего законодательства проведена работа по приему сведений о доходах, расходах, об имуществе и обязательствах имущественного характера (далее</w:t>
      </w:r>
      <w:r w:rsidR="00352B5D">
        <w:rPr>
          <w:color w:val="auto"/>
        </w:rPr>
        <w:t xml:space="preserve"> </w:t>
      </w:r>
      <w:r w:rsidRPr="00890D36">
        <w:rPr>
          <w:color w:val="auto"/>
        </w:rPr>
        <w:t>-</w:t>
      </w:r>
      <w:r w:rsidR="00352B5D">
        <w:rPr>
          <w:color w:val="auto"/>
        </w:rPr>
        <w:t xml:space="preserve"> </w:t>
      </w:r>
      <w:r w:rsidRPr="00890D36">
        <w:rPr>
          <w:color w:val="auto"/>
        </w:rPr>
        <w:t>Сведения), представляемых гражданскими служащими Мин</w:t>
      </w:r>
      <w:r w:rsidR="00016E54">
        <w:rPr>
          <w:color w:val="auto"/>
        </w:rPr>
        <w:t>истерства</w:t>
      </w:r>
      <w:r w:rsidRPr="00890D36">
        <w:rPr>
          <w:color w:val="auto"/>
        </w:rPr>
        <w:t>. Обеспечен контроль за своевременностью представления указанных сведений, в соответствии с планом проведен анализ полученных сведений, подготовлен</w:t>
      </w:r>
      <w:r>
        <w:rPr>
          <w:color w:val="auto"/>
        </w:rPr>
        <w:t xml:space="preserve"> доклад</w:t>
      </w:r>
      <w:r w:rsidRPr="00890D36">
        <w:rPr>
          <w:color w:val="auto"/>
        </w:rPr>
        <w:t xml:space="preserve"> руководителю о результатах декларационной кампании</w:t>
      </w:r>
      <w:r>
        <w:rPr>
          <w:color w:val="auto"/>
        </w:rPr>
        <w:t>;</w:t>
      </w:r>
      <w:r w:rsidR="00312865">
        <w:rPr>
          <w:color w:val="auto"/>
        </w:rPr>
        <w:t xml:space="preserve"> </w:t>
      </w:r>
      <w:r w:rsidR="005018B7">
        <w:t>п</w:t>
      </w:r>
      <w:r w:rsidR="005018B7" w:rsidRPr="005018B7">
        <w:rPr>
          <w:color w:val="auto"/>
        </w:rPr>
        <w:t>о итогам анализа сведений, представленных в рамках декларационной кампании 2025 года, по решению представителя нанимателя проведено три проверки достоверности и полноты сведений, представленных гражданскими служащими, по двум проверкам материалы переданы на рассмотрение Комиссии</w:t>
      </w:r>
      <w:r w:rsidR="00105C97">
        <w:rPr>
          <w:color w:val="auto"/>
        </w:rPr>
        <w:t>.</w:t>
      </w:r>
    </w:p>
    <w:p w14:paraId="43C75DFF" w14:textId="77777777" w:rsidR="004B5886" w:rsidRPr="0077474D" w:rsidRDefault="00105C97" w:rsidP="0077474D">
      <w:pPr>
        <w:rPr>
          <w:color w:val="auto"/>
        </w:rPr>
      </w:pPr>
      <w:r w:rsidRPr="0077474D">
        <w:rPr>
          <w:color w:val="auto"/>
        </w:rPr>
        <w:t>О</w:t>
      </w:r>
      <w:r w:rsidR="00F1221F" w:rsidRPr="0077474D">
        <w:rPr>
          <w:color w:val="auto"/>
        </w:rPr>
        <w:t xml:space="preserve">беспечивается работа Комиссии Министерства финансов КБР по соблюдению требований к служебному поведению государственных гражданских служащих и урегулированию конфликта интересов; </w:t>
      </w:r>
      <w:r w:rsidR="004B5886" w:rsidRPr="0077474D">
        <w:rPr>
          <w:color w:val="auto"/>
        </w:rPr>
        <w:t>рассмотрены материалы проведенных проверок достоверности и полноты сведений, представленных в период декларацион</w:t>
      </w:r>
      <w:r w:rsidR="00605D25" w:rsidRPr="0077474D">
        <w:rPr>
          <w:color w:val="auto"/>
        </w:rPr>
        <w:t>н</w:t>
      </w:r>
      <w:r w:rsidR="004B5886" w:rsidRPr="0077474D">
        <w:rPr>
          <w:color w:val="auto"/>
        </w:rPr>
        <w:t>ой кампании 2025 года, а также поступившие уведомления от новых работодателей бывших государственных служащих, на предмет соблюдения требований к государственным служащим и предотвращения конфликта интересов.</w:t>
      </w:r>
    </w:p>
    <w:p w14:paraId="526DE397" w14:textId="7D0612D8" w:rsidR="00F1221F" w:rsidRPr="0077474D" w:rsidRDefault="00105C97" w:rsidP="0077474D">
      <w:pPr>
        <w:rPr>
          <w:color w:val="auto"/>
        </w:rPr>
      </w:pPr>
      <w:r w:rsidRPr="0077474D">
        <w:rPr>
          <w:color w:val="auto"/>
        </w:rPr>
        <w:t>П</w:t>
      </w:r>
      <w:r w:rsidR="005877A6" w:rsidRPr="0077474D">
        <w:rPr>
          <w:color w:val="auto"/>
        </w:rPr>
        <w:t>роводятся совместные</w:t>
      </w:r>
      <w:r w:rsidR="00F1221F" w:rsidRPr="0077474D">
        <w:rPr>
          <w:color w:val="auto"/>
        </w:rPr>
        <w:t xml:space="preserve"> заседания</w:t>
      </w:r>
      <w:r w:rsidR="00047BAD" w:rsidRPr="0077474D">
        <w:rPr>
          <w:color w:val="auto"/>
        </w:rPr>
        <w:t xml:space="preserve"> </w:t>
      </w:r>
      <w:r w:rsidR="006F76C9" w:rsidRPr="0077474D">
        <w:rPr>
          <w:color w:val="auto"/>
        </w:rPr>
        <w:t>представителей министерства и</w:t>
      </w:r>
      <w:r w:rsidR="00F1221F" w:rsidRPr="0077474D">
        <w:rPr>
          <w:color w:val="auto"/>
        </w:rPr>
        <w:t xml:space="preserve"> Общественн</w:t>
      </w:r>
      <w:r w:rsidR="006F76C9" w:rsidRPr="0077474D">
        <w:rPr>
          <w:color w:val="auto"/>
        </w:rPr>
        <w:t>ого</w:t>
      </w:r>
      <w:r w:rsidR="00F1221F" w:rsidRPr="0077474D">
        <w:rPr>
          <w:color w:val="auto"/>
        </w:rPr>
        <w:t xml:space="preserve"> совет</w:t>
      </w:r>
      <w:r w:rsidR="006F76C9" w:rsidRPr="0077474D">
        <w:rPr>
          <w:color w:val="auto"/>
        </w:rPr>
        <w:t>а</w:t>
      </w:r>
      <w:r w:rsidR="00F1221F" w:rsidRPr="0077474D">
        <w:rPr>
          <w:color w:val="auto"/>
        </w:rPr>
        <w:t xml:space="preserve"> при Министерстве финансов КБР</w:t>
      </w:r>
      <w:r w:rsidR="00047BAD" w:rsidRPr="0077474D">
        <w:rPr>
          <w:color w:val="auto"/>
        </w:rPr>
        <w:t xml:space="preserve"> </w:t>
      </w:r>
      <w:r w:rsidR="006F76C9">
        <w:t xml:space="preserve">с целью </w:t>
      </w:r>
      <w:r w:rsidR="006F76C9" w:rsidRPr="0077474D">
        <w:rPr>
          <w:color w:val="auto"/>
        </w:rPr>
        <w:t xml:space="preserve">рассмотрения результатов </w:t>
      </w:r>
      <w:r w:rsidR="0010003D" w:rsidRPr="0077474D">
        <w:rPr>
          <w:color w:val="auto"/>
        </w:rPr>
        <w:t xml:space="preserve">реализации показателей подпрограммы </w:t>
      </w:r>
      <w:r w:rsidR="006B3DF7" w:rsidRPr="0077474D">
        <w:rPr>
          <w:color w:val="auto"/>
        </w:rPr>
        <w:t>«</w:t>
      </w:r>
      <w:r w:rsidR="0010003D" w:rsidRPr="0077474D">
        <w:rPr>
          <w:color w:val="auto"/>
        </w:rPr>
        <w:t>Противодействие коррупции</w:t>
      </w:r>
      <w:r w:rsidR="006B3DF7" w:rsidRPr="0077474D">
        <w:rPr>
          <w:color w:val="auto"/>
        </w:rPr>
        <w:t>»</w:t>
      </w:r>
      <w:r w:rsidR="0010003D" w:rsidRPr="0077474D">
        <w:rPr>
          <w:color w:val="auto"/>
        </w:rPr>
        <w:t xml:space="preserve"> государственной программы </w:t>
      </w:r>
      <w:r w:rsidR="006B3DF7" w:rsidRPr="0077474D">
        <w:rPr>
          <w:color w:val="auto"/>
        </w:rPr>
        <w:t>«</w:t>
      </w:r>
      <w:r w:rsidR="0010003D" w:rsidRPr="0077474D">
        <w:rPr>
          <w:color w:val="auto"/>
        </w:rPr>
        <w:t>Профилактика правонарушений и укрепление общественного порядка и общественной безопасности в КБР</w:t>
      </w:r>
      <w:r w:rsidR="006B3DF7" w:rsidRPr="0077474D">
        <w:rPr>
          <w:color w:val="auto"/>
        </w:rPr>
        <w:t>»</w:t>
      </w:r>
      <w:r w:rsidR="0010003D" w:rsidRPr="0077474D">
        <w:rPr>
          <w:color w:val="auto"/>
        </w:rPr>
        <w:t xml:space="preserve"> и </w:t>
      </w:r>
      <w:r w:rsidR="006F76C9" w:rsidRPr="0077474D">
        <w:rPr>
          <w:color w:val="auto"/>
        </w:rPr>
        <w:t>запланированных мероприятий ведомственного плана по противодействию коррупции</w:t>
      </w:r>
      <w:r w:rsidR="00F1221F" w:rsidRPr="0077474D">
        <w:rPr>
          <w:color w:val="auto"/>
        </w:rPr>
        <w:t>;</w:t>
      </w:r>
      <w:r w:rsidR="0010003D" w:rsidRPr="0077474D">
        <w:rPr>
          <w:color w:val="auto"/>
        </w:rPr>
        <w:t xml:space="preserve"> информации по обращениям граждан; контрольных мероприятий</w:t>
      </w:r>
      <w:r w:rsidRPr="0077474D">
        <w:rPr>
          <w:color w:val="auto"/>
        </w:rPr>
        <w:t>.</w:t>
      </w:r>
    </w:p>
    <w:p w14:paraId="5CC0FD88" w14:textId="77777777" w:rsidR="00FB5668" w:rsidRPr="0077474D" w:rsidRDefault="00105C97" w:rsidP="0077474D">
      <w:pPr>
        <w:rPr>
          <w:color w:val="auto"/>
        </w:rPr>
      </w:pPr>
      <w:r w:rsidRPr="0077474D">
        <w:rPr>
          <w:color w:val="auto"/>
        </w:rPr>
        <w:t>П</w:t>
      </w:r>
      <w:r w:rsidR="00D8042B" w:rsidRPr="0077474D">
        <w:rPr>
          <w:color w:val="auto"/>
        </w:rPr>
        <w:t xml:space="preserve">рименяется система конкурсного </w:t>
      </w:r>
      <w:r w:rsidR="00FD21FA" w:rsidRPr="0077474D">
        <w:rPr>
          <w:color w:val="auto"/>
        </w:rPr>
        <w:t xml:space="preserve">подбора и расстановки кадров </w:t>
      </w:r>
      <w:r w:rsidR="00D8042B" w:rsidRPr="0077474D">
        <w:rPr>
          <w:color w:val="auto"/>
        </w:rPr>
        <w:t>на гражданск</w:t>
      </w:r>
      <w:r w:rsidR="00FD21FA" w:rsidRPr="0077474D">
        <w:rPr>
          <w:color w:val="auto"/>
        </w:rPr>
        <w:t>ой</w:t>
      </w:r>
      <w:r w:rsidR="00D8042B" w:rsidRPr="0077474D">
        <w:rPr>
          <w:color w:val="auto"/>
        </w:rPr>
        <w:t xml:space="preserve"> служб</w:t>
      </w:r>
      <w:r w:rsidR="00FD21FA" w:rsidRPr="0077474D">
        <w:rPr>
          <w:color w:val="auto"/>
        </w:rPr>
        <w:t>е</w:t>
      </w:r>
      <w:r w:rsidR="00D8042B" w:rsidRPr="0077474D">
        <w:rPr>
          <w:color w:val="auto"/>
        </w:rPr>
        <w:t xml:space="preserve">, а также оценка профессионального уровня кандидатов при назначении без конкурса </w:t>
      </w:r>
      <w:r w:rsidR="00E67DB8" w:rsidRPr="0077474D">
        <w:rPr>
          <w:color w:val="auto"/>
        </w:rPr>
        <w:t xml:space="preserve">в случаях, предусмотренных законодательством, </w:t>
      </w:r>
      <w:r w:rsidR="00D8042B" w:rsidRPr="0077474D">
        <w:rPr>
          <w:color w:val="auto"/>
        </w:rPr>
        <w:t>с обязательной проверкой сведений (документов), представленных кандидатами.</w:t>
      </w:r>
      <w:r w:rsidR="00151E91" w:rsidRPr="0077474D">
        <w:rPr>
          <w:color w:val="auto"/>
        </w:rPr>
        <w:t xml:space="preserve"> </w:t>
      </w:r>
      <w:r w:rsidR="004C49D3" w:rsidRPr="0077474D">
        <w:rPr>
          <w:color w:val="auto"/>
        </w:rPr>
        <w:t xml:space="preserve">Информация о проведении конкурсов размещается в открытом доступе для граждан на интернет-портале Правительства КБР и </w:t>
      </w:r>
      <w:r w:rsidR="00D815D5" w:rsidRPr="0077474D">
        <w:rPr>
          <w:color w:val="auto"/>
        </w:rPr>
        <w:t xml:space="preserve">в </w:t>
      </w:r>
      <w:r w:rsidR="004C49D3" w:rsidRPr="0077474D">
        <w:rPr>
          <w:color w:val="auto"/>
        </w:rPr>
        <w:t>Един</w:t>
      </w:r>
      <w:r w:rsidR="00D815D5" w:rsidRPr="0077474D">
        <w:rPr>
          <w:color w:val="auto"/>
        </w:rPr>
        <w:t>ой</w:t>
      </w:r>
      <w:r w:rsidR="004C49D3" w:rsidRPr="0077474D">
        <w:rPr>
          <w:color w:val="auto"/>
        </w:rPr>
        <w:t xml:space="preserve"> информационн</w:t>
      </w:r>
      <w:r w:rsidR="00D815D5" w:rsidRPr="0077474D">
        <w:rPr>
          <w:color w:val="auto"/>
        </w:rPr>
        <w:t>ой</w:t>
      </w:r>
      <w:r w:rsidR="004C49D3" w:rsidRPr="0077474D">
        <w:rPr>
          <w:color w:val="auto"/>
        </w:rPr>
        <w:t xml:space="preserve"> систем</w:t>
      </w:r>
      <w:r w:rsidR="00D815D5" w:rsidRPr="0077474D">
        <w:rPr>
          <w:color w:val="auto"/>
        </w:rPr>
        <w:t>е</w:t>
      </w:r>
      <w:r w:rsidR="004C49D3" w:rsidRPr="0077474D">
        <w:rPr>
          <w:color w:val="auto"/>
        </w:rPr>
        <w:t xml:space="preserve"> управления кадровым составом государственной гражданской службы Российской Федерации.</w:t>
      </w:r>
      <w:r w:rsidR="00151E91" w:rsidRPr="0077474D">
        <w:rPr>
          <w:color w:val="auto"/>
        </w:rPr>
        <w:t xml:space="preserve"> </w:t>
      </w:r>
      <w:r w:rsidR="006D6FC6" w:rsidRPr="0077474D">
        <w:rPr>
          <w:color w:val="auto"/>
        </w:rPr>
        <w:t xml:space="preserve">В состав конкурсной комиссии включены независимые эксперты. В 2025 году объявлено 4 конкурса на замещение вакантных должностей, состоялось 2 конкурса, победители назначены на </w:t>
      </w:r>
      <w:r w:rsidR="00FB5668" w:rsidRPr="0077474D">
        <w:rPr>
          <w:color w:val="auto"/>
        </w:rPr>
        <w:t xml:space="preserve">вакантные </w:t>
      </w:r>
      <w:r w:rsidR="006D6FC6" w:rsidRPr="0077474D">
        <w:rPr>
          <w:color w:val="auto"/>
        </w:rPr>
        <w:t>должност</w:t>
      </w:r>
      <w:r w:rsidR="00FB5668" w:rsidRPr="0077474D">
        <w:rPr>
          <w:color w:val="auto"/>
        </w:rPr>
        <w:t>и</w:t>
      </w:r>
      <w:r w:rsidRPr="0077474D">
        <w:rPr>
          <w:color w:val="auto"/>
        </w:rPr>
        <w:t>.</w:t>
      </w:r>
    </w:p>
    <w:p w14:paraId="72CB36E6" w14:textId="7372BCDA" w:rsidR="00F1221F" w:rsidRPr="0077474D" w:rsidRDefault="00105C97" w:rsidP="0077474D">
      <w:pPr>
        <w:rPr>
          <w:color w:val="auto"/>
        </w:rPr>
      </w:pPr>
      <w:r w:rsidRPr="0077474D">
        <w:rPr>
          <w:color w:val="auto"/>
        </w:rPr>
        <w:t>Д</w:t>
      </w:r>
      <w:r w:rsidR="00F1221F" w:rsidRPr="0077474D">
        <w:rPr>
          <w:color w:val="auto"/>
        </w:rPr>
        <w:t>ля повышения информированности сотрудников Мин</w:t>
      </w:r>
      <w:r w:rsidR="00016E54" w:rsidRPr="0077474D">
        <w:rPr>
          <w:color w:val="auto"/>
        </w:rPr>
        <w:t>истерства</w:t>
      </w:r>
      <w:r w:rsidR="00F1221F" w:rsidRPr="0077474D">
        <w:rPr>
          <w:color w:val="auto"/>
        </w:rPr>
        <w:t xml:space="preserve"> о мерах по противодействию коррупции, на стендах в здании министерства </w:t>
      </w:r>
      <w:r w:rsidR="000D1BFE" w:rsidRPr="0077474D">
        <w:rPr>
          <w:color w:val="auto"/>
        </w:rPr>
        <w:t xml:space="preserve">и на сайте в сети Интернет </w:t>
      </w:r>
      <w:r w:rsidR="00F1221F" w:rsidRPr="0077474D">
        <w:rPr>
          <w:color w:val="auto"/>
        </w:rPr>
        <w:t>размещена и поддерживается в актуальном состоянии информация:</w:t>
      </w:r>
      <w:r w:rsidR="00326D6E" w:rsidRPr="0077474D">
        <w:rPr>
          <w:color w:val="auto"/>
        </w:rPr>
        <w:t xml:space="preserve"> о</w:t>
      </w:r>
      <w:r w:rsidR="000D1BFE" w:rsidRPr="0077474D">
        <w:rPr>
          <w:color w:val="auto"/>
        </w:rPr>
        <w:t xml:space="preserve">б изменениях в Федеральный закон от 25.12.2008 </w:t>
      </w:r>
      <w:r w:rsidR="00890D36" w:rsidRPr="0077474D">
        <w:rPr>
          <w:color w:val="auto"/>
        </w:rPr>
        <w:t>№</w:t>
      </w:r>
      <w:r w:rsidR="000D1BFE" w:rsidRPr="0077474D">
        <w:rPr>
          <w:color w:val="auto"/>
        </w:rPr>
        <w:t xml:space="preserve"> 273-ФЗ (ред. от 28.12.2025) </w:t>
      </w:r>
      <w:r w:rsidR="006B3DF7" w:rsidRPr="0077474D">
        <w:rPr>
          <w:color w:val="auto"/>
        </w:rPr>
        <w:t>«</w:t>
      </w:r>
      <w:r w:rsidR="000D1BFE" w:rsidRPr="0077474D">
        <w:rPr>
          <w:color w:val="auto"/>
        </w:rPr>
        <w:t>О противодействии коррупции</w:t>
      </w:r>
      <w:r w:rsidR="006B3DF7" w:rsidRPr="0077474D">
        <w:rPr>
          <w:color w:val="auto"/>
        </w:rPr>
        <w:t>»</w:t>
      </w:r>
      <w:r w:rsidR="00326D6E" w:rsidRPr="0077474D">
        <w:rPr>
          <w:color w:val="auto"/>
        </w:rPr>
        <w:t xml:space="preserve">; </w:t>
      </w:r>
      <w:r w:rsidR="000D1BFE" w:rsidRPr="0077474D">
        <w:rPr>
          <w:color w:val="auto"/>
        </w:rPr>
        <w:t xml:space="preserve">Памятки о конфликте интересов на государственной и муниципальной службе; </w:t>
      </w:r>
      <w:r w:rsidR="00F1221F" w:rsidRPr="0077474D">
        <w:rPr>
          <w:color w:val="auto"/>
        </w:rPr>
        <w:t xml:space="preserve"> государственному гражданскому служащему, планирующему увольнение с гос</w:t>
      </w:r>
      <w:r w:rsidR="00B13A04" w:rsidRPr="0077474D">
        <w:rPr>
          <w:color w:val="auto"/>
        </w:rPr>
        <w:t>ударственной гражданской службы</w:t>
      </w:r>
      <w:r w:rsidR="00AF524E" w:rsidRPr="0077474D">
        <w:rPr>
          <w:color w:val="auto"/>
        </w:rPr>
        <w:t>;</w:t>
      </w:r>
      <w:r w:rsidR="00200204" w:rsidRPr="0077474D">
        <w:rPr>
          <w:color w:val="auto"/>
        </w:rPr>
        <w:t xml:space="preserve"> </w:t>
      </w:r>
      <w:r w:rsidR="00F1221F" w:rsidRPr="0077474D">
        <w:rPr>
          <w:color w:val="auto"/>
        </w:rPr>
        <w:t>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sidR="00AF524E" w:rsidRPr="0077474D">
        <w:rPr>
          <w:color w:val="auto"/>
        </w:rPr>
        <w:t>;</w:t>
      </w:r>
      <w:r w:rsidR="000D1BFE" w:rsidRPr="0077474D">
        <w:rPr>
          <w:color w:val="auto"/>
        </w:rPr>
        <w:t xml:space="preserve"> о порядке уведомления государственными гражданскими служащими, об иной оплачиваемой работе;</w:t>
      </w:r>
      <w:r w:rsidR="009B4E24" w:rsidRPr="0077474D">
        <w:rPr>
          <w:color w:val="auto"/>
        </w:rPr>
        <w:t xml:space="preserve"> </w:t>
      </w:r>
      <w:r w:rsidR="00F1221F" w:rsidRPr="0077474D">
        <w:rPr>
          <w:color w:val="auto"/>
        </w:rPr>
        <w:t>Международный опыт борьбы с коррупцией</w:t>
      </w:r>
      <w:r w:rsidR="00EB2D9D" w:rsidRPr="0077474D">
        <w:rPr>
          <w:color w:val="auto"/>
        </w:rPr>
        <w:t>.</w:t>
      </w:r>
    </w:p>
    <w:p w14:paraId="7906165A" w14:textId="77777777" w:rsidR="006B0826" w:rsidRPr="009B4E24" w:rsidRDefault="006B0826" w:rsidP="0077474D">
      <w:r w:rsidRPr="009B4E24">
        <w:t>В отчетном периоде курсы повышения квалификации по противодействию коррупции прошли два сотрудника министерства в должностные обязанности которых входит участие в противодействии коррупции и участие в проведении закупок товаров, работ, услуг для обеспечения государственных и муниципальных нужд.</w:t>
      </w:r>
    </w:p>
    <w:p w14:paraId="567031CA" w14:textId="77777777" w:rsidR="0077474D" w:rsidRDefault="00105C97" w:rsidP="0077474D">
      <w:pPr>
        <w:rPr>
          <w:color w:val="auto"/>
        </w:rPr>
      </w:pPr>
      <w:r w:rsidRPr="0077474D">
        <w:rPr>
          <w:color w:val="auto"/>
        </w:rPr>
        <w:t>В</w:t>
      </w:r>
      <w:r w:rsidR="00957E2A" w:rsidRPr="0077474D">
        <w:rPr>
          <w:color w:val="auto"/>
        </w:rPr>
        <w:t xml:space="preserve"> течени</w:t>
      </w:r>
      <w:r w:rsidR="00E96DD4" w:rsidRPr="0077474D">
        <w:rPr>
          <w:color w:val="auto"/>
        </w:rPr>
        <w:t>е</w:t>
      </w:r>
      <w:r w:rsidR="001700F2" w:rsidRPr="0077474D">
        <w:rPr>
          <w:color w:val="auto"/>
        </w:rPr>
        <w:t xml:space="preserve"> </w:t>
      </w:r>
      <w:r w:rsidR="00954DAD" w:rsidRPr="0077474D">
        <w:rPr>
          <w:color w:val="auto"/>
        </w:rPr>
        <w:t xml:space="preserve">всего отчетного периода </w:t>
      </w:r>
      <w:r w:rsidR="00671154" w:rsidRPr="0077474D">
        <w:rPr>
          <w:color w:val="auto"/>
        </w:rPr>
        <w:t>проводился</w:t>
      </w:r>
      <w:r w:rsidR="00954DAD" w:rsidRPr="0077474D">
        <w:rPr>
          <w:color w:val="auto"/>
        </w:rPr>
        <w:t xml:space="preserve"> к</w:t>
      </w:r>
      <w:r w:rsidR="00957E2A" w:rsidRPr="0077474D">
        <w:rPr>
          <w:color w:val="auto"/>
        </w:rPr>
        <w:t>онтроль за актуализацией сведений, содержащихся в личных делах гражданских служащих и лиц, замещающих государственные должности, в анкетах, представляемых при назначении на указанные должности, об их родственниках и свойственниках в целях выявления возможного конфликта интересов</w:t>
      </w:r>
      <w:r w:rsidR="00FD21FA" w:rsidRPr="0077474D">
        <w:rPr>
          <w:color w:val="auto"/>
        </w:rPr>
        <w:t>; проводилась проверка документов</w:t>
      </w:r>
      <w:r w:rsidR="00954DAD" w:rsidRPr="0077474D">
        <w:rPr>
          <w:color w:val="auto"/>
        </w:rPr>
        <w:t xml:space="preserve"> (в том числе личные данные, содержащиеся в анкетах) при формировании личных дел, актуализир</w:t>
      </w:r>
      <w:r w:rsidR="00671154" w:rsidRPr="0077474D">
        <w:rPr>
          <w:color w:val="auto"/>
        </w:rPr>
        <w:t>овались</w:t>
      </w:r>
      <w:r w:rsidR="00954DAD" w:rsidRPr="0077474D">
        <w:rPr>
          <w:color w:val="auto"/>
        </w:rPr>
        <w:t xml:space="preserve"> в случае изменения персональных данных, семейного положения, при переводе на другую должность, при участии в конкурсных процедурах и др. </w:t>
      </w:r>
      <w:r w:rsidR="00FD21FA" w:rsidRPr="0077474D">
        <w:rPr>
          <w:color w:val="auto"/>
        </w:rPr>
        <w:t>в соответствии с требованиями</w:t>
      </w:r>
      <w:r w:rsidR="00954DAD" w:rsidRPr="0077474D">
        <w:rPr>
          <w:color w:val="auto"/>
        </w:rPr>
        <w:t xml:space="preserve"> статьи 20.3 79-ФЗ </w:t>
      </w:r>
      <w:r w:rsidR="006B3DF7" w:rsidRPr="0077474D">
        <w:rPr>
          <w:color w:val="auto"/>
        </w:rPr>
        <w:t>«</w:t>
      </w:r>
      <w:r w:rsidR="00954DAD" w:rsidRPr="0077474D">
        <w:rPr>
          <w:color w:val="auto"/>
        </w:rPr>
        <w:t>О государственной гражданской службе РФ</w:t>
      </w:r>
      <w:r w:rsidR="006B3DF7" w:rsidRPr="0077474D">
        <w:rPr>
          <w:color w:val="auto"/>
        </w:rPr>
        <w:t>»</w:t>
      </w:r>
      <w:r w:rsidR="00954DAD" w:rsidRPr="0077474D">
        <w:rPr>
          <w:color w:val="auto"/>
        </w:rPr>
        <w:t>, устанавливающей обязанность госслужащего по сообщению в письменной форме представителю нанимателя о ставших ему известными изменениях сведений, содержащихся в анкете.</w:t>
      </w:r>
      <w:r w:rsidR="00FD21FA" w:rsidRPr="0077474D">
        <w:rPr>
          <w:color w:val="auto"/>
        </w:rPr>
        <w:t xml:space="preserve"> Формирование личных дел и учет сведений, содержащихся в них, ведется</w:t>
      </w:r>
      <w:r w:rsidR="00954DAD" w:rsidRPr="0077474D">
        <w:rPr>
          <w:color w:val="auto"/>
        </w:rPr>
        <w:t xml:space="preserve"> в </w:t>
      </w:r>
      <w:r w:rsidR="00FD21FA" w:rsidRPr="0077474D">
        <w:rPr>
          <w:color w:val="auto"/>
        </w:rPr>
        <w:t xml:space="preserve">федеральной </w:t>
      </w:r>
      <w:r w:rsidR="00954DAD" w:rsidRPr="0077474D">
        <w:rPr>
          <w:color w:val="auto"/>
        </w:rPr>
        <w:t xml:space="preserve">ГИС </w:t>
      </w:r>
      <w:r w:rsidR="006B3DF7" w:rsidRPr="0077474D">
        <w:rPr>
          <w:color w:val="auto"/>
        </w:rPr>
        <w:t>«</w:t>
      </w:r>
      <w:r w:rsidR="00954DAD" w:rsidRPr="0077474D">
        <w:rPr>
          <w:color w:val="auto"/>
        </w:rPr>
        <w:t>Управление кадровым составом государственной службы РФ</w:t>
      </w:r>
      <w:r w:rsidR="006B3DF7" w:rsidRPr="0077474D">
        <w:rPr>
          <w:color w:val="auto"/>
        </w:rPr>
        <w:t>»</w:t>
      </w:r>
      <w:r w:rsidR="00954DAD" w:rsidRPr="0077474D">
        <w:rPr>
          <w:color w:val="auto"/>
        </w:rPr>
        <w:t>.</w:t>
      </w:r>
    </w:p>
    <w:p w14:paraId="03DD03DA" w14:textId="779CD3A4" w:rsidR="00D4620F" w:rsidRPr="00D4620F" w:rsidRDefault="00D4620F" w:rsidP="0077474D">
      <w:pPr>
        <w:rPr>
          <w:color w:val="auto"/>
        </w:rPr>
      </w:pPr>
      <w:r w:rsidRPr="00D4620F">
        <w:rPr>
          <w:color w:val="auto"/>
        </w:rPr>
        <w:t>В Министерстве финансов КБР реализуется комплекс правовых и организационных мер по минимизации коррупционных рисков, учитывающий особенности коррупционных рисков, возникающих на разных уровнях принятия управленческих решений, включая:</w:t>
      </w:r>
    </w:p>
    <w:p w14:paraId="50E974FF" w14:textId="77777777" w:rsidR="00D4620F" w:rsidRPr="00D4620F" w:rsidRDefault="00D4620F" w:rsidP="006B3DF7">
      <w:pPr>
        <w:rPr>
          <w:color w:val="auto"/>
        </w:rPr>
      </w:pPr>
      <w:r w:rsidRPr="00D4620F">
        <w:rPr>
          <w:color w:val="auto"/>
        </w:rPr>
        <w:t>ограничение влияния человеческого фактора в процессе исполнения бюджета ведется в рамках информационной системы управления общественными финансами Кабардино-Балкарской Республики;</w:t>
      </w:r>
    </w:p>
    <w:p w14:paraId="273A3A52" w14:textId="77777777" w:rsidR="00D4620F" w:rsidRPr="00D4620F" w:rsidRDefault="00D4620F" w:rsidP="006B3DF7">
      <w:pPr>
        <w:rPr>
          <w:color w:val="auto"/>
        </w:rPr>
      </w:pPr>
      <w:r w:rsidRPr="00D4620F">
        <w:rPr>
          <w:color w:val="auto"/>
        </w:rPr>
        <w:t>применение системы управления закупками - работа на всероссийской площадке единой информационной системы в сфере закупок;</w:t>
      </w:r>
    </w:p>
    <w:p w14:paraId="7FDC33E7" w14:textId="5537302E" w:rsidR="00D4620F" w:rsidRPr="00D4620F" w:rsidRDefault="00D4620F" w:rsidP="006B3DF7">
      <w:pPr>
        <w:rPr>
          <w:color w:val="auto"/>
        </w:rPr>
      </w:pPr>
      <w:r w:rsidRPr="00D4620F">
        <w:rPr>
          <w:color w:val="auto"/>
        </w:rPr>
        <w:t>Порядок взаимодействия структурных подразделений Министерства финансов КБР при осуществлении закупок товаров, работ (услуг) в соответствии с Федеральным законом от 5 апреля 2013 г</w:t>
      </w:r>
      <w:r w:rsidR="00352B5D">
        <w:rPr>
          <w:color w:val="auto"/>
        </w:rPr>
        <w:t>ода</w:t>
      </w:r>
      <w:r w:rsidRPr="00D4620F">
        <w:rPr>
          <w:color w:val="auto"/>
        </w:rPr>
        <w:t xml:space="preserve"> № 44-ФЗ </w:t>
      </w:r>
      <w:r w:rsidR="006B3DF7">
        <w:rPr>
          <w:color w:val="auto"/>
        </w:rPr>
        <w:t>«</w:t>
      </w:r>
      <w:r w:rsidRPr="00D4620F">
        <w:rPr>
          <w:color w:val="auto"/>
        </w:rPr>
        <w:t>О контрактной системе в сфере закупок товаров, работ, услуг для обеспечения государственных и муниципальных нужд</w:t>
      </w:r>
      <w:r w:rsidR="006B3DF7">
        <w:rPr>
          <w:color w:val="auto"/>
        </w:rPr>
        <w:t>»</w:t>
      </w:r>
      <w:r w:rsidRPr="00D4620F">
        <w:rPr>
          <w:color w:val="auto"/>
        </w:rPr>
        <w:t>, направленный на обеспечение контроля за исполнением действующего законодательства и выявление личной заинтересованности государственных служащих и работников Министерства финансов КБР, которая может привести к конфликту интересов при осуществлении закупок; осуществляется контроль за ограничением возможности неоднократного проведения проверок в отношении подконтрольного субъекта одним и тем же специалистом.</w:t>
      </w:r>
    </w:p>
    <w:p w14:paraId="3DC01623" w14:textId="7619413D" w:rsidR="00FA0C2F" w:rsidRDefault="00FA0C2F" w:rsidP="006B3DF7">
      <w:pPr>
        <w:rPr>
          <w:color w:val="auto"/>
        </w:rPr>
      </w:pPr>
      <w:r w:rsidRPr="00FA0C2F">
        <w:rPr>
          <w:color w:val="auto"/>
        </w:rPr>
        <w:t>В отчетном периоде 82 контракта и прямых договора Мин</w:t>
      </w:r>
      <w:r w:rsidR="00016E54">
        <w:rPr>
          <w:color w:val="auto"/>
        </w:rPr>
        <w:t>истерства</w:t>
      </w:r>
      <w:r w:rsidRPr="00FA0C2F">
        <w:rPr>
          <w:color w:val="auto"/>
        </w:rPr>
        <w:t xml:space="preserve"> прошли контроль и согласование в отделе правового обеспечения и отделе финансового контроля, надзора и внутреннего аудита на предмет наличия возможного конфликта интересов и скрытой </w:t>
      </w:r>
      <w:proofErr w:type="spellStart"/>
      <w:r w:rsidRPr="00FA0C2F">
        <w:rPr>
          <w:color w:val="auto"/>
        </w:rPr>
        <w:t>аффилированности</w:t>
      </w:r>
      <w:proofErr w:type="spellEnd"/>
      <w:r w:rsidRPr="00FA0C2F">
        <w:rPr>
          <w:color w:val="auto"/>
        </w:rPr>
        <w:t xml:space="preserve"> при осуществлении закупок товаров. Нарушений и недостатков не выявлено.</w:t>
      </w:r>
    </w:p>
    <w:p w14:paraId="0D1E01E1" w14:textId="77777777" w:rsidR="00D4620F" w:rsidRPr="00D4620F" w:rsidRDefault="00D4620F" w:rsidP="006B3DF7">
      <w:pPr>
        <w:rPr>
          <w:color w:val="auto"/>
        </w:rPr>
      </w:pPr>
      <w:r w:rsidRPr="00D4620F">
        <w:rPr>
          <w:color w:val="auto"/>
        </w:rPr>
        <w:t xml:space="preserve">На официальном сайте Министерства финансов КБР размещен План контрольных мероприятий на 2025 год. </w:t>
      </w:r>
    </w:p>
    <w:p w14:paraId="533ABAF3" w14:textId="6F416089" w:rsidR="00105C97" w:rsidRDefault="00D4620F" w:rsidP="006B3DF7">
      <w:pPr>
        <w:rPr>
          <w:color w:val="auto"/>
        </w:rPr>
      </w:pPr>
      <w:r w:rsidRPr="00D4620F">
        <w:rPr>
          <w:color w:val="auto"/>
        </w:rPr>
        <w:t>В отчетной периоде</w:t>
      </w:r>
      <w:r w:rsidR="00F9794C">
        <w:rPr>
          <w:color w:val="auto"/>
        </w:rPr>
        <w:t>,</w:t>
      </w:r>
      <w:r w:rsidRPr="00D4620F">
        <w:rPr>
          <w:color w:val="auto"/>
        </w:rPr>
        <w:t xml:space="preserve"> завершено 4 плановых контрольных и 2 внеплановых</w:t>
      </w:r>
      <w:r w:rsidR="002F7FB1">
        <w:rPr>
          <w:color w:val="auto"/>
        </w:rPr>
        <w:t xml:space="preserve"> </w:t>
      </w:r>
      <w:r w:rsidRPr="00D4620F">
        <w:rPr>
          <w:color w:val="auto"/>
        </w:rPr>
        <w:t>мероприятия, по результатам которых в адрес объектов контроля направлены представления об устранении нарушений.</w:t>
      </w:r>
    </w:p>
    <w:p w14:paraId="0F22EE8C" w14:textId="6743B8C8" w:rsidR="00F9794C" w:rsidRPr="009B4E24" w:rsidRDefault="00105C97" w:rsidP="006B3DF7">
      <w:pPr>
        <w:contextualSpacing/>
      </w:pPr>
      <w:r>
        <w:rPr>
          <w:color w:val="auto"/>
          <w:shd w:val="clear" w:color="auto" w:fill="FFFFFF"/>
          <w:lang w:eastAsia="ru-RU"/>
        </w:rPr>
        <w:t>П</w:t>
      </w:r>
      <w:r w:rsidR="00F1221F" w:rsidRPr="00105C97">
        <w:rPr>
          <w:color w:val="auto"/>
        </w:rPr>
        <w:t>остоянно проводи</w:t>
      </w:r>
      <w:r w:rsidRPr="00105C97">
        <w:rPr>
          <w:color w:val="auto"/>
        </w:rPr>
        <w:t>тся</w:t>
      </w:r>
      <w:r w:rsidR="00F1221F" w:rsidRPr="00105C97">
        <w:rPr>
          <w:color w:val="auto"/>
        </w:rPr>
        <w:t xml:space="preserve"> работа с обращениями граждан и организаций.</w:t>
      </w:r>
      <w:r w:rsidR="002F7FB1">
        <w:rPr>
          <w:color w:val="auto"/>
        </w:rPr>
        <w:t xml:space="preserve"> </w:t>
      </w:r>
      <w:r w:rsidRPr="00105C97">
        <w:rPr>
          <w:color w:val="auto"/>
        </w:rPr>
        <w:t xml:space="preserve">Все обращения граждан и организаций, поступающие непосредственно в министерство, рассматриваются на предмет наличия в них сведений о фактах коррупции. </w:t>
      </w:r>
      <w:r w:rsidR="00F1221F" w:rsidRPr="00105C97">
        <w:rPr>
          <w:color w:val="auto"/>
        </w:rPr>
        <w:t>За 202</w:t>
      </w:r>
      <w:r w:rsidR="00954DAD" w:rsidRPr="00105C97">
        <w:rPr>
          <w:color w:val="auto"/>
        </w:rPr>
        <w:t>5</w:t>
      </w:r>
      <w:r w:rsidR="00F1221F" w:rsidRPr="00105C97">
        <w:rPr>
          <w:color w:val="auto"/>
        </w:rPr>
        <w:t xml:space="preserve"> год по системе электронного документооборота КБР, на адрес электронной почты Министерства финансов КБР и нарочно поступило </w:t>
      </w:r>
      <w:r w:rsidR="001B68C0">
        <w:rPr>
          <w:color w:val="auto"/>
        </w:rPr>
        <w:br/>
      </w:r>
      <w:r w:rsidR="00671154" w:rsidRPr="00105C97">
        <w:rPr>
          <w:color w:val="auto"/>
        </w:rPr>
        <w:t>2</w:t>
      </w:r>
      <w:r w:rsidR="006B0826">
        <w:rPr>
          <w:color w:val="auto"/>
        </w:rPr>
        <w:t>9</w:t>
      </w:r>
      <w:r w:rsidR="00F1221F" w:rsidRPr="00105C97">
        <w:rPr>
          <w:color w:val="auto"/>
        </w:rPr>
        <w:t xml:space="preserve"> обращений от граждан и организаций по различным вопросам направления деятельности министерства</w:t>
      </w:r>
      <w:r w:rsidR="00F1221F" w:rsidRPr="009B4E24">
        <w:t xml:space="preserve">. Руководством министерства проведен личный прием </w:t>
      </w:r>
      <w:r w:rsidR="00F9794C" w:rsidRPr="009B4E24">
        <w:t>с представителем фирмы о сотрудничестве в сфере использования информационного программного продукта для работы в министерстве.</w:t>
      </w:r>
    </w:p>
    <w:p w14:paraId="4A262469" w14:textId="36EA2631" w:rsidR="00F1221F" w:rsidRPr="0077474D" w:rsidRDefault="00F1221F" w:rsidP="0077474D">
      <w:pPr>
        <w:rPr>
          <w:color w:val="auto"/>
        </w:rPr>
      </w:pPr>
      <w:r w:rsidRPr="0077474D">
        <w:rPr>
          <w:color w:val="auto"/>
        </w:rPr>
        <w:t>Все поступившие обращения рассмотрены специалистами министерства в соответствии с порядком работы с обращениями граждан, проведена межведомственная работа по пересылке обращений из других государственных органов в рамках компетенции министерства, заявителям направлены соответствующие ответы в установленные законодательством сроки.</w:t>
      </w:r>
      <w:r w:rsidR="002F7FB1" w:rsidRPr="0077474D">
        <w:rPr>
          <w:color w:val="auto"/>
        </w:rPr>
        <w:t xml:space="preserve"> </w:t>
      </w:r>
      <w:r w:rsidRPr="0077474D">
        <w:rPr>
          <w:color w:val="auto"/>
        </w:rPr>
        <w:t>Часть обращений граждан, поступивших в Министерство, касались получения консультативной помощи по интересующим вопросам деятельности министерства. Специалистами министерства своевременно представлены ответы на поступившие обращения граждан, даны исчерпывающие консультации и разъяснения по интересующим вопросам.</w:t>
      </w:r>
    </w:p>
    <w:p w14:paraId="344FA8C9" w14:textId="77777777" w:rsidR="00105C97" w:rsidRPr="0077474D" w:rsidRDefault="00105C97" w:rsidP="0077474D">
      <w:pPr>
        <w:suppressAutoHyphens/>
        <w:rPr>
          <w:color w:val="auto"/>
        </w:rPr>
      </w:pPr>
      <w:r w:rsidRPr="0077474D">
        <w:rPr>
          <w:color w:val="auto"/>
        </w:rPr>
        <w:t>Р</w:t>
      </w:r>
      <w:r w:rsidR="00E2350E" w:rsidRPr="0077474D">
        <w:rPr>
          <w:color w:val="auto"/>
        </w:rPr>
        <w:t>абочая группа по противодействию коррупции обеспечивает рассмотрение вопросов, поступивших в обращениях граждан и организаций, на предмет наличия фактов коррупционных нарушений, допущенных служащими министерства; за отчетный период информация о фактах коррупционных на</w:t>
      </w:r>
      <w:r w:rsidR="00F9794C" w:rsidRPr="0077474D">
        <w:rPr>
          <w:color w:val="auto"/>
        </w:rPr>
        <w:t xml:space="preserve">рушений служащими министерства </w:t>
      </w:r>
      <w:r w:rsidR="002C65EB" w:rsidRPr="0077474D">
        <w:rPr>
          <w:color w:val="auto"/>
        </w:rPr>
        <w:t>не поступала.</w:t>
      </w:r>
    </w:p>
    <w:p w14:paraId="6F0AFC49" w14:textId="2CFE82F8" w:rsidR="00F1221F" w:rsidRPr="0077474D" w:rsidRDefault="00105C97" w:rsidP="0077474D">
      <w:pPr>
        <w:suppressAutoHyphens/>
        <w:rPr>
          <w:color w:val="auto"/>
        </w:rPr>
      </w:pPr>
      <w:r w:rsidRPr="0077474D">
        <w:rPr>
          <w:color w:val="auto"/>
        </w:rPr>
        <w:t>Р</w:t>
      </w:r>
      <w:r w:rsidR="00F1221F" w:rsidRPr="0077474D">
        <w:rPr>
          <w:color w:val="auto"/>
        </w:rPr>
        <w:t xml:space="preserve">аботает антикоррупционная </w:t>
      </w:r>
      <w:r w:rsidR="006B3DF7" w:rsidRPr="0077474D">
        <w:rPr>
          <w:color w:val="auto"/>
        </w:rPr>
        <w:t>«</w:t>
      </w:r>
      <w:r w:rsidR="00F1221F" w:rsidRPr="0077474D">
        <w:rPr>
          <w:color w:val="auto"/>
        </w:rPr>
        <w:t>горячая линия</w:t>
      </w:r>
      <w:r w:rsidR="006B3DF7" w:rsidRPr="0077474D">
        <w:rPr>
          <w:color w:val="auto"/>
        </w:rPr>
        <w:t>»</w:t>
      </w:r>
      <w:r w:rsidR="00F1221F" w:rsidRPr="0077474D">
        <w:rPr>
          <w:color w:val="auto"/>
        </w:rPr>
        <w:t xml:space="preserve"> на интернет-портале Правительства Кабардино-Балкарской Республики</w:t>
      </w:r>
      <w:r w:rsidR="00E2350E" w:rsidRPr="0077474D">
        <w:rPr>
          <w:color w:val="auto"/>
        </w:rPr>
        <w:t>,</w:t>
      </w:r>
      <w:r w:rsidR="00F1221F" w:rsidRPr="0077474D">
        <w:rPr>
          <w:color w:val="auto"/>
        </w:rPr>
        <w:t xml:space="preserve"> предусмотрен электронный адрес обратной связи, позволяющий гражданам и представителям организаций сообщать об известных им фактах коррупционных нарушений, допущенных государственными служащими министерства</w:t>
      </w:r>
      <w:r w:rsidR="00E2350E" w:rsidRPr="0077474D">
        <w:rPr>
          <w:color w:val="auto"/>
        </w:rPr>
        <w:t>;</w:t>
      </w:r>
      <w:r w:rsidR="00352B5D">
        <w:rPr>
          <w:color w:val="auto"/>
        </w:rPr>
        <w:t xml:space="preserve"> </w:t>
      </w:r>
      <w:r w:rsidR="00B51F7D" w:rsidRPr="0077474D">
        <w:rPr>
          <w:color w:val="auto"/>
        </w:rPr>
        <w:t>за отчетный период указанных обращений не было.</w:t>
      </w:r>
    </w:p>
    <w:p w14:paraId="137D717C" w14:textId="77777777" w:rsidR="00A97698" w:rsidRPr="00D05E60" w:rsidRDefault="00A97698" w:rsidP="006B3DF7">
      <w:pPr>
        <w:pStyle w:val="24"/>
        <w:numPr>
          <w:ilvl w:val="0"/>
          <w:numId w:val="0"/>
        </w:numPr>
        <w:spacing w:before="0" w:after="0"/>
        <w:ind w:firstLine="709"/>
        <w:rPr>
          <w:color w:val="FF0000"/>
        </w:rPr>
      </w:pPr>
    </w:p>
    <w:p w14:paraId="4E776A5A" w14:textId="67C8211B" w:rsidR="00034CD9" w:rsidRDefault="008B0C90" w:rsidP="006B3DF7">
      <w:pPr>
        <w:pStyle w:val="24"/>
        <w:numPr>
          <w:ilvl w:val="0"/>
          <w:numId w:val="0"/>
        </w:numPr>
        <w:spacing w:before="0" w:after="0"/>
        <w:ind w:firstLine="709"/>
        <w:rPr>
          <w:color w:val="568D11" w:themeColor="accent3" w:themeShade="80"/>
        </w:rPr>
      </w:pPr>
      <w:bookmarkStart w:id="121" w:name="_Toc131085646"/>
      <w:bookmarkStart w:id="122" w:name="_Toc162008803"/>
      <w:r w:rsidRPr="00370B39">
        <w:rPr>
          <w:color w:val="568D11" w:themeColor="accent3" w:themeShade="80"/>
        </w:rPr>
        <w:t>1</w:t>
      </w:r>
      <w:r w:rsidR="002C24EA" w:rsidRPr="00370B39">
        <w:rPr>
          <w:color w:val="568D11" w:themeColor="accent3" w:themeShade="80"/>
        </w:rPr>
        <w:t>1</w:t>
      </w:r>
      <w:r w:rsidRPr="00370B39">
        <w:rPr>
          <w:color w:val="568D11" w:themeColor="accent3" w:themeShade="80"/>
        </w:rPr>
        <w:t>.</w:t>
      </w:r>
      <w:r w:rsidR="00A662D2">
        <w:rPr>
          <w:color w:val="568D11" w:themeColor="accent3" w:themeShade="80"/>
        </w:rPr>
        <w:t xml:space="preserve"> </w:t>
      </w:r>
      <w:r w:rsidR="00F811F4" w:rsidRPr="00370B39">
        <w:rPr>
          <w:color w:val="568D11" w:themeColor="accent3" w:themeShade="80"/>
        </w:rPr>
        <w:t>Деятельность Общественного совета</w:t>
      </w:r>
      <w:r w:rsidR="0057344D" w:rsidRPr="00370B39">
        <w:rPr>
          <w:color w:val="568D11" w:themeColor="accent3" w:themeShade="80"/>
        </w:rPr>
        <w:br/>
      </w:r>
      <w:r w:rsidR="00F811F4" w:rsidRPr="00370B39">
        <w:rPr>
          <w:color w:val="568D11" w:themeColor="accent3" w:themeShade="80"/>
        </w:rPr>
        <w:t>при Министерстве финансов КБР</w:t>
      </w:r>
      <w:bookmarkEnd w:id="121"/>
      <w:bookmarkEnd w:id="122"/>
    </w:p>
    <w:p w14:paraId="391B9EB1" w14:textId="77777777" w:rsidR="00E61EC7" w:rsidRPr="00D05E60" w:rsidRDefault="00E61EC7" w:rsidP="006B3DF7">
      <w:pPr>
        <w:pStyle w:val="24"/>
        <w:numPr>
          <w:ilvl w:val="0"/>
          <w:numId w:val="0"/>
        </w:numPr>
        <w:spacing w:before="0" w:after="0"/>
        <w:ind w:firstLine="709"/>
        <w:jc w:val="both"/>
        <w:rPr>
          <w:color w:val="FF0000"/>
        </w:rPr>
      </w:pPr>
    </w:p>
    <w:p w14:paraId="73A3AF95" w14:textId="6BF9BB7F" w:rsidR="00246F87" w:rsidRPr="00246F87" w:rsidRDefault="00246F87" w:rsidP="006B3DF7">
      <w:r w:rsidRPr="00246F87">
        <w:t xml:space="preserve">Общественный совет при Министерстве (далее – Общественный совет) образован в 2015 году. В соответствии с Приказом Министерства от 25.10.2024 года </w:t>
      </w:r>
      <w:r w:rsidR="00352B5D">
        <w:br/>
      </w:r>
      <w:r w:rsidRPr="00246F87">
        <w:t>№ 166 утвержден новый состав Общественного совета.</w:t>
      </w:r>
    </w:p>
    <w:p w14:paraId="6993EBAD" w14:textId="77777777" w:rsidR="00246F87" w:rsidRPr="00246F87" w:rsidRDefault="00246F87" w:rsidP="006B3DF7">
      <w:r w:rsidRPr="00246F87">
        <w:t>В составе совета 5 человек – представители высших учебных заведений республики, доцентов и кандидатов экономических наук, финансистов, общественных и профсоюзных организаций.</w:t>
      </w:r>
    </w:p>
    <w:p w14:paraId="6AC5321F" w14:textId="17D628B3" w:rsidR="00246F87" w:rsidRPr="00246F87" w:rsidRDefault="00246F87" w:rsidP="006B3DF7">
      <w:r w:rsidRPr="00246F87">
        <w:t>За 2025 год было проведено пять заседаний Общественного совета при Министерстве, где были обсуждены:</w:t>
      </w:r>
    </w:p>
    <w:p w14:paraId="2A20CD25" w14:textId="433F2603" w:rsidR="00246F87" w:rsidRPr="00246F87" w:rsidRDefault="00246F87" w:rsidP="006B3DF7">
      <w:r w:rsidRPr="00246F87">
        <w:t xml:space="preserve">итоги деятельности Общественного совета при Министерстве за 2024 год </w:t>
      </w:r>
      <w:r w:rsidR="00352B5D">
        <w:br/>
      </w:r>
      <w:r w:rsidRPr="00246F87">
        <w:t>и планы на 2025 год;</w:t>
      </w:r>
    </w:p>
    <w:p w14:paraId="476ABDE9" w14:textId="041FFE42" w:rsidR="00246F87" w:rsidRPr="00246F87" w:rsidRDefault="00246F87" w:rsidP="006B3DF7">
      <w:r w:rsidRPr="00246F87">
        <w:t xml:space="preserve">исполнение мероприятий Плана противодействия коррупции Министерства </w:t>
      </w:r>
      <w:r w:rsidR="00352B5D">
        <w:br/>
      </w:r>
      <w:r w:rsidRPr="00246F87">
        <w:t>за 2024 год;</w:t>
      </w:r>
    </w:p>
    <w:p w14:paraId="650479B2" w14:textId="43EDDB06" w:rsidR="00246F87" w:rsidRPr="00246F87" w:rsidRDefault="00246F87" w:rsidP="006B3DF7">
      <w:r w:rsidRPr="00246F87">
        <w:t xml:space="preserve">результаты по организации антимонопольного </w:t>
      </w:r>
      <w:proofErr w:type="spellStart"/>
      <w:r w:rsidRPr="00246F87">
        <w:t>комплаенса</w:t>
      </w:r>
      <w:proofErr w:type="spellEnd"/>
      <w:r w:rsidRPr="00246F87">
        <w:t xml:space="preserve"> в </w:t>
      </w:r>
      <w:r w:rsidR="00016E54" w:rsidRPr="00FA0C2F">
        <w:rPr>
          <w:color w:val="auto"/>
        </w:rPr>
        <w:t>Мин</w:t>
      </w:r>
      <w:r w:rsidR="00016E54">
        <w:rPr>
          <w:color w:val="auto"/>
        </w:rPr>
        <w:t>истерства</w:t>
      </w:r>
      <w:r w:rsidR="00016E54" w:rsidRPr="00246F87">
        <w:t xml:space="preserve"> </w:t>
      </w:r>
      <w:r w:rsidR="00352B5D">
        <w:br/>
      </w:r>
      <w:r w:rsidRPr="00246F87">
        <w:t>за 2024 год;</w:t>
      </w:r>
    </w:p>
    <w:p w14:paraId="77BD8AA3" w14:textId="77777777" w:rsidR="00246F87" w:rsidRPr="00246F87" w:rsidRDefault="00246F87" w:rsidP="006B3DF7">
      <w:r w:rsidRPr="00246F87">
        <w:t>исполнение республиканского бюджета КБР за 2024 год;</w:t>
      </w:r>
    </w:p>
    <w:p w14:paraId="3D7C7B69" w14:textId="795DB4F3" w:rsidR="00246F87" w:rsidRPr="00246F87" w:rsidRDefault="00246F87" w:rsidP="006B3DF7">
      <w:r w:rsidRPr="00246F87">
        <w:t xml:space="preserve">доклад о результатах и основных направлениях деятельности </w:t>
      </w:r>
      <w:r w:rsidR="00016E54" w:rsidRPr="00FA0C2F">
        <w:rPr>
          <w:color w:val="auto"/>
        </w:rPr>
        <w:t>Мин</w:t>
      </w:r>
      <w:r w:rsidR="00016E54">
        <w:rPr>
          <w:color w:val="auto"/>
        </w:rPr>
        <w:t>истерства</w:t>
      </w:r>
      <w:r w:rsidRPr="00246F87">
        <w:t xml:space="preserve"> за 2024 год и задачах на 2025 год;</w:t>
      </w:r>
    </w:p>
    <w:p w14:paraId="6B975012" w14:textId="77777777" w:rsidR="00246F87" w:rsidRPr="00246F87" w:rsidRDefault="00246F87" w:rsidP="006B3DF7">
      <w:r w:rsidRPr="00246F87">
        <w:t>итоги рейтинги открытости бюджетных данных за 2024 год;</w:t>
      </w:r>
    </w:p>
    <w:p w14:paraId="26E7B615" w14:textId="77777777" w:rsidR="00246F87" w:rsidRPr="00246F87" w:rsidRDefault="00246F87" w:rsidP="006B3DF7">
      <w:r w:rsidRPr="00246F87">
        <w:t>итоги декларационной компании 2025 года;</w:t>
      </w:r>
    </w:p>
    <w:p w14:paraId="2240FAB4" w14:textId="3913E510" w:rsidR="00246F87" w:rsidRPr="00246F87" w:rsidRDefault="00246F87" w:rsidP="006B3DF7">
      <w:r w:rsidRPr="00246F87">
        <w:t xml:space="preserve">поквартальное и полугодовое исполнение республиканского бюджета КБР </w:t>
      </w:r>
      <w:r w:rsidR="00352B5D">
        <w:br/>
      </w:r>
      <w:r w:rsidRPr="00246F87">
        <w:t>2025 года.</w:t>
      </w:r>
    </w:p>
    <w:p w14:paraId="31DE9246" w14:textId="110E37EB" w:rsidR="00246F87" w:rsidRPr="00246F87" w:rsidRDefault="00246F87" w:rsidP="006B3DF7">
      <w:r w:rsidRPr="00246F87">
        <w:t>В целях приведения в соответствие с федеральным законодательством правовых актов Министерства в 2025 году внесены изменения в Положение об Общественном совете при Министерстве.</w:t>
      </w:r>
    </w:p>
    <w:p w14:paraId="429E5AD3" w14:textId="45669C71" w:rsidR="00246F87" w:rsidRPr="00246F87" w:rsidRDefault="00246F87" w:rsidP="006B3DF7">
      <w:r w:rsidRPr="00246F87">
        <w:t>На сайте Министерства создан отдельный раздел, посвященный деятельности Общественного совета, в котором регулярно публикуются материалы к заседаниям (повестка, проект протокола, аналитические доклады, презентации, информационные брошюры и буклеты).</w:t>
      </w:r>
    </w:p>
    <w:p w14:paraId="500F30DC" w14:textId="77777777" w:rsidR="00246F87" w:rsidRPr="00246F87" w:rsidRDefault="00246F87" w:rsidP="006B3DF7">
      <w:r w:rsidRPr="00246F87">
        <w:t>Итоговые документы (протоколы), принятые по результатам заседаний Общественного совета находятся в открытом доступе в указанном разделе и учитываются в дальнейшей работе Министерства.</w:t>
      </w:r>
    </w:p>
    <w:p w14:paraId="71D24A73" w14:textId="20C42839" w:rsidR="00D0143E" w:rsidRPr="00246F87" w:rsidRDefault="00246F87" w:rsidP="006B3DF7">
      <w:r w:rsidRPr="00246F87">
        <w:t xml:space="preserve">Обращение в Общественный совет можно направить, используя Общественную приемную на сайте Министерства, указав в тематике обращения </w:t>
      </w:r>
      <w:r w:rsidR="006B3DF7">
        <w:t>«</w:t>
      </w:r>
      <w:r w:rsidRPr="00246F87">
        <w:t>Общественный совет</w:t>
      </w:r>
      <w:r w:rsidR="006B3DF7">
        <w:t>»</w:t>
      </w:r>
      <w:r w:rsidRPr="00246F87">
        <w:t>.</w:t>
      </w:r>
    </w:p>
    <w:p w14:paraId="2B7F1883" w14:textId="77777777" w:rsidR="00E61C10" w:rsidRPr="00C014DC" w:rsidRDefault="00E61C10" w:rsidP="006B3DF7">
      <w:pPr>
        <w:rPr>
          <w:color w:val="FF0000"/>
        </w:rPr>
      </w:pPr>
    </w:p>
    <w:p w14:paraId="45DC2172" w14:textId="5368F2AF" w:rsidR="00F811F4" w:rsidRPr="00370B39" w:rsidRDefault="008B0C90" w:rsidP="006B3DF7">
      <w:pPr>
        <w:pStyle w:val="24"/>
        <w:numPr>
          <w:ilvl w:val="0"/>
          <w:numId w:val="0"/>
        </w:numPr>
        <w:spacing w:before="0" w:after="0"/>
        <w:ind w:firstLine="709"/>
        <w:rPr>
          <w:color w:val="568D11" w:themeColor="accent3" w:themeShade="80"/>
        </w:rPr>
      </w:pPr>
      <w:bookmarkStart w:id="123" w:name="_Toc131085647"/>
      <w:bookmarkStart w:id="124" w:name="_Toc162008804"/>
      <w:r w:rsidRPr="00370B39">
        <w:rPr>
          <w:color w:val="568D11" w:themeColor="accent3" w:themeShade="80"/>
        </w:rPr>
        <w:t>1</w:t>
      </w:r>
      <w:r w:rsidR="002C24EA" w:rsidRPr="00370B39">
        <w:rPr>
          <w:color w:val="568D11" w:themeColor="accent3" w:themeShade="80"/>
        </w:rPr>
        <w:t>2</w:t>
      </w:r>
      <w:r w:rsidRPr="00370B39">
        <w:rPr>
          <w:color w:val="568D11" w:themeColor="accent3" w:themeShade="80"/>
        </w:rPr>
        <w:t>.</w:t>
      </w:r>
      <w:r w:rsidR="009B4E24">
        <w:rPr>
          <w:color w:val="568D11" w:themeColor="accent3" w:themeShade="80"/>
        </w:rPr>
        <w:t xml:space="preserve"> </w:t>
      </w:r>
      <w:r w:rsidR="00F811F4" w:rsidRPr="00370B39">
        <w:rPr>
          <w:color w:val="568D11" w:themeColor="accent3" w:themeShade="80"/>
        </w:rPr>
        <w:t>Деятельность Министерства финансов КБР по реализации государственной программы</w:t>
      </w:r>
      <w:bookmarkEnd w:id="123"/>
      <w:bookmarkEnd w:id="124"/>
    </w:p>
    <w:p w14:paraId="0EB621B1" w14:textId="77777777" w:rsidR="001B68C0" w:rsidRDefault="001B68C0" w:rsidP="006B3DF7">
      <w:bookmarkStart w:id="125" w:name="_Toc131085648"/>
    </w:p>
    <w:p w14:paraId="64BFDE7B" w14:textId="77C1AE5E" w:rsidR="007B6763" w:rsidRPr="00F95BA1" w:rsidRDefault="007B6763" w:rsidP="006B3DF7">
      <w:r w:rsidRPr="00F95BA1">
        <w:t xml:space="preserve">Министерство является координатором государственной программы Кабардино-Балкарской Республики </w:t>
      </w:r>
      <w:r w:rsidR="006B3DF7">
        <w:t>«</w:t>
      </w:r>
      <w:r w:rsidRPr="00F95BA1">
        <w:t>Управление государственными финансами, государственным долгом и межбюджетными отношениями в Кабардино-Балкарской Республике</w:t>
      </w:r>
      <w:r w:rsidR="006B3DF7">
        <w:t>»</w:t>
      </w:r>
      <w:r w:rsidRPr="00F95BA1">
        <w:t xml:space="preserve"> (далее – государственная программа) в соответствии с Перечнем государственных программ Кабардино-Балкарской Республики, утвержденным распоряжением Правительства Кабардино-Балкарской Республики от 15 декабря 2023 </w:t>
      </w:r>
      <w:r w:rsidR="003D4698">
        <w:t>года</w:t>
      </w:r>
      <w:r w:rsidRPr="00F95BA1">
        <w:t xml:space="preserve"> № 637-рп.</w:t>
      </w:r>
    </w:p>
    <w:p w14:paraId="2FC6FC16" w14:textId="77777777" w:rsidR="007B6763" w:rsidRPr="00F95BA1" w:rsidRDefault="007B6763" w:rsidP="006B3DF7">
      <w:pPr>
        <w:autoSpaceDE w:val="0"/>
        <w:autoSpaceDN w:val="0"/>
        <w:adjustRightInd w:val="0"/>
        <w:rPr>
          <w:bCs/>
        </w:rPr>
      </w:pPr>
      <w:r w:rsidRPr="00F95BA1">
        <w:rPr>
          <w:lang w:eastAsia="ru-RU"/>
        </w:rPr>
        <w:t xml:space="preserve">Государственная программа </w:t>
      </w:r>
      <w:r w:rsidRPr="00F95BA1">
        <w:rPr>
          <w:bCs/>
        </w:rPr>
        <w:t>направлена на:</w:t>
      </w:r>
    </w:p>
    <w:p w14:paraId="7FC1A4F1" w14:textId="77777777" w:rsidR="007B6763" w:rsidRPr="00F95BA1" w:rsidRDefault="007B6763" w:rsidP="006B3DF7">
      <w:pPr>
        <w:autoSpaceDE w:val="0"/>
        <w:autoSpaceDN w:val="0"/>
        <w:adjustRightInd w:val="0"/>
        <w:rPr>
          <w:bCs/>
        </w:rPr>
      </w:pPr>
      <w:r w:rsidRPr="00F95BA1">
        <w:rPr>
          <w:bCs/>
        </w:rPr>
        <w:t>- обеспечение устойчивости и сбалансированности республиканского бюджета Кабардино</w:t>
      </w:r>
      <w:r w:rsidRPr="00F95BA1">
        <w:rPr>
          <w:bCs/>
        </w:rPr>
        <w:noBreakHyphen/>
        <w:t xml:space="preserve">Балкарской Республики, </w:t>
      </w:r>
    </w:p>
    <w:p w14:paraId="42E1A04C" w14:textId="77777777" w:rsidR="007B6763" w:rsidRPr="00F95BA1" w:rsidRDefault="007B6763" w:rsidP="006B3DF7">
      <w:pPr>
        <w:autoSpaceDE w:val="0"/>
        <w:autoSpaceDN w:val="0"/>
        <w:adjustRightInd w:val="0"/>
        <w:rPr>
          <w:bCs/>
        </w:rPr>
      </w:pPr>
      <w:r w:rsidRPr="00F95BA1">
        <w:rPr>
          <w:bCs/>
        </w:rPr>
        <w:t>- совершенствование системы управления государственными финансами,</w:t>
      </w:r>
    </w:p>
    <w:p w14:paraId="64CF4911" w14:textId="77777777" w:rsidR="007B6763" w:rsidRPr="00F95BA1" w:rsidRDefault="007B6763" w:rsidP="006B3DF7">
      <w:pPr>
        <w:autoSpaceDE w:val="0"/>
        <w:autoSpaceDN w:val="0"/>
        <w:adjustRightInd w:val="0"/>
        <w:rPr>
          <w:bCs/>
        </w:rPr>
      </w:pPr>
      <w:r w:rsidRPr="00F95BA1">
        <w:rPr>
          <w:bCs/>
        </w:rPr>
        <w:t xml:space="preserve">- содействие устойчивому исполнению местных бюджетов, </w:t>
      </w:r>
    </w:p>
    <w:p w14:paraId="7F32F99F" w14:textId="77777777" w:rsidR="007B6763" w:rsidRPr="00F95BA1" w:rsidRDefault="007B6763" w:rsidP="006B3DF7">
      <w:pPr>
        <w:autoSpaceDE w:val="0"/>
        <w:autoSpaceDN w:val="0"/>
        <w:adjustRightInd w:val="0"/>
        <w:rPr>
          <w:bCs/>
        </w:rPr>
      </w:pPr>
      <w:r w:rsidRPr="00F95BA1">
        <w:rPr>
          <w:bCs/>
        </w:rPr>
        <w:t xml:space="preserve">- реализацию ответственной долговой политики, </w:t>
      </w:r>
    </w:p>
    <w:p w14:paraId="619F50E8" w14:textId="77777777" w:rsidR="007B6763" w:rsidRPr="00F95BA1" w:rsidRDefault="007B6763" w:rsidP="006B3DF7">
      <w:pPr>
        <w:autoSpaceDE w:val="0"/>
        <w:autoSpaceDN w:val="0"/>
        <w:adjustRightInd w:val="0"/>
        <w:contextualSpacing/>
        <w:rPr>
          <w:bCs/>
        </w:rPr>
      </w:pPr>
      <w:r w:rsidRPr="00F95BA1">
        <w:rPr>
          <w:bCs/>
        </w:rPr>
        <w:t xml:space="preserve">- повышение прозрачности и открытости бюджетного процесса. </w:t>
      </w:r>
    </w:p>
    <w:p w14:paraId="37EFAFC5" w14:textId="6EC3B9DD" w:rsidR="007B6763" w:rsidRPr="00F95BA1" w:rsidRDefault="007B6763" w:rsidP="006B3DF7">
      <w:pPr>
        <w:autoSpaceDE w:val="0"/>
        <w:autoSpaceDN w:val="0"/>
        <w:adjustRightInd w:val="0"/>
        <w:contextualSpacing/>
        <w:rPr>
          <w:bCs/>
        </w:rPr>
      </w:pPr>
      <w:r w:rsidRPr="00F95BA1">
        <w:rPr>
          <w:bCs/>
        </w:rPr>
        <w:t xml:space="preserve">Программа определяет основные цели и задачи развития и функционирования бюджетной системы Кабардино-Балкарской Республики, системы управления государственным долгом, системы межбюджетных отношений, а также финансовое обеспечение и </w:t>
      </w:r>
      <w:proofErr w:type="gramStart"/>
      <w:r w:rsidRPr="00F95BA1">
        <w:rPr>
          <w:bCs/>
        </w:rPr>
        <w:t>механизмы</w:t>
      </w:r>
      <w:r w:rsidR="001B68C0">
        <w:rPr>
          <w:bCs/>
        </w:rPr>
        <w:t xml:space="preserve"> </w:t>
      </w:r>
      <w:r w:rsidRPr="00F95BA1">
        <w:rPr>
          <w:bCs/>
        </w:rPr>
        <w:t>реализации предусматриваемых мероприятий</w:t>
      </w:r>
      <w:proofErr w:type="gramEnd"/>
      <w:r w:rsidRPr="00F95BA1">
        <w:rPr>
          <w:bCs/>
        </w:rPr>
        <w:t xml:space="preserve"> и показатели их результативности.</w:t>
      </w:r>
    </w:p>
    <w:p w14:paraId="0136EA18" w14:textId="4CD18C11" w:rsidR="007B6763" w:rsidRPr="00F95BA1" w:rsidRDefault="007B6763" w:rsidP="006B3DF7">
      <w:r w:rsidRPr="00F95BA1">
        <w:t>Государственная программа утверждена постановлением Правительства Кабардино-Балкарской Республики от 28 октября 2019 </w:t>
      </w:r>
      <w:r w:rsidR="003D4698">
        <w:t>года</w:t>
      </w:r>
      <w:r w:rsidRPr="00F95BA1">
        <w:t xml:space="preserve"> № 188-ПП. Реализация государственной программы осуществляется с 2014 года. </w:t>
      </w:r>
    </w:p>
    <w:p w14:paraId="32BF3FCF" w14:textId="323EFE88" w:rsidR="007B6763" w:rsidRPr="00B6272B" w:rsidRDefault="007B6763" w:rsidP="006B3DF7">
      <w:r w:rsidRPr="00F95BA1">
        <w:t xml:space="preserve">По итогам 2025 года объем финансового обеспечения государственной программы в соответствии со сводной бюджетной росписью по состоянию на </w:t>
      </w:r>
      <w:r w:rsidR="001B68C0">
        <w:br/>
      </w:r>
      <w:r w:rsidRPr="00F95BA1">
        <w:t xml:space="preserve">31 декабря 2025 </w:t>
      </w:r>
      <w:r w:rsidR="003D4698">
        <w:t>года</w:t>
      </w:r>
      <w:r w:rsidRPr="00F95BA1">
        <w:t xml:space="preserve"> составил 960,9 млн рублей, кассовый расход </w:t>
      </w:r>
      <w:r w:rsidRPr="00F95BA1">
        <w:br/>
        <w:t>- 954,5 млн рублей или 99,3 % от плановых назначений</w:t>
      </w:r>
    </w:p>
    <w:p w14:paraId="6DFFBEAA" w14:textId="77777777" w:rsidR="007B6763" w:rsidRPr="00843805" w:rsidRDefault="007B6763" w:rsidP="006B3DF7">
      <w:r w:rsidRPr="00843805">
        <w:t>В 2025 году плановые значения достигнуты по всем 5 показателям государственной программы</w:t>
      </w:r>
      <w:r>
        <w:t>,</w:t>
      </w:r>
      <w:r w:rsidRPr="00843805">
        <w:t xml:space="preserve"> 4 показателям комплекса процессных мероприятий</w:t>
      </w:r>
      <w:r>
        <w:t xml:space="preserve">, а также по всем </w:t>
      </w:r>
      <w:r w:rsidRPr="00843805">
        <w:t>22 контрольным точкам.</w:t>
      </w:r>
    </w:p>
    <w:p w14:paraId="07427CA1" w14:textId="77777777" w:rsidR="007B6763" w:rsidRDefault="007B6763" w:rsidP="006B3DF7">
      <w:r w:rsidRPr="00D01F0C">
        <w:t xml:space="preserve">Итоги 2025 года показали, что </w:t>
      </w:r>
      <w:r w:rsidRPr="00A776FD">
        <w:t>Правительство Кабардино-Балкарской Республики не только сохранило стабильность финансовой системы</w:t>
      </w:r>
      <w:r>
        <w:t xml:space="preserve"> республики</w:t>
      </w:r>
      <w:r w:rsidRPr="00A776FD">
        <w:t xml:space="preserve">, но и гарантировало исполнение всех социальных обязательств. Ключевой результат этого периода </w:t>
      </w:r>
      <w:r>
        <w:t>-</w:t>
      </w:r>
      <w:r w:rsidRPr="00A776FD">
        <w:t xml:space="preserve"> сбалансированный бюджет и своевременное финансирование социальной сферы при полном </w:t>
      </w:r>
      <w:r w:rsidRPr="00023B4B">
        <w:t>выполнении бюджетно-налоговой политики.</w:t>
      </w:r>
    </w:p>
    <w:p w14:paraId="1CB3E7E9" w14:textId="77777777" w:rsidR="007B6763" w:rsidRPr="00D01F0C" w:rsidRDefault="007B6763" w:rsidP="006B3DF7">
      <w:r w:rsidRPr="00D01F0C">
        <w:t>Удалось сохранить позитивную динамику основных показателей, характеризующих социально-экономическое развитие республики. Реализуемая бюджетная и налоговая политика продемонстрировала свою устойчивость и последовательность в развитии налогового потенциала, в достижении целей, определенных документами стратегического планирования, что свидетельствует об успешной адаптации к структурной перестройке экономики государства.</w:t>
      </w:r>
    </w:p>
    <w:p w14:paraId="3CD48AB2" w14:textId="6699F849" w:rsidR="007B6763" w:rsidRPr="00F95BA1" w:rsidRDefault="007B6763" w:rsidP="006B3DF7">
      <w:r w:rsidRPr="00F95BA1">
        <w:t xml:space="preserve">В 2025 году успешно реализована принятая Правительством </w:t>
      </w:r>
      <w:r w:rsidR="00352B5D">
        <w:br/>
      </w:r>
      <w:r w:rsidRPr="00F95BA1">
        <w:t>Кабардино-Балкарской Республики Программа оздоровления государственных финансов (оптимизации расходов) на 2018 - 2026 годы, которая определяет основные направления деятельности исполнительных органов государственной власти Кабардино-Балкарской Республики и органов местного самоуправления в целях создания условий для результативного управления государственными финансами и эффективного использования бюджетных средств путем осуществления мер, направленных на мобилизацию доходов, оптимизацию расходов бюджетов бюджетной системы Кабардино-Балкарской Республики, снижение долговой нагрузки на период до 2026 года.</w:t>
      </w:r>
    </w:p>
    <w:p w14:paraId="40D99938" w14:textId="02795AE4" w:rsidR="007B6763" w:rsidRPr="00EF0950" w:rsidRDefault="007B6763" w:rsidP="006B3DF7">
      <w:r w:rsidRPr="00F95BA1">
        <w:t xml:space="preserve">Совокупный бюджетный эффект от реализации плана оздоровления за </w:t>
      </w:r>
      <w:r w:rsidR="001B68C0">
        <w:br/>
      </w:r>
      <w:r w:rsidRPr="00F95BA1">
        <w:t>2025 год составил 5 499,4 млн рублей, или в 22 раза больше годовых плановых показателей и в 1,3 раза больше, чем за 2024 год, в том числе по увеличению доходов – 5 229,8 млн рублей, по оптимизации расходов – 269,6 млн рублей.</w:t>
      </w:r>
    </w:p>
    <w:p w14:paraId="76D7C8EA" w14:textId="48E4D101" w:rsidR="007B6763" w:rsidRPr="00C3190B" w:rsidRDefault="007B6763" w:rsidP="00352B5D">
      <w:r w:rsidRPr="00896C44">
        <w:t>Благодаря принимаемым Правительством Кабардино-Балкарской Республики мерам по итогам 202</w:t>
      </w:r>
      <w:r>
        <w:t>5</w:t>
      </w:r>
      <w:r w:rsidRPr="00896C44">
        <w:t xml:space="preserve"> года достигнут прирост налоговых и неналоговых доходов республиканск</w:t>
      </w:r>
      <w:r>
        <w:t>ого бюджета на 14,9 %</w:t>
      </w:r>
      <w:r w:rsidRPr="00896C44">
        <w:t xml:space="preserve">. </w:t>
      </w:r>
      <w:r w:rsidRPr="00C3190B">
        <w:t xml:space="preserve">Вследствие положительной динамики исполнения доходной части республиканского бюджета КБР темп роста расходов республиканского бюджета составил 109,4 %, в том числе собственных расходов </w:t>
      </w:r>
      <w:r w:rsidR="00352B5D">
        <w:br/>
      </w:r>
      <w:r w:rsidRPr="00C3190B">
        <w:t>114,4 %.</w:t>
      </w:r>
    </w:p>
    <w:p w14:paraId="4F43B577" w14:textId="77777777" w:rsidR="007B6763" w:rsidRPr="00896C44" w:rsidRDefault="007B6763" w:rsidP="006B3DF7">
      <w:r w:rsidRPr="00C3190B">
        <w:t xml:space="preserve">Основной объем расходов был направлен на выполнение </w:t>
      </w:r>
      <w:r w:rsidRPr="00896C44">
        <w:t>государственных заданий по предоставлению населению республики услуг в сфере образования, здравоохранения, социальной защиты, культуры, физкультуры, спорта и сельского хозяйства.</w:t>
      </w:r>
    </w:p>
    <w:p w14:paraId="739564D4" w14:textId="77777777" w:rsidR="007B6763" w:rsidRPr="00896C44" w:rsidRDefault="007B6763" w:rsidP="006B3DF7">
      <w:r w:rsidRPr="00896C44">
        <w:t>Обязательства Кабардино-Балкарской Республики были исполнены в установленные сроки в полном объеме.</w:t>
      </w:r>
    </w:p>
    <w:p w14:paraId="454A079C" w14:textId="427A295B" w:rsidR="007B6763" w:rsidRDefault="007B6763" w:rsidP="006B3DF7">
      <w:r w:rsidRPr="00896C44">
        <w:t xml:space="preserve">Социально-значимые и первоочередные расходы составили </w:t>
      </w:r>
      <w:r w:rsidR="001B68C0">
        <w:br/>
      </w:r>
      <w:r>
        <w:t>49 420,9</w:t>
      </w:r>
      <w:r w:rsidRPr="00896C44">
        <w:t xml:space="preserve"> млн рублей или </w:t>
      </w:r>
      <w:r>
        <w:t>71,5</w:t>
      </w:r>
      <w:r w:rsidRPr="00896C44">
        <w:t xml:space="preserve"> % от общей суммы произведенных расходов.</w:t>
      </w:r>
    </w:p>
    <w:p w14:paraId="4412C968" w14:textId="77777777" w:rsidR="007B6763" w:rsidRPr="007332C6" w:rsidRDefault="007B6763" w:rsidP="006B3DF7">
      <w:r w:rsidRPr="007332C6">
        <w:t>Динамика по оплате труда работников бюджетной сферы за счет средств республиканского бюджета Кабардино-Балкарской Республики за последние годы претерпела значительные изменения. В соответствии со статьей 134 Трудового кодекса Российской Федерации в целях обеспечения повышения уровня реального содержания заработной платы Правительством Кабардино-Балкарской Республики пять лет подряд приняты меры по индексации фондов оплаты на 10 %, что выше темпов уровня инфляции, предусмотренных законом о бюджете на соответствующий финансовый год и плановый период</w:t>
      </w:r>
      <w:r>
        <w:t xml:space="preserve"> (</w:t>
      </w:r>
      <w:r w:rsidRPr="007332C6">
        <w:t>в 2025 году - распоряжение Правительства Кабардино-Балкарской Республики от 25 июля 2025 года № 446-рп</w:t>
      </w:r>
      <w:r>
        <w:t>)</w:t>
      </w:r>
      <w:r w:rsidRPr="007332C6">
        <w:t>.</w:t>
      </w:r>
    </w:p>
    <w:p w14:paraId="1FC57D8A" w14:textId="137F5873" w:rsidR="007B6763" w:rsidRPr="00896C44" w:rsidRDefault="007B6763" w:rsidP="006B3DF7">
      <w:r w:rsidRPr="00F25858">
        <w:t xml:space="preserve">Общий объем </w:t>
      </w:r>
      <w:r w:rsidRPr="00896C44">
        <w:t>бюджетных ассигнований, выделенных из республиканского бюджета КБР на повышение оплаты труда работников в 202</w:t>
      </w:r>
      <w:r>
        <w:t>5</w:t>
      </w:r>
      <w:r w:rsidRPr="00896C44">
        <w:t xml:space="preserve"> году, включая субвенцию на образование и выполнение индикативных показателей, составил </w:t>
      </w:r>
      <w:r>
        <w:t>686,2</w:t>
      </w:r>
      <w:r w:rsidR="00352B5D">
        <w:t xml:space="preserve"> </w:t>
      </w:r>
      <w:r w:rsidRPr="00896C44">
        <w:t>млн рублей.</w:t>
      </w:r>
    </w:p>
    <w:p w14:paraId="766DDA0A" w14:textId="3E2398CA" w:rsidR="007B6763" w:rsidRDefault="007B6763" w:rsidP="006B3DF7">
      <w:r w:rsidRPr="00896C44">
        <w:t xml:space="preserve">По результатам проводимой </w:t>
      </w:r>
      <w:r w:rsidR="00AA0DE8" w:rsidRPr="009B4E24">
        <w:t>Мин</w:t>
      </w:r>
      <w:r w:rsidR="00AA0DE8">
        <w:t>фин</w:t>
      </w:r>
      <w:r w:rsidR="00583E34">
        <w:t>о</w:t>
      </w:r>
      <w:r w:rsidR="00AA0DE8">
        <w:t>м РФ</w:t>
      </w:r>
      <w:r w:rsidRPr="00896C44">
        <w:t xml:space="preserve"> оценки качества управления региональными финансами Кабардино-Балкарская Республика единственная из регионов СКФО в </w:t>
      </w:r>
      <w:r>
        <w:t>шестой</w:t>
      </w:r>
      <w:r w:rsidRPr="00896C44">
        <w:t xml:space="preserve"> раз подряд вошла в группу с высоким качеством управления региональными финансами.</w:t>
      </w:r>
    </w:p>
    <w:p w14:paraId="6F52B9B3" w14:textId="77777777" w:rsidR="007B6763" w:rsidRPr="006B0EE9" w:rsidRDefault="007B6763" w:rsidP="006B3DF7">
      <w:pPr>
        <w:autoSpaceDE w:val="0"/>
        <w:autoSpaceDN w:val="0"/>
        <w:adjustRightInd w:val="0"/>
      </w:pPr>
      <w:r w:rsidRPr="006B0EE9">
        <w:t>По состоянию на 1 января 202</w:t>
      </w:r>
      <w:r>
        <w:t>6</w:t>
      </w:r>
      <w:r w:rsidRPr="006B0EE9">
        <w:t xml:space="preserve"> года просроченная кредиторская задолженность консолидированного бюджета Кабардино-Балкарской Республики отсутствует.</w:t>
      </w:r>
    </w:p>
    <w:p w14:paraId="53AB02D5" w14:textId="22FF7909" w:rsidR="007B6763" w:rsidRPr="00D5502E" w:rsidRDefault="007B6763" w:rsidP="006B3DF7">
      <w:pPr>
        <w:autoSpaceDE w:val="0"/>
        <w:autoSpaceDN w:val="0"/>
        <w:adjustRightInd w:val="0"/>
      </w:pPr>
      <w:r w:rsidRPr="00D5502E">
        <w:t xml:space="preserve">В соответствии с государственной программой Российской Федерации </w:t>
      </w:r>
      <w:r w:rsidR="006B3DF7">
        <w:t>«</w:t>
      </w:r>
      <w:r w:rsidRPr="00D5502E">
        <w:t>Развитие федеративных отношений и создание условий для эффективного и ответственного управления региональными и муниципальными финансами</w:t>
      </w:r>
      <w:r w:rsidR="006B3DF7">
        <w:t>»</w:t>
      </w:r>
      <w:r w:rsidRPr="00D5502E">
        <w:t>, утвержденной постановлением Правительства Российской Федерации</w:t>
      </w:r>
      <w:r w:rsidR="00594ED2">
        <w:t xml:space="preserve"> </w:t>
      </w:r>
      <w:r w:rsidRPr="00D5502E">
        <w:t>от 18 мая 2016 года № 445, показатель доли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 в</w:t>
      </w:r>
      <w:r w:rsidR="00594ED2">
        <w:t xml:space="preserve"> </w:t>
      </w:r>
      <w:r w:rsidRPr="00D5502E">
        <w:t>2025 году в расходах консолидированного бюджета Кабардино-Балкарской Республики не должен превышать 0,02 %. Данное условие выполняется.</w:t>
      </w:r>
    </w:p>
    <w:p w14:paraId="62989A7D" w14:textId="5D400651" w:rsidR="007B6763" w:rsidRPr="004B55D4" w:rsidRDefault="007B6763" w:rsidP="006B3DF7">
      <w:r w:rsidRPr="004B55D4">
        <w:t xml:space="preserve">По комплексу процессных мероприятий </w:t>
      </w:r>
      <w:r w:rsidR="006B3DF7">
        <w:t>«</w:t>
      </w:r>
      <w:r w:rsidRPr="004B55D4">
        <w:t>Поддержка и организация направления муниципальным образованиям Кабардино-Балкарской Республики межбюджетных трансфертов с целью выравнивания их бюджетной обеспеченности, обеспечения сбалансированности бюджетов муниципальных образований Кабардино-Балкарской Республики, социально-экономического развития и исполнения делегированных полномочий</w:t>
      </w:r>
      <w:r w:rsidR="006B3DF7">
        <w:t>»</w:t>
      </w:r>
      <w:r w:rsidRPr="004B55D4">
        <w:t xml:space="preserve"> расходы составили</w:t>
      </w:r>
      <w:r w:rsidR="00352B5D">
        <w:t xml:space="preserve"> </w:t>
      </w:r>
      <w:r>
        <w:t>729,4</w:t>
      </w:r>
      <w:r w:rsidRPr="004B55D4">
        <w:t xml:space="preserve"> млн рублей или 100 % от плановых назначений. Получателями дотаций явились 119 муниципальных образований, с которыми были заключены соглашения.</w:t>
      </w:r>
    </w:p>
    <w:p w14:paraId="136BA9F2" w14:textId="33BAA615" w:rsidR="007B6763" w:rsidRPr="004B55D4" w:rsidRDefault="007B6763" w:rsidP="006B3DF7">
      <w:r w:rsidRPr="004B55D4">
        <w:t xml:space="preserve">Комплекс процессных мероприятий </w:t>
      </w:r>
      <w:r w:rsidR="006B3DF7">
        <w:t>«</w:t>
      </w:r>
      <w:r w:rsidRPr="004B55D4">
        <w:t>Управление государственным долгом и государственными финансовыми активами</w:t>
      </w:r>
      <w:r w:rsidR="006B3DF7">
        <w:t>»</w:t>
      </w:r>
      <w:r w:rsidRPr="004B55D4">
        <w:t xml:space="preserve">. </w:t>
      </w:r>
    </w:p>
    <w:p w14:paraId="2463580C" w14:textId="77777777" w:rsidR="007B6763" w:rsidRPr="000F2BFD" w:rsidRDefault="007B6763" w:rsidP="006B3DF7">
      <w:r w:rsidRPr="000F2BFD">
        <w:t>По итогам 2025 года государственный долг составил 5 213,8 млн рублей и снизился по сравнению с уровнем 2024 года на (-) 2 345,9 млн рублей, динамика обусловлена:</w:t>
      </w:r>
    </w:p>
    <w:p w14:paraId="12358181" w14:textId="77777777" w:rsidR="007B6763" w:rsidRPr="000F2BFD" w:rsidRDefault="007B6763" w:rsidP="006B3DF7">
      <w:r w:rsidRPr="000F2BFD">
        <w:t>- привлечением казначейского инфраструктурного бюджетного кредита на реализацию инфраструктурных проектов в сумме 1 672,5 млн рублей;</w:t>
      </w:r>
    </w:p>
    <w:p w14:paraId="29B5EDBC" w14:textId="5914A005" w:rsidR="007B6763" w:rsidRPr="000F2BFD" w:rsidRDefault="007B6763" w:rsidP="006B3DF7">
      <w:r w:rsidRPr="000F2BFD">
        <w:t xml:space="preserve">- списанием задолженности по отдельным бюджетным кредитам в объеме </w:t>
      </w:r>
      <w:r w:rsidR="00352B5D">
        <w:br/>
      </w:r>
      <w:r w:rsidRPr="000F2BFD">
        <w:t xml:space="preserve">3 556,8 млн рублей в соответствии с постановлением Правительства Российской Федерации от 1 февраля 2025 </w:t>
      </w:r>
      <w:r w:rsidR="003D4698">
        <w:t>года</w:t>
      </w:r>
      <w:r w:rsidRPr="000F2BFD">
        <w:t xml:space="preserve"> № 79 </w:t>
      </w:r>
      <w:r w:rsidR="006B3DF7">
        <w:t>«</w:t>
      </w:r>
      <w:r w:rsidRPr="000F2BFD">
        <w: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r w:rsidR="006B3DF7">
        <w:t>»</w:t>
      </w:r>
      <w:r w:rsidRPr="000F2BFD">
        <w:t>;</w:t>
      </w:r>
    </w:p>
    <w:p w14:paraId="436DFDCB" w14:textId="77777777" w:rsidR="007B6763" w:rsidRPr="000F2BFD" w:rsidRDefault="007B6763" w:rsidP="006B3DF7">
      <w:r w:rsidRPr="000F2BFD">
        <w:t>- погашением задолженности по бюджетным кредитам согласно утвержденным графикам погашения в сумме 461,6 млн рублей, в том числе инфраструктурного бюджетного кредита в сумме 76,4 млн рублей, специального казначейского кредита в сумме 28,5 млн рублей, прочих бюджетных кредитов в сумме 356,7 млн рублей.</w:t>
      </w:r>
    </w:p>
    <w:p w14:paraId="6DAE2CEF" w14:textId="77777777" w:rsidR="007B6763" w:rsidRPr="000F2BFD" w:rsidRDefault="007B6763" w:rsidP="006B3DF7">
      <w:r w:rsidRPr="000F2BFD">
        <w:t xml:space="preserve">Привлечение коммерческих и иных заимствований в 2025 году </w:t>
      </w:r>
      <w:r w:rsidRPr="000F2BFD">
        <w:br/>
        <w:t>не осуществлялось.</w:t>
      </w:r>
    </w:p>
    <w:p w14:paraId="4DFEC502" w14:textId="77777777" w:rsidR="007B6763" w:rsidRPr="000F2BFD" w:rsidRDefault="007B6763" w:rsidP="006B3DF7">
      <w:r w:rsidRPr="000F2BFD">
        <w:t xml:space="preserve">Расходы на обслуживание государственного долга республиканского бюджета КБР по итогам 2025 года составили 63,5 млн рублей и увеличились относительно предыдущего года на 12,6 млн рублей за счет обслуживания привлеченных бюджетных кредитов на реализацию инфраструктурных проектов (строительство </w:t>
      </w:r>
      <w:proofErr w:type="spellStart"/>
      <w:r w:rsidRPr="000F2BFD">
        <w:t>Баксанского</w:t>
      </w:r>
      <w:proofErr w:type="spellEnd"/>
      <w:r w:rsidRPr="000F2BFD">
        <w:t xml:space="preserve"> группового водопровода и приобретение пассажирского транспорта общего пользования).</w:t>
      </w:r>
    </w:p>
    <w:p w14:paraId="41D8C50E" w14:textId="6975D3F5" w:rsidR="007B6763" w:rsidRPr="00896C44" w:rsidRDefault="007B6763" w:rsidP="006B3DF7">
      <w:r w:rsidRPr="004B55D4">
        <w:t xml:space="preserve">В рамках комплекса процессных мероприятий </w:t>
      </w:r>
      <w:r w:rsidR="006B3DF7">
        <w:t>«</w:t>
      </w:r>
      <w:r w:rsidRPr="004B55D4">
        <w:t>Сопровождение информационных систем обеспечения бюджетных правоотношений</w:t>
      </w:r>
      <w:r w:rsidR="006B3DF7">
        <w:t>»</w:t>
      </w:r>
      <w:r w:rsidRPr="00896C44">
        <w:t xml:space="preserve"> осуществлены расходы в объеме </w:t>
      </w:r>
      <w:r>
        <w:t>20,9</w:t>
      </w:r>
      <w:r w:rsidRPr="00896C44">
        <w:t xml:space="preserve"> млн рублей на сопровождение информационных систем (подсистем) (включая доступ к системам информационного обеспечения деятельности), оператором которого является Министерство.</w:t>
      </w:r>
    </w:p>
    <w:p w14:paraId="340C7012" w14:textId="323F7AA5" w:rsidR="007B6763" w:rsidRPr="004B55D4" w:rsidRDefault="007B6763" w:rsidP="006B3DF7">
      <w:r w:rsidRPr="004B55D4">
        <w:t xml:space="preserve">По комплексу процессных мероприятий </w:t>
      </w:r>
      <w:r w:rsidR="006B3DF7">
        <w:t>«</w:t>
      </w:r>
      <w:r w:rsidRPr="004B55D4">
        <w:t>Организация и управление бюджетным процессом и повышение его открытости</w:t>
      </w:r>
      <w:r w:rsidR="006B3DF7">
        <w:t>»</w:t>
      </w:r>
      <w:r w:rsidRPr="004B55D4">
        <w:t xml:space="preserve"> исполнение составило </w:t>
      </w:r>
      <w:r>
        <w:br/>
        <w:t>17,8</w:t>
      </w:r>
      <w:r w:rsidRPr="004B55D4">
        <w:t xml:space="preserve"> млн рублей или </w:t>
      </w:r>
      <w:r>
        <w:t>77,5</w:t>
      </w:r>
      <w:r w:rsidRPr="004B55D4">
        <w:t xml:space="preserve"> %, к уточненной росписи (23,</w:t>
      </w:r>
      <w:r>
        <w:t>1</w:t>
      </w:r>
      <w:r w:rsidRPr="004B55D4">
        <w:t xml:space="preserve"> млн рублей).</w:t>
      </w:r>
    </w:p>
    <w:p w14:paraId="5C342F0A" w14:textId="36B746D0" w:rsidR="007B6763" w:rsidRPr="00F25858" w:rsidRDefault="007B6763" w:rsidP="006B3DF7">
      <w:r w:rsidRPr="00896C44">
        <w:t xml:space="preserve">В рамках мероприятия </w:t>
      </w:r>
      <w:r w:rsidR="006B3DF7">
        <w:t>«</w:t>
      </w:r>
      <w:r w:rsidRPr="00896C44">
        <w:t>Обеспечено управление бюджетными ассигнованиями резервного фонда Правительства Кабардино-Балкарской Республики</w:t>
      </w:r>
      <w:r w:rsidR="006B3DF7">
        <w:t>»</w:t>
      </w:r>
      <w:r w:rsidRPr="00896C44">
        <w:t xml:space="preserve"> в</w:t>
      </w:r>
      <w:r w:rsidRPr="00F25858">
        <w:t xml:space="preserve"> 2025 году первоначально установленный объем резервного фонда Правительства </w:t>
      </w:r>
      <w:r w:rsidR="00352B5D">
        <w:br/>
      </w:r>
      <w:r w:rsidRPr="00F25858">
        <w:t xml:space="preserve">Кабардино-Балкарской Республики составлял 150,0 млн рублей был увеличен до </w:t>
      </w:r>
      <w:r w:rsidR="00352B5D">
        <w:br/>
      </w:r>
      <w:r w:rsidRPr="00F25858">
        <w:t xml:space="preserve">4 714,9 млн рублей в соответствии с частями 9 и 10 статьи 15 Федерального закона от 29 октября 2024 </w:t>
      </w:r>
      <w:r w:rsidR="003D4698">
        <w:t>года</w:t>
      </w:r>
      <w:r w:rsidRPr="00F25858">
        <w:t xml:space="preserve"> № 367-ФЗ </w:t>
      </w:r>
      <w:r w:rsidR="006B3DF7">
        <w:t>«</w:t>
      </w:r>
      <w:r w:rsidRPr="00F25858">
        <w: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r w:rsidR="006B3DF7">
        <w:t>»</w:t>
      </w:r>
      <w:r w:rsidRPr="00F25858">
        <w:t xml:space="preserve">, </w:t>
      </w:r>
      <w:hyperlink r:id="rId22" w:history="1">
        <w:r w:rsidRPr="00F25858">
          <w:t>Положением</w:t>
        </w:r>
      </w:hyperlink>
      <w:r w:rsidRPr="00F25858">
        <w:t xml:space="preserve"> о порядке расходования средств резервного фонда Правительства Кабардино-Балкарской Республики, утвержденным постановлением Правительства Кабардино-Балкарской Республики от 22 декабря </w:t>
      </w:r>
      <w:r w:rsidR="00352B5D">
        <w:br/>
      </w:r>
      <w:r w:rsidRPr="00F25858">
        <w:t xml:space="preserve">2010 </w:t>
      </w:r>
      <w:r w:rsidR="003D4698">
        <w:t>года</w:t>
      </w:r>
      <w:r w:rsidRPr="00F25858">
        <w:t xml:space="preserve"> № 242-ПП.</w:t>
      </w:r>
    </w:p>
    <w:p w14:paraId="58FD7DEE" w14:textId="1E3442EB" w:rsidR="007B6763" w:rsidRPr="00896C44" w:rsidRDefault="007B6763" w:rsidP="006B3DF7">
      <w:pPr>
        <w:autoSpaceDE w:val="0"/>
        <w:autoSpaceDN w:val="0"/>
        <w:adjustRightInd w:val="0"/>
        <w:contextualSpacing/>
      </w:pPr>
      <w:r w:rsidRPr="00896C44">
        <w:t xml:space="preserve">Средства резервного фонда Правительства Кабардино-Балкарской Республики были перераспределены на соответствующие государственные программы для оказания разовой финансовой помощи муниципальным образованиям Кабардино-Балкарской Республики и оказания материальной помощи гражданам Кабардино-Балкарской Республики, оказавшимся в тяжелой жизненной ситуации, в соответствии с поручениями Главы Кабардино-Балкарской Республики и Правительства </w:t>
      </w:r>
      <w:r w:rsidR="00352B5D">
        <w:br/>
      </w:r>
      <w:r w:rsidRPr="00896C44">
        <w:t>Кабардино-Балкарской Республики, а также на осуществление денежных выплат, установленных Указами Главы</w:t>
      </w:r>
      <w:r w:rsidR="00352B5D">
        <w:t xml:space="preserve"> </w:t>
      </w:r>
      <w:r w:rsidRPr="00896C44">
        <w:t xml:space="preserve">Кабардино-Балкарской Республики от 24 сентября </w:t>
      </w:r>
      <w:r w:rsidR="00352B5D">
        <w:br/>
      </w:r>
      <w:r w:rsidRPr="00896C44">
        <w:t xml:space="preserve">2022 </w:t>
      </w:r>
      <w:r w:rsidR="003D4698">
        <w:t>года</w:t>
      </w:r>
      <w:r w:rsidR="00EB3FE3">
        <w:t xml:space="preserve"> </w:t>
      </w:r>
      <w:r w:rsidRPr="00896C44">
        <w:t xml:space="preserve">№ 92-УГ </w:t>
      </w:r>
      <w:r w:rsidR="006B3DF7">
        <w:t>«</w:t>
      </w:r>
      <w:r w:rsidRPr="00896C44">
        <w:t>О дополнительных мерах социальной поддержки военнослужащих, иных категорий лиц и членов их семей</w:t>
      </w:r>
      <w:r w:rsidR="006B3DF7">
        <w:t>»</w:t>
      </w:r>
      <w:r w:rsidRPr="00896C44">
        <w:t xml:space="preserve"> и от 1 августа 2024 года № 63-УГ </w:t>
      </w:r>
      <w:r w:rsidR="006B3DF7">
        <w:t>«</w:t>
      </w:r>
      <w:r w:rsidRPr="00896C44">
        <w:t>О единовременной денежной выплате военнослужащим, проходящим военную службу по контракту в Вооруженных Силах Российской Федерации</w:t>
      </w:r>
      <w:r w:rsidR="006B3DF7">
        <w:t>»</w:t>
      </w:r>
      <w:r w:rsidRPr="00896C44">
        <w:t xml:space="preserve">, а также на реализацию специальной меры в сфере экономики, установленной постановлением Правительства Российской Федерации от 3 октября 2022 </w:t>
      </w:r>
      <w:r w:rsidR="003D4698">
        <w:t>года</w:t>
      </w:r>
      <w:r w:rsidR="00EB3FE3">
        <w:t xml:space="preserve"> </w:t>
      </w:r>
      <w:r w:rsidRPr="00896C44">
        <w:t xml:space="preserve">№ 1745 </w:t>
      </w:r>
      <w:r w:rsidR="006B3DF7">
        <w:t>«</w:t>
      </w:r>
      <w:r w:rsidRPr="00896C44">
        <w:t xml:space="preserve">О специальной мере в сфере экономики и внесении изменения в постановление Правительства Российской Федерации от 30 апреля 2020 </w:t>
      </w:r>
      <w:r w:rsidR="003D4698">
        <w:t>года</w:t>
      </w:r>
      <w:r w:rsidR="00EB3FE3">
        <w:t xml:space="preserve"> </w:t>
      </w:r>
      <w:r w:rsidRPr="00896C44">
        <w:t>№ 616</w:t>
      </w:r>
      <w:r w:rsidR="006B3DF7">
        <w:t>»</w:t>
      </w:r>
      <w:r w:rsidRPr="00896C44">
        <w:t>.</w:t>
      </w:r>
    </w:p>
    <w:p w14:paraId="0FD4F180" w14:textId="11294987" w:rsidR="007B6763" w:rsidRPr="004B55D4" w:rsidRDefault="007B6763" w:rsidP="006B3DF7">
      <w:pPr>
        <w:autoSpaceDE w:val="0"/>
        <w:autoSpaceDN w:val="0"/>
        <w:adjustRightInd w:val="0"/>
        <w:contextualSpacing/>
      </w:pPr>
      <w:r w:rsidRPr="004B55D4">
        <w:t>В рамках комплекс</w:t>
      </w:r>
      <w:r>
        <w:t>а</w:t>
      </w:r>
      <w:r w:rsidRPr="004B55D4">
        <w:t xml:space="preserve"> процессных мероприятий </w:t>
      </w:r>
      <w:r w:rsidR="006B3DF7">
        <w:t>«</w:t>
      </w:r>
      <w:r w:rsidRPr="004B55D4">
        <w:t>Обеспечение деятельности Министерства финансов Кабардино-Балкарской Республики</w:t>
      </w:r>
      <w:r w:rsidR="006B3DF7">
        <w:t>»</w:t>
      </w:r>
      <w:r w:rsidRPr="004B55D4">
        <w:t xml:space="preserve"> в 202</w:t>
      </w:r>
      <w:r>
        <w:t>5</w:t>
      </w:r>
      <w:r w:rsidRPr="004B55D4">
        <w:t xml:space="preserve"> году расходы составили </w:t>
      </w:r>
      <w:r>
        <w:t>118,5</w:t>
      </w:r>
      <w:r w:rsidRPr="004B55D4">
        <w:t xml:space="preserve"> млн рублей при плановых назначениях 1</w:t>
      </w:r>
      <w:r>
        <w:t>19,1</w:t>
      </w:r>
      <w:r w:rsidRPr="004B55D4">
        <w:t xml:space="preserve"> млн рублей.</w:t>
      </w:r>
    </w:p>
    <w:p w14:paraId="77416D66" w14:textId="03EBBA8C" w:rsidR="007B6763" w:rsidRPr="004B55D4" w:rsidRDefault="007B6763" w:rsidP="006B3DF7">
      <w:r w:rsidRPr="004B55D4">
        <w:t xml:space="preserve">Комплекс процессных мероприятий </w:t>
      </w:r>
      <w:r w:rsidR="006B3DF7">
        <w:t>«</w:t>
      </w:r>
      <w:r w:rsidRPr="004B55D4">
        <w:t>Поощрение муниципальных образований Кабардино-Балкарской Республики по итогам оценки эффективности деятельности органов местного самоуправления</w:t>
      </w:r>
      <w:r w:rsidR="006B3DF7">
        <w:t>»</w:t>
      </w:r>
      <w:r w:rsidRPr="004B55D4">
        <w:t>.</w:t>
      </w:r>
    </w:p>
    <w:p w14:paraId="240EE136" w14:textId="22412870" w:rsidR="007B6763" w:rsidRPr="00F95BA1" w:rsidRDefault="007B6763" w:rsidP="006B3DF7">
      <w:pPr>
        <w:autoSpaceDE w:val="0"/>
        <w:autoSpaceDN w:val="0"/>
        <w:adjustRightInd w:val="0"/>
        <w:contextualSpacing/>
      </w:pPr>
      <w:r w:rsidRPr="00F95BA1">
        <w:t xml:space="preserve">В рамках комплекса </w:t>
      </w:r>
      <w:r w:rsidRPr="004B55D4">
        <w:t xml:space="preserve">процессных мероприятий </w:t>
      </w:r>
      <w:r w:rsidRPr="00F95BA1">
        <w:t>по итогам выполнения плана по доходам муниципальными образованиями за девять месяцев</w:t>
      </w:r>
      <w:r w:rsidR="00352B5D">
        <w:t xml:space="preserve"> </w:t>
      </w:r>
      <w:r w:rsidRPr="00F95BA1">
        <w:t>2025 года, в соответствии с Законом Кабардино-Балкарской Республики</w:t>
      </w:r>
      <w:r w:rsidR="00352B5D">
        <w:t xml:space="preserve"> </w:t>
      </w:r>
      <w:r w:rsidRPr="00F95BA1">
        <w:t xml:space="preserve">от 29 декабря 2025 </w:t>
      </w:r>
      <w:r w:rsidR="003D4698">
        <w:t>года</w:t>
      </w:r>
      <w:r w:rsidRPr="00F95BA1">
        <w:t xml:space="preserve"> № 52-РЗ </w:t>
      </w:r>
      <w:r w:rsidR="006B3DF7">
        <w:t>«</w:t>
      </w:r>
      <w:r w:rsidRPr="00F95BA1">
        <w:t>О республиканском бюджете Кабардино-Балкарской Республики на 2025 год и на плановый период 2026 и 2027 годов</w:t>
      </w:r>
      <w:r w:rsidR="006B3DF7">
        <w:t>»</w:t>
      </w:r>
      <w:r w:rsidRPr="00F95BA1">
        <w:t xml:space="preserve"> была выделена дотации на поддержку мер по обеспечению сбалансированности бюджетов (в целях стимулирования муниципальных образований, принимающих меры по увеличению налогового потенциала) в объеме </w:t>
      </w:r>
      <w:r w:rsidR="00352B5D">
        <w:br/>
      </w:r>
      <w:r w:rsidRPr="00F95BA1">
        <w:t>4,5 млн рублей</w:t>
      </w:r>
      <w:r>
        <w:t>.</w:t>
      </w:r>
    </w:p>
    <w:p w14:paraId="69E29188" w14:textId="77777777" w:rsidR="00370B39" w:rsidRPr="00AE2D72" w:rsidRDefault="00370B39" w:rsidP="006B3DF7">
      <w:pPr>
        <w:widowControl/>
        <w:rPr>
          <w:rFonts w:eastAsia="Calibri"/>
          <w:color w:val="FF0000"/>
          <w:szCs w:val="22"/>
        </w:rPr>
      </w:pPr>
    </w:p>
    <w:p w14:paraId="33F60219" w14:textId="77777777" w:rsidR="00370B39" w:rsidRDefault="00CE41E1" w:rsidP="006B3DF7">
      <w:pPr>
        <w:pStyle w:val="24"/>
        <w:numPr>
          <w:ilvl w:val="0"/>
          <w:numId w:val="0"/>
        </w:numPr>
        <w:tabs>
          <w:tab w:val="left" w:pos="708"/>
        </w:tabs>
        <w:spacing w:before="0" w:after="0"/>
        <w:ind w:firstLine="709"/>
        <w:rPr>
          <w:color w:val="568D11" w:themeColor="accent3" w:themeShade="80"/>
        </w:rPr>
      </w:pPr>
      <w:bookmarkStart w:id="126" w:name="_Toc162008805"/>
      <w:r w:rsidRPr="00370B39">
        <w:rPr>
          <w:color w:val="568D11" w:themeColor="accent3" w:themeShade="80"/>
        </w:rPr>
        <w:t>1</w:t>
      </w:r>
      <w:r w:rsidR="002C24EA" w:rsidRPr="00370B39">
        <w:rPr>
          <w:color w:val="568D11" w:themeColor="accent3" w:themeShade="80"/>
        </w:rPr>
        <w:t>3</w:t>
      </w:r>
      <w:r w:rsidRPr="00370B39">
        <w:rPr>
          <w:color w:val="568D11" w:themeColor="accent3" w:themeShade="80"/>
        </w:rPr>
        <w:t xml:space="preserve">. </w:t>
      </w:r>
      <w:r w:rsidR="001332E9" w:rsidRPr="00370B39">
        <w:rPr>
          <w:color w:val="568D11" w:themeColor="accent3" w:themeShade="80"/>
        </w:rPr>
        <w:t>Межбюджетные отношения.</w:t>
      </w:r>
      <w:bookmarkEnd w:id="126"/>
    </w:p>
    <w:p w14:paraId="7FBB3DF0" w14:textId="601BF6D6" w:rsidR="001332E9" w:rsidRDefault="001332E9" w:rsidP="006B3DF7">
      <w:pPr>
        <w:pStyle w:val="24"/>
        <w:numPr>
          <w:ilvl w:val="0"/>
          <w:numId w:val="0"/>
        </w:numPr>
        <w:tabs>
          <w:tab w:val="left" w:pos="708"/>
        </w:tabs>
        <w:spacing w:before="0" w:after="0"/>
        <w:ind w:firstLine="709"/>
        <w:rPr>
          <w:color w:val="568D11" w:themeColor="accent3" w:themeShade="80"/>
        </w:rPr>
      </w:pPr>
      <w:bookmarkStart w:id="127" w:name="_Toc162008806"/>
      <w:r w:rsidRPr="00370B39">
        <w:rPr>
          <w:color w:val="568D11" w:themeColor="accent3" w:themeShade="80"/>
        </w:rPr>
        <w:t>Государственная поддержка</w:t>
      </w:r>
      <w:r w:rsidR="00EB3FE3">
        <w:rPr>
          <w:color w:val="568D11" w:themeColor="accent3" w:themeShade="80"/>
        </w:rPr>
        <w:t xml:space="preserve"> </w:t>
      </w:r>
      <w:r w:rsidRPr="00370B39">
        <w:rPr>
          <w:color w:val="568D11" w:themeColor="accent3" w:themeShade="80"/>
        </w:rPr>
        <w:t>местных бюджетов</w:t>
      </w:r>
      <w:bookmarkEnd w:id="125"/>
      <w:bookmarkEnd w:id="127"/>
    </w:p>
    <w:p w14:paraId="493112EF" w14:textId="77777777" w:rsidR="00344769" w:rsidRDefault="00344769" w:rsidP="006B3DF7">
      <w:pPr>
        <w:rPr>
          <w:bCs/>
          <w:color w:val="auto"/>
        </w:rPr>
      </w:pPr>
    </w:p>
    <w:p w14:paraId="5D0DEF4D" w14:textId="77777777" w:rsidR="007C32C3" w:rsidRPr="0001706F" w:rsidRDefault="007C32C3" w:rsidP="006B3DF7">
      <w:pPr>
        <w:rPr>
          <w:bCs/>
          <w:color w:val="auto"/>
        </w:rPr>
      </w:pPr>
      <w:r w:rsidRPr="0001706F">
        <w:rPr>
          <w:bCs/>
          <w:color w:val="auto"/>
        </w:rPr>
        <w:t>Создание условий для сбалансированного исполнения местных бюджетов остается приоритетом бюджетной политики в сфере межбюджетных отношений.</w:t>
      </w:r>
    </w:p>
    <w:p w14:paraId="7AA25036" w14:textId="77777777" w:rsidR="007C32C3" w:rsidRPr="0001706F" w:rsidRDefault="007C32C3" w:rsidP="006B3DF7">
      <w:pPr>
        <w:rPr>
          <w:bCs/>
          <w:color w:val="auto"/>
        </w:rPr>
      </w:pPr>
      <w:r w:rsidRPr="0001706F">
        <w:rPr>
          <w:bCs/>
          <w:color w:val="auto"/>
        </w:rPr>
        <w:t xml:space="preserve"> В целях формирования соответствующих условий в 2025 году продолжилась реализация задачи по формированию дополнительных доходных источников в местные бюджеты КБР, в частности:</w:t>
      </w:r>
    </w:p>
    <w:p w14:paraId="3FEC0F65" w14:textId="77777777" w:rsidR="007C32C3" w:rsidRPr="008B66C9" w:rsidRDefault="007C32C3" w:rsidP="006B3DF7">
      <w:pPr>
        <w:rPr>
          <w:bCs/>
          <w:color w:val="auto"/>
        </w:rPr>
      </w:pPr>
      <w:r w:rsidRPr="0001706F">
        <w:rPr>
          <w:bCs/>
          <w:color w:val="auto"/>
        </w:rPr>
        <w:t>•</w:t>
      </w:r>
      <w:r w:rsidRPr="0001706F">
        <w:rPr>
          <w:bCs/>
          <w:color w:val="auto"/>
        </w:rPr>
        <w:tab/>
        <w:t xml:space="preserve">замена дотации на поддержку мер по обеспечению сбалансированности бюджетов муниципальных районов и городских округов в целях частичной компенсации выпадающих доходов в связи с отменой ЕНВД на дифференцированные нормативы отчислений в бюджеты муниципальных районов и городских округов от налога, взимаемого в связи с применением упрощенной системы налогообложения. Средний дифференцированный норматив с 2024 года </w:t>
      </w:r>
      <w:r w:rsidRPr="0001706F">
        <w:rPr>
          <w:rFonts w:eastAsia="Calibri"/>
          <w:color w:val="auto"/>
        </w:rPr>
        <w:t xml:space="preserve">увеличен </w:t>
      </w:r>
      <w:r w:rsidRPr="0001706F">
        <w:rPr>
          <w:bCs/>
          <w:color w:val="auto"/>
        </w:rPr>
        <w:t xml:space="preserve">до 10%. По </w:t>
      </w:r>
      <w:r w:rsidRPr="008B66C9">
        <w:rPr>
          <w:bCs/>
          <w:color w:val="auto"/>
        </w:rPr>
        <w:t>итогам исполнения 2025 года поступления по упрощенной системе налогообложения составили 277 540,0 тыс. рублей, что превышает уровень 2024 года на 15,0%;</w:t>
      </w:r>
    </w:p>
    <w:p w14:paraId="5E175F32" w14:textId="70CD66B2" w:rsidR="007C32C3" w:rsidRPr="00603C18" w:rsidRDefault="007C32C3" w:rsidP="00603C18">
      <w:pPr>
        <w:rPr>
          <w:bCs/>
          <w:color w:val="auto"/>
        </w:rPr>
      </w:pPr>
      <w:r w:rsidRPr="008B66C9">
        <w:rPr>
          <w:bCs/>
          <w:color w:val="auto"/>
        </w:rPr>
        <w:t>•</w:t>
      </w:r>
      <w:r w:rsidRPr="008B66C9">
        <w:rPr>
          <w:bCs/>
          <w:color w:val="auto"/>
        </w:rPr>
        <w:tab/>
        <w:t>установление единых нормативов</w:t>
      </w:r>
      <w:r w:rsidRPr="0001706F">
        <w:rPr>
          <w:bCs/>
          <w:color w:val="auto"/>
        </w:rPr>
        <w:t xml:space="preserve"> отчислений в бюджеты муниципальных районов (городских округов) от платы за негативное воздействие на окружающую среду и от платы за пользование водными объектами, находящимися в собственности КБР в размере 100 процентов (закона КБР </w:t>
      </w:r>
      <w:r w:rsidR="006B3DF7">
        <w:rPr>
          <w:bCs/>
          <w:color w:val="auto"/>
        </w:rPr>
        <w:t>«</w:t>
      </w:r>
      <w:r w:rsidRPr="0001706F">
        <w:rPr>
          <w:bCs/>
          <w:color w:val="auto"/>
        </w:rPr>
        <w:t xml:space="preserve">О внесении </w:t>
      </w:r>
      <w:r w:rsidRPr="008B66C9">
        <w:rPr>
          <w:bCs/>
          <w:color w:val="auto"/>
        </w:rPr>
        <w:t xml:space="preserve">изменений в закон КБР </w:t>
      </w:r>
      <w:r w:rsidR="006B3DF7">
        <w:rPr>
          <w:bCs/>
          <w:color w:val="auto"/>
        </w:rPr>
        <w:t>«</w:t>
      </w:r>
      <w:r w:rsidRPr="008B66C9">
        <w:rPr>
          <w:bCs/>
          <w:color w:val="auto"/>
        </w:rPr>
        <w:t>О бюджетном устройстве и бюджетном процессе в КБР</w:t>
      </w:r>
      <w:r w:rsidR="006B3DF7">
        <w:rPr>
          <w:bCs/>
          <w:color w:val="auto"/>
        </w:rPr>
        <w:t>»</w:t>
      </w:r>
      <w:r w:rsidRPr="008B66C9">
        <w:rPr>
          <w:bCs/>
          <w:color w:val="auto"/>
        </w:rPr>
        <w:t xml:space="preserve">). За 2025 год по указанным видам доходов поступления </w:t>
      </w:r>
      <w:r w:rsidRPr="00603C18">
        <w:rPr>
          <w:bCs/>
          <w:color w:val="auto"/>
        </w:rPr>
        <w:t>составили</w:t>
      </w:r>
      <w:r w:rsidR="00352B5D" w:rsidRPr="00603C18">
        <w:rPr>
          <w:bCs/>
          <w:color w:val="auto"/>
        </w:rPr>
        <w:t xml:space="preserve"> </w:t>
      </w:r>
      <w:r w:rsidRPr="00603C18">
        <w:rPr>
          <w:bCs/>
          <w:color w:val="auto"/>
        </w:rPr>
        <w:t xml:space="preserve">7 935,0 тыс. рублей, </w:t>
      </w:r>
      <w:r w:rsidR="00603C18" w:rsidRPr="00603C18">
        <w:rPr>
          <w:bCs/>
          <w:color w:val="auto"/>
        </w:rPr>
        <w:t>со снижением к уровню 2024 года 56,8 %. Темп обусловлен взысканием задолж</w:t>
      </w:r>
      <w:r w:rsidR="00603C18">
        <w:rPr>
          <w:bCs/>
          <w:color w:val="auto"/>
        </w:rPr>
        <w:t>енности прошлых лет в 2024 году</w:t>
      </w:r>
      <w:r w:rsidRPr="00603C18">
        <w:rPr>
          <w:bCs/>
          <w:color w:val="auto"/>
        </w:rPr>
        <w:t>;</w:t>
      </w:r>
    </w:p>
    <w:p w14:paraId="41ABE245" w14:textId="77777777" w:rsidR="007C32C3" w:rsidRPr="00583E34" w:rsidRDefault="007C32C3" w:rsidP="006B3DF7">
      <w:pPr>
        <w:rPr>
          <w:bCs/>
        </w:rPr>
      </w:pPr>
      <w:r w:rsidRPr="00603C18">
        <w:rPr>
          <w:bCs/>
          <w:color w:val="auto"/>
        </w:rPr>
        <w:t>• повышение качества управления муниципальными финансами и соблю</w:t>
      </w:r>
      <w:r w:rsidRPr="00583E34">
        <w:rPr>
          <w:bCs/>
        </w:rPr>
        <w:t>дение надлежащей финансовой дисциплины;</w:t>
      </w:r>
    </w:p>
    <w:p w14:paraId="7A145A7D" w14:textId="77777777" w:rsidR="007C32C3" w:rsidRPr="00905ED5" w:rsidRDefault="007C32C3" w:rsidP="006B3DF7">
      <w:pPr>
        <w:rPr>
          <w:bCs/>
          <w:color w:val="auto"/>
        </w:rPr>
      </w:pPr>
      <w:r w:rsidRPr="00583E34">
        <w:rPr>
          <w:bCs/>
        </w:rPr>
        <w:t>•</w:t>
      </w:r>
      <w:r w:rsidRPr="00583E34">
        <w:rPr>
          <w:bCs/>
        </w:rPr>
        <w:tab/>
      </w:r>
      <w:r w:rsidRPr="00905ED5">
        <w:rPr>
          <w:bCs/>
          <w:color w:val="auto"/>
        </w:rPr>
        <w:t>усиление ответственности за нецелевое использование бюджетных средств, невыполнение условий межбюджетных трансфертов;</w:t>
      </w:r>
    </w:p>
    <w:p w14:paraId="79E05D0D" w14:textId="58CC0789" w:rsidR="007C32C3" w:rsidRPr="00905ED5" w:rsidRDefault="007C32C3" w:rsidP="006B3DF7">
      <w:pPr>
        <w:rPr>
          <w:bCs/>
          <w:color w:val="auto"/>
        </w:rPr>
      </w:pPr>
      <w:r w:rsidRPr="00905ED5">
        <w:rPr>
          <w:bCs/>
          <w:color w:val="auto"/>
        </w:rPr>
        <w:t>•</w:t>
      </w:r>
      <w:r w:rsidRPr="00905ED5">
        <w:rPr>
          <w:bCs/>
          <w:color w:val="auto"/>
        </w:rPr>
        <w:tab/>
        <w:t xml:space="preserve">повышение предсказуемости предоставления целевых межбюджетных трансфертов местным бюджетам из республиканского бюджета </w:t>
      </w:r>
      <w:r w:rsidRPr="00905ED5">
        <w:rPr>
          <w:bCs/>
          <w:color w:val="auto"/>
        </w:rPr>
        <w:br/>
        <w:t xml:space="preserve">Кабардино-Балкарской Республики (в </w:t>
      </w:r>
      <w:proofErr w:type="spellStart"/>
      <w:r w:rsidRPr="00905ED5">
        <w:rPr>
          <w:bCs/>
          <w:color w:val="auto"/>
        </w:rPr>
        <w:t>т.ч</w:t>
      </w:r>
      <w:proofErr w:type="spellEnd"/>
      <w:r w:rsidRPr="00905ED5">
        <w:rPr>
          <w:bCs/>
          <w:color w:val="auto"/>
        </w:rPr>
        <w:t xml:space="preserve">. увеличение объемов распределенных на </w:t>
      </w:r>
      <w:r w:rsidR="00352B5D">
        <w:rPr>
          <w:bCs/>
          <w:color w:val="auto"/>
        </w:rPr>
        <w:br/>
      </w:r>
      <w:r w:rsidRPr="00905ED5">
        <w:rPr>
          <w:bCs/>
          <w:color w:val="auto"/>
        </w:rPr>
        <w:t>3 года межбюджетных трансфертов и сокращение сроков их доведения).</w:t>
      </w:r>
    </w:p>
    <w:p w14:paraId="2F5EAE70" w14:textId="4238C2EB" w:rsidR="007C32C3" w:rsidRPr="00905ED5" w:rsidRDefault="007C32C3" w:rsidP="006B3DF7">
      <w:pPr>
        <w:rPr>
          <w:bCs/>
          <w:color w:val="auto"/>
        </w:rPr>
      </w:pPr>
      <w:r w:rsidRPr="00905ED5">
        <w:rPr>
          <w:bCs/>
          <w:color w:val="auto"/>
        </w:rPr>
        <w:t>Также действовал механизм стимулирования работы органов местного самоуправления по организации работы по погашению задолженности по налоговым платежам и страховым взносам. Размер дотации, подлежащей перечислению муниципальному образованию согласно кассовому плану исполнения республиканского бюджета КБР в соответствующем месяце, уменьшался на сумму задолженности не только по налогу на имущество, но и по всем налогам. В результате проводимой работы объем задолженности по налоговым платежам и страховым взносам, сложившийся у муниципальных районов (городских округов) снижался в течении года. В конце 202</w:t>
      </w:r>
      <w:r w:rsidR="00DF7E3B">
        <w:rPr>
          <w:bCs/>
          <w:color w:val="auto"/>
        </w:rPr>
        <w:t>5</w:t>
      </w:r>
      <w:r w:rsidRPr="00905ED5">
        <w:rPr>
          <w:bCs/>
          <w:color w:val="auto"/>
        </w:rPr>
        <w:t xml:space="preserve"> года запланированная сумма дотаций на выравнивание бюджетной обеспеченности перечислена муниципальным районам (городским округам) в полном объеме. </w:t>
      </w:r>
    </w:p>
    <w:p w14:paraId="5E56DC1F" w14:textId="77777777" w:rsidR="007C32C3" w:rsidRPr="00905ED5" w:rsidRDefault="007C32C3" w:rsidP="006B3DF7">
      <w:pPr>
        <w:rPr>
          <w:bCs/>
          <w:color w:val="auto"/>
        </w:rPr>
      </w:pPr>
      <w:r w:rsidRPr="00905ED5">
        <w:rPr>
          <w:bCs/>
          <w:color w:val="auto"/>
        </w:rPr>
        <w:t xml:space="preserve">В целях недопущения некорректного отражения доходной и расходной части бюджета ежедневно проводится анализ, представленных муниципальными образованиями уведомлений о внесении изменений в бюджетную роспись. Так в течение 2025 года было обработано 116102 и отказано 12750 бюджетных строк в уведомлениях об изменении бюджетных назначений. </w:t>
      </w:r>
    </w:p>
    <w:p w14:paraId="45477E82" w14:textId="77777777" w:rsidR="007C32C3" w:rsidRPr="00111634" w:rsidRDefault="007C32C3" w:rsidP="006B3DF7">
      <w:pPr>
        <w:rPr>
          <w:bCs/>
          <w:color w:val="auto"/>
        </w:rPr>
      </w:pPr>
      <w:r w:rsidRPr="00111634">
        <w:rPr>
          <w:bCs/>
          <w:color w:val="auto"/>
        </w:rPr>
        <w:t xml:space="preserve">В 2025 году было рассмотрено и дано: </w:t>
      </w:r>
    </w:p>
    <w:p w14:paraId="62CD149F" w14:textId="2CB4156D" w:rsidR="007C32C3" w:rsidRPr="00111634" w:rsidRDefault="007C32C3" w:rsidP="006B3DF7">
      <w:pPr>
        <w:rPr>
          <w:bCs/>
          <w:color w:val="auto"/>
        </w:rPr>
      </w:pPr>
      <w:r w:rsidRPr="00111634">
        <w:rPr>
          <w:bCs/>
          <w:color w:val="auto"/>
        </w:rPr>
        <w:t xml:space="preserve">- 19 положительных и 11 отрицательных заключений на проекты решений сессий муниципальных районов (городских округов) </w:t>
      </w:r>
      <w:r w:rsidR="006B3DF7">
        <w:rPr>
          <w:bCs/>
          <w:color w:val="auto"/>
        </w:rPr>
        <w:t>«</w:t>
      </w:r>
      <w:r w:rsidRPr="00111634">
        <w:rPr>
          <w:bCs/>
          <w:color w:val="auto"/>
        </w:rPr>
        <w:t>О внесении изменений и дополнений в местный бюджет муниципального района (городского округа) на 2025 год и плановый период 2026 и 2027 годов</w:t>
      </w:r>
      <w:r w:rsidR="006B3DF7">
        <w:rPr>
          <w:bCs/>
          <w:color w:val="auto"/>
        </w:rPr>
        <w:t>»</w:t>
      </w:r>
      <w:r w:rsidRPr="00111634">
        <w:rPr>
          <w:bCs/>
          <w:color w:val="auto"/>
        </w:rPr>
        <w:t>;</w:t>
      </w:r>
    </w:p>
    <w:p w14:paraId="709CF7F8" w14:textId="5FB0B327" w:rsidR="007C32C3" w:rsidRPr="00111634" w:rsidRDefault="007C32C3" w:rsidP="006B3DF7">
      <w:pPr>
        <w:rPr>
          <w:bCs/>
          <w:color w:val="auto"/>
        </w:rPr>
      </w:pPr>
      <w:r w:rsidRPr="00111634">
        <w:rPr>
          <w:bCs/>
          <w:color w:val="auto"/>
        </w:rPr>
        <w:t xml:space="preserve">- 11 заключений на проекты решений сессий муниципальных районов (городских округов) </w:t>
      </w:r>
      <w:r w:rsidR="006B3DF7">
        <w:rPr>
          <w:bCs/>
          <w:color w:val="auto"/>
        </w:rPr>
        <w:t>«</w:t>
      </w:r>
      <w:r w:rsidRPr="00111634">
        <w:rPr>
          <w:bCs/>
          <w:color w:val="auto"/>
        </w:rPr>
        <w:t>О местном бюджете муниципального района (городского округа) на 2026 год и плановый период 2027 и 2028 годов</w:t>
      </w:r>
      <w:r w:rsidR="006B3DF7">
        <w:rPr>
          <w:bCs/>
          <w:color w:val="auto"/>
        </w:rPr>
        <w:t>»</w:t>
      </w:r>
      <w:r w:rsidRPr="00111634">
        <w:rPr>
          <w:bCs/>
          <w:color w:val="auto"/>
        </w:rPr>
        <w:t>;</w:t>
      </w:r>
    </w:p>
    <w:p w14:paraId="50E1C7A0" w14:textId="4847FE8E" w:rsidR="007C32C3" w:rsidRPr="00111634" w:rsidRDefault="007C32C3" w:rsidP="006B3DF7">
      <w:pPr>
        <w:rPr>
          <w:rFonts w:eastAsia="Trebuchet MS"/>
          <w:color w:val="auto"/>
        </w:rPr>
      </w:pPr>
      <w:r w:rsidRPr="00111634">
        <w:rPr>
          <w:bCs/>
          <w:color w:val="auto"/>
        </w:rPr>
        <w:t xml:space="preserve">  - 24 заключения по  муниципальным образованиям на проекты решений сессий представительных органов местного самоуправления муниципальных образований </w:t>
      </w:r>
      <w:r w:rsidR="006B3DF7">
        <w:rPr>
          <w:bCs/>
          <w:color w:val="auto"/>
        </w:rPr>
        <w:t>«</w:t>
      </w:r>
      <w:r w:rsidRPr="00111634">
        <w:rPr>
          <w:bCs/>
          <w:color w:val="auto"/>
        </w:rPr>
        <w:t>О местном бюджете муниципального образования на 2026 год и плановый период 2027 и 2028 годов</w:t>
      </w:r>
      <w:r w:rsidR="006B3DF7">
        <w:rPr>
          <w:bCs/>
          <w:color w:val="auto"/>
        </w:rPr>
        <w:t>»</w:t>
      </w:r>
      <w:r w:rsidRPr="00111634">
        <w:rPr>
          <w:bCs/>
          <w:color w:val="auto"/>
        </w:rPr>
        <w:t xml:space="preserve">, подпадающими под </w:t>
      </w:r>
      <w:r w:rsidRPr="00111634">
        <w:rPr>
          <w:rFonts w:eastAsia="Trebuchet MS"/>
          <w:color w:val="auto"/>
        </w:rPr>
        <w:t>перечень муниципальных образований,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14:paraId="00B41993" w14:textId="61C6BD1E" w:rsidR="007C32C3" w:rsidRPr="00905ED5" w:rsidRDefault="007C32C3" w:rsidP="006B3DF7">
      <w:pPr>
        <w:rPr>
          <w:rFonts w:eastAsia="Trebuchet MS"/>
          <w:color w:val="auto"/>
        </w:rPr>
      </w:pPr>
      <w:r w:rsidRPr="00905ED5">
        <w:rPr>
          <w:rFonts w:eastAsia="Trebuchet MS"/>
          <w:color w:val="auto"/>
        </w:rPr>
        <w:t xml:space="preserve">В </w:t>
      </w:r>
      <w:r w:rsidR="00AA0DE8" w:rsidRPr="009B4E24">
        <w:t>Мин</w:t>
      </w:r>
      <w:r w:rsidR="00AA0DE8">
        <w:t>фин РФ</w:t>
      </w:r>
      <w:r w:rsidRPr="00905ED5">
        <w:rPr>
          <w:rFonts w:eastAsia="Trebuchet MS"/>
          <w:color w:val="auto"/>
        </w:rPr>
        <w:t xml:space="preserve"> был представлен мониторинг местных бюджетов и межбюджетных отношений в Кабардино-Балкарской Республике на региональном и муниципальном уровнях за 202</w:t>
      </w:r>
      <w:r>
        <w:rPr>
          <w:rFonts w:eastAsia="Trebuchet MS"/>
          <w:color w:val="auto"/>
        </w:rPr>
        <w:t>4</w:t>
      </w:r>
      <w:r w:rsidRPr="00905ED5">
        <w:rPr>
          <w:rFonts w:eastAsia="Trebuchet MS"/>
          <w:color w:val="auto"/>
        </w:rPr>
        <w:t xml:space="preserve"> год. В целях формирования мониторинга местных бюджетов был проведен анализ </w:t>
      </w:r>
      <w:r w:rsidRPr="00905ED5">
        <w:rPr>
          <w:color w:val="auto"/>
        </w:rPr>
        <w:t>исполнения местных бюджетов, а также межбюджетного регулирования, осуществляемого органами государственной власти КБР, органами местного самоуправления муниципальных районов и городских округов</w:t>
      </w:r>
      <w:r w:rsidRPr="00905ED5">
        <w:rPr>
          <w:rFonts w:eastAsia="Trebuchet MS"/>
          <w:color w:val="auto"/>
        </w:rPr>
        <w:t xml:space="preserve">. </w:t>
      </w:r>
    </w:p>
    <w:p w14:paraId="1845C4B7" w14:textId="77777777" w:rsidR="007C32C3" w:rsidRPr="00905ED5" w:rsidRDefault="007C32C3" w:rsidP="006B3DF7">
      <w:pPr>
        <w:rPr>
          <w:rFonts w:eastAsia="Trebuchet MS"/>
          <w:color w:val="auto"/>
        </w:rPr>
      </w:pPr>
      <w:r w:rsidRPr="00905ED5">
        <w:rPr>
          <w:rFonts w:ascii="Times New Roman CYR" w:hAnsi="Times New Roman CYR"/>
          <w:color w:val="auto"/>
        </w:rPr>
        <w:t>Сформированные отчетные данные по всем 1</w:t>
      </w:r>
      <w:r>
        <w:rPr>
          <w:rFonts w:ascii="Times New Roman CYR" w:hAnsi="Times New Roman CYR"/>
          <w:color w:val="auto"/>
        </w:rPr>
        <w:t>6</w:t>
      </w:r>
      <w:r w:rsidRPr="00905ED5">
        <w:rPr>
          <w:rFonts w:ascii="Times New Roman CYR" w:hAnsi="Times New Roman CYR"/>
          <w:color w:val="auto"/>
        </w:rPr>
        <w:t xml:space="preserve"> формам были представлены в электронном виде в единой информационной аналитической системе сбора и свода отчетности Минфина РФ (ЕИАС) в установленные сроки.</w:t>
      </w:r>
    </w:p>
    <w:p w14:paraId="47986FAE" w14:textId="77777777" w:rsidR="007C32C3" w:rsidRPr="00905ED5" w:rsidRDefault="007C32C3" w:rsidP="006B3DF7">
      <w:pPr>
        <w:tabs>
          <w:tab w:val="left" w:pos="899"/>
        </w:tabs>
        <w:rPr>
          <w:color w:val="auto"/>
        </w:rPr>
      </w:pPr>
      <w:r w:rsidRPr="00905ED5">
        <w:rPr>
          <w:color w:val="auto"/>
        </w:rPr>
        <w:t>Мониторинг местных бюджетов был осуществлен по итогам исполнения республиканского и местных бюджетов по следующим группам показателей:</w:t>
      </w:r>
    </w:p>
    <w:p w14:paraId="3E014B54" w14:textId="77777777" w:rsidR="007C32C3" w:rsidRPr="00905ED5" w:rsidRDefault="007C32C3" w:rsidP="006B3DF7">
      <w:pPr>
        <w:numPr>
          <w:ilvl w:val="0"/>
          <w:numId w:val="31"/>
        </w:numPr>
        <w:tabs>
          <w:tab w:val="left" w:pos="1003"/>
        </w:tabs>
        <w:rPr>
          <w:color w:val="auto"/>
        </w:rPr>
      </w:pPr>
      <w:r w:rsidRPr="00905ED5">
        <w:rPr>
          <w:color w:val="auto"/>
        </w:rPr>
        <w:t>количество местных бюджетов;</w:t>
      </w:r>
    </w:p>
    <w:p w14:paraId="52B3A0E5" w14:textId="77777777" w:rsidR="007C32C3" w:rsidRPr="00905ED5" w:rsidRDefault="007C32C3" w:rsidP="006B3DF7">
      <w:pPr>
        <w:numPr>
          <w:ilvl w:val="0"/>
          <w:numId w:val="31"/>
        </w:numPr>
        <w:tabs>
          <w:tab w:val="left" w:pos="1003"/>
        </w:tabs>
        <w:rPr>
          <w:color w:val="auto"/>
        </w:rPr>
      </w:pPr>
      <w:r w:rsidRPr="00905ED5">
        <w:rPr>
          <w:color w:val="auto"/>
        </w:rPr>
        <w:t>установление органами государственной власти КБР нормативов отчислений от федеральных налогов и сборов и региональных налогов, а также отдельных неналоговых доходов в местные бюджеты;</w:t>
      </w:r>
    </w:p>
    <w:p w14:paraId="503040B1" w14:textId="77777777" w:rsidR="007C32C3" w:rsidRPr="00905ED5" w:rsidRDefault="007C32C3" w:rsidP="006B3DF7">
      <w:pPr>
        <w:numPr>
          <w:ilvl w:val="0"/>
          <w:numId w:val="31"/>
        </w:numPr>
        <w:tabs>
          <w:tab w:val="left" w:pos="1003"/>
        </w:tabs>
        <w:rPr>
          <w:color w:val="auto"/>
        </w:rPr>
      </w:pPr>
      <w:r w:rsidRPr="00905ED5">
        <w:rPr>
          <w:color w:val="auto"/>
        </w:rPr>
        <w:t>установление органами местного самоуправления муниципальных районов нормативов отчислений от федеральных, региональных и местных налогов и сборов, а также неналоговых доходов в бюджеты поселений;</w:t>
      </w:r>
    </w:p>
    <w:p w14:paraId="662E956C" w14:textId="77777777" w:rsidR="007C32C3" w:rsidRPr="00905ED5" w:rsidRDefault="007C32C3" w:rsidP="006B3DF7">
      <w:pPr>
        <w:numPr>
          <w:ilvl w:val="0"/>
          <w:numId w:val="31"/>
        </w:numPr>
        <w:tabs>
          <w:tab w:val="left" w:pos="1003"/>
        </w:tabs>
        <w:rPr>
          <w:color w:val="auto"/>
        </w:rPr>
      </w:pPr>
      <w:r w:rsidRPr="00905ED5">
        <w:rPr>
          <w:color w:val="auto"/>
        </w:rPr>
        <w:t>передача полномочий по решению вопросов местного значения;</w:t>
      </w:r>
    </w:p>
    <w:p w14:paraId="2427493F" w14:textId="77777777" w:rsidR="007C32C3" w:rsidRPr="00905ED5" w:rsidRDefault="007C32C3" w:rsidP="006B3DF7">
      <w:pPr>
        <w:numPr>
          <w:ilvl w:val="0"/>
          <w:numId w:val="31"/>
        </w:numPr>
        <w:tabs>
          <w:tab w:val="left" w:pos="1003"/>
        </w:tabs>
        <w:rPr>
          <w:color w:val="auto"/>
        </w:rPr>
      </w:pPr>
      <w:r w:rsidRPr="00905ED5">
        <w:rPr>
          <w:color w:val="auto"/>
        </w:rPr>
        <w:t xml:space="preserve">установление местных налогов, применение механизмов самообложения граждан, инициативного бюджетирования и утверждение смет доходов и расходов населенных пунктов и других территорий, не являющихся муниципальными образованиями; </w:t>
      </w:r>
    </w:p>
    <w:p w14:paraId="1231B6C7" w14:textId="77777777" w:rsidR="007C32C3" w:rsidRPr="00905ED5" w:rsidRDefault="007C32C3" w:rsidP="006B3DF7">
      <w:pPr>
        <w:numPr>
          <w:ilvl w:val="0"/>
          <w:numId w:val="31"/>
        </w:numPr>
        <w:tabs>
          <w:tab w:val="left" w:pos="1003"/>
        </w:tabs>
        <w:rPr>
          <w:color w:val="auto"/>
        </w:rPr>
      </w:pPr>
      <w:r w:rsidRPr="00905ED5">
        <w:rPr>
          <w:color w:val="auto"/>
        </w:rPr>
        <w:t>расходы местных бюджетов;</w:t>
      </w:r>
    </w:p>
    <w:p w14:paraId="183DAF4F" w14:textId="77777777" w:rsidR="007C32C3" w:rsidRPr="00905ED5" w:rsidRDefault="007C32C3" w:rsidP="006B3DF7">
      <w:pPr>
        <w:numPr>
          <w:ilvl w:val="0"/>
          <w:numId w:val="31"/>
        </w:numPr>
        <w:tabs>
          <w:tab w:val="left" w:pos="1003"/>
        </w:tabs>
        <w:rPr>
          <w:color w:val="auto"/>
        </w:rPr>
      </w:pPr>
      <w:r w:rsidRPr="00905ED5">
        <w:rPr>
          <w:color w:val="auto"/>
        </w:rPr>
        <w:t>осуществление муниципальными образованиями отдельных государственных полномочий;</w:t>
      </w:r>
    </w:p>
    <w:p w14:paraId="117B3A53" w14:textId="77777777" w:rsidR="007C32C3" w:rsidRPr="00905ED5" w:rsidRDefault="007C32C3" w:rsidP="006B3DF7">
      <w:pPr>
        <w:numPr>
          <w:ilvl w:val="0"/>
          <w:numId w:val="31"/>
        </w:numPr>
        <w:tabs>
          <w:tab w:val="left" w:pos="1003"/>
        </w:tabs>
        <w:rPr>
          <w:color w:val="auto"/>
        </w:rPr>
      </w:pPr>
      <w:r w:rsidRPr="00905ED5">
        <w:rPr>
          <w:color w:val="auto"/>
        </w:rPr>
        <w:t>межбюджетные трансферты и бюджетные кредиты, предоставляемые из бюджета субъекта Российской Федерации местным бюджетам;</w:t>
      </w:r>
    </w:p>
    <w:p w14:paraId="3F7946B6" w14:textId="77777777" w:rsidR="007C32C3" w:rsidRPr="00905ED5" w:rsidRDefault="007C32C3" w:rsidP="006B3DF7">
      <w:pPr>
        <w:numPr>
          <w:ilvl w:val="0"/>
          <w:numId w:val="31"/>
        </w:numPr>
        <w:tabs>
          <w:tab w:val="left" w:pos="1003"/>
        </w:tabs>
        <w:rPr>
          <w:color w:val="auto"/>
        </w:rPr>
      </w:pPr>
      <w:r w:rsidRPr="00905ED5">
        <w:rPr>
          <w:color w:val="auto"/>
        </w:rPr>
        <w:t>обеспечение стабильности</w:t>
      </w:r>
      <w:r w:rsidRPr="00C014DC">
        <w:rPr>
          <w:color w:val="FF0000"/>
        </w:rPr>
        <w:t xml:space="preserve"> </w:t>
      </w:r>
      <w:r w:rsidRPr="00905ED5">
        <w:rPr>
          <w:color w:val="auto"/>
        </w:rPr>
        <w:t>выравнивания бюджетной обеспеченности муниципальных образований;</w:t>
      </w:r>
    </w:p>
    <w:p w14:paraId="2A9A95AD" w14:textId="77777777" w:rsidR="007C32C3" w:rsidRPr="00905ED5" w:rsidRDefault="007C32C3" w:rsidP="006B3DF7">
      <w:pPr>
        <w:numPr>
          <w:ilvl w:val="0"/>
          <w:numId w:val="31"/>
        </w:numPr>
        <w:tabs>
          <w:tab w:val="left" w:pos="1003"/>
        </w:tabs>
        <w:rPr>
          <w:color w:val="auto"/>
        </w:rPr>
      </w:pPr>
      <w:r w:rsidRPr="00905ED5">
        <w:rPr>
          <w:color w:val="auto"/>
        </w:rPr>
        <w:t>межбюджетные трансферты и бюджетные кредиты из местных бюджетов;</w:t>
      </w:r>
    </w:p>
    <w:p w14:paraId="076CD45C" w14:textId="77777777" w:rsidR="007C32C3" w:rsidRPr="00905ED5" w:rsidRDefault="007C32C3" w:rsidP="006B3DF7">
      <w:pPr>
        <w:numPr>
          <w:ilvl w:val="0"/>
          <w:numId w:val="31"/>
        </w:numPr>
        <w:tabs>
          <w:tab w:val="left" w:pos="1003"/>
        </w:tabs>
        <w:rPr>
          <w:color w:val="auto"/>
        </w:rPr>
      </w:pPr>
      <w:r w:rsidRPr="00905ED5">
        <w:rPr>
          <w:color w:val="auto"/>
        </w:rPr>
        <w:t xml:space="preserve">структура муниципальных образований по степени </w:t>
      </w:r>
      <w:proofErr w:type="spellStart"/>
      <w:r w:rsidRPr="00905ED5">
        <w:rPr>
          <w:color w:val="auto"/>
        </w:rPr>
        <w:t>дотационности</w:t>
      </w:r>
      <w:proofErr w:type="spellEnd"/>
      <w:r w:rsidRPr="00905ED5">
        <w:rPr>
          <w:color w:val="auto"/>
        </w:rPr>
        <w:t xml:space="preserve"> местных бюджетов;</w:t>
      </w:r>
    </w:p>
    <w:p w14:paraId="751B7DF9" w14:textId="77777777" w:rsidR="007C32C3" w:rsidRPr="00905ED5" w:rsidRDefault="007C32C3" w:rsidP="006B3DF7">
      <w:pPr>
        <w:numPr>
          <w:ilvl w:val="0"/>
          <w:numId w:val="31"/>
        </w:numPr>
        <w:tabs>
          <w:tab w:val="left" w:pos="1005"/>
        </w:tabs>
        <w:rPr>
          <w:color w:val="auto"/>
        </w:rPr>
      </w:pPr>
      <w:r w:rsidRPr="00905ED5">
        <w:rPr>
          <w:color w:val="auto"/>
        </w:rPr>
        <w:t>соблюдение органами местного самоуправления основных условий предоставления межбюджетных трансфертов;</w:t>
      </w:r>
    </w:p>
    <w:p w14:paraId="3ABCAE45" w14:textId="77777777" w:rsidR="007C32C3" w:rsidRPr="00905ED5" w:rsidRDefault="007C32C3" w:rsidP="006B3DF7">
      <w:pPr>
        <w:numPr>
          <w:ilvl w:val="0"/>
          <w:numId w:val="31"/>
        </w:numPr>
        <w:tabs>
          <w:tab w:val="left" w:pos="1005"/>
        </w:tabs>
        <w:rPr>
          <w:color w:val="auto"/>
        </w:rPr>
      </w:pPr>
      <w:r w:rsidRPr="00905ED5">
        <w:rPr>
          <w:color w:val="auto"/>
        </w:rPr>
        <w:t>показатели бюджетной обеспеченности муниципальных образований;</w:t>
      </w:r>
    </w:p>
    <w:p w14:paraId="73766DCC" w14:textId="77777777" w:rsidR="007C32C3" w:rsidRPr="00905ED5" w:rsidRDefault="007C32C3" w:rsidP="006B3DF7">
      <w:pPr>
        <w:numPr>
          <w:ilvl w:val="0"/>
          <w:numId w:val="31"/>
        </w:numPr>
        <w:tabs>
          <w:tab w:val="left" w:pos="1005"/>
        </w:tabs>
        <w:rPr>
          <w:color w:val="auto"/>
        </w:rPr>
      </w:pPr>
      <w:r w:rsidRPr="00905ED5">
        <w:rPr>
          <w:color w:val="auto"/>
        </w:rPr>
        <w:t>показатели сбалансированности местных бюджетов и муниципального долга;</w:t>
      </w:r>
    </w:p>
    <w:p w14:paraId="215F180F" w14:textId="77777777" w:rsidR="007C32C3" w:rsidRPr="00905ED5" w:rsidRDefault="007C32C3" w:rsidP="006B3DF7">
      <w:pPr>
        <w:numPr>
          <w:ilvl w:val="0"/>
          <w:numId w:val="31"/>
        </w:numPr>
        <w:tabs>
          <w:tab w:val="left" w:pos="1005"/>
        </w:tabs>
        <w:rPr>
          <w:color w:val="auto"/>
        </w:rPr>
      </w:pPr>
      <w:r w:rsidRPr="00905ED5">
        <w:rPr>
          <w:color w:val="auto"/>
        </w:rPr>
        <w:t>расходы на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а также на</w:t>
      </w:r>
      <w:r w:rsidRPr="00C014DC">
        <w:rPr>
          <w:color w:val="FF0000"/>
        </w:rPr>
        <w:t xml:space="preserve"> </w:t>
      </w:r>
      <w:r w:rsidRPr="00905ED5">
        <w:rPr>
          <w:color w:val="auto"/>
        </w:rPr>
        <w:t>подготовку кадров для муниципальной службы;</w:t>
      </w:r>
    </w:p>
    <w:p w14:paraId="582AAF1F" w14:textId="77777777" w:rsidR="007C32C3" w:rsidRPr="00905ED5" w:rsidRDefault="007C32C3" w:rsidP="006B3DF7">
      <w:pPr>
        <w:numPr>
          <w:ilvl w:val="0"/>
          <w:numId w:val="31"/>
        </w:numPr>
        <w:tabs>
          <w:tab w:val="left" w:pos="1005"/>
        </w:tabs>
        <w:rPr>
          <w:color w:val="auto"/>
        </w:rPr>
      </w:pPr>
      <w:r w:rsidRPr="00905ED5">
        <w:rPr>
          <w:color w:val="auto"/>
        </w:rPr>
        <w:t>сроки предоставления межбюджетных трансфертов из бюджета субъекта Российской Федерации местным бюджетам.</w:t>
      </w:r>
    </w:p>
    <w:p w14:paraId="788D1086" w14:textId="77777777" w:rsidR="007C32C3" w:rsidRPr="00905ED5" w:rsidRDefault="007C32C3" w:rsidP="006B3DF7">
      <w:pPr>
        <w:tabs>
          <w:tab w:val="left" w:pos="907"/>
        </w:tabs>
        <w:rPr>
          <w:color w:val="auto"/>
        </w:rPr>
      </w:pPr>
      <w:r w:rsidRPr="00905ED5">
        <w:rPr>
          <w:color w:val="auto"/>
        </w:rPr>
        <w:t>Мониторинг местных бюджетов проводился на основании:</w:t>
      </w:r>
    </w:p>
    <w:p w14:paraId="56BFE3D5" w14:textId="4683A765" w:rsidR="007C32C3" w:rsidRPr="00905ED5" w:rsidRDefault="007C32C3" w:rsidP="006B3DF7">
      <w:pPr>
        <w:tabs>
          <w:tab w:val="left" w:pos="907"/>
        </w:tabs>
        <w:rPr>
          <w:color w:val="auto"/>
        </w:rPr>
      </w:pPr>
      <w:r w:rsidRPr="00905ED5">
        <w:rPr>
          <w:color w:val="auto"/>
        </w:rPr>
        <w:t>- данных по итогам исполнения республиканского бюджета КБР за 202</w:t>
      </w:r>
      <w:r w:rsidR="00DF7E3B">
        <w:rPr>
          <w:color w:val="auto"/>
        </w:rPr>
        <w:t>4</w:t>
      </w:r>
      <w:r w:rsidRPr="00905ED5">
        <w:rPr>
          <w:color w:val="auto"/>
        </w:rPr>
        <w:t xml:space="preserve"> год;</w:t>
      </w:r>
    </w:p>
    <w:p w14:paraId="1A9445A9" w14:textId="4F56F19D" w:rsidR="007C32C3" w:rsidRPr="00905ED5" w:rsidRDefault="007C32C3" w:rsidP="006B3DF7">
      <w:pPr>
        <w:numPr>
          <w:ilvl w:val="0"/>
          <w:numId w:val="31"/>
        </w:numPr>
        <w:tabs>
          <w:tab w:val="left" w:pos="1005"/>
        </w:tabs>
        <w:rPr>
          <w:color w:val="auto"/>
        </w:rPr>
      </w:pPr>
      <w:r w:rsidRPr="00905ED5">
        <w:rPr>
          <w:color w:val="auto"/>
        </w:rPr>
        <w:t>данных, представляемых финансовыми органами муниципальных районов и городских округов по итогам исполнения местных бюджетов за 202</w:t>
      </w:r>
      <w:r w:rsidR="00DF7E3B">
        <w:rPr>
          <w:color w:val="auto"/>
        </w:rPr>
        <w:t>4</w:t>
      </w:r>
      <w:r w:rsidRPr="00905ED5">
        <w:rPr>
          <w:color w:val="auto"/>
        </w:rPr>
        <w:t xml:space="preserve"> год;</w:t>
      </w:r>
    </w:p>
    <w:p w14:paraId="454131B8" w14:textId="77777777" w:rsidR="007C32C3" w:rsidRPr="00905ED5" w:rsidRDefault="007C32C3" w:rsidP="006B3DF7">
      <w:pPr>
        <w:numPr>
          <w:ilvl w:val="0"/>
          <w:numId w:val="31"/>
        </w:numPr>
        <w:tabs>
          <w:tab w:val="left" w:pos="1005"/>
        </w:tabs>
        <w:rPr>
          <w:color w:val="auto"/>
        </w:rPr>
      </w:pPr>
      <w:r w:rsidRPr="00905ED5">
        <w:rPr>
          <w:color w:val="auto"/>
        </w:rPr>
        <w:t>данных отчетности об исполнении консолидированных бюджетов муниципальных районов и городских округов;</w:t>
      </w:r>
    </w:p>
    <w:p w14:paraId="711D4B10" w14:textId="77777777" w:rsidR="007C32C3" w:rsidRPr="00905ED5" w:rsidRDefault="007C32C3" w:rsidP="006B3DF7">
      <w:pPr>
        <w:numPr>
          <w:ilvl w:val="0"/>
          <w:numId w:val="31"/>
        </w:numPr>
        <w:tabs>
          <w:tab w:val="left" w:pos="1005"/>
        </w:tabs>
        <w:rPr>
          <w:color w:val="auto"/>
        </w:rPr>
      </w:pPr>
      <w:r w:rsidRPr="00905ED5">
        <w:rPr>
          <w:color w:val="auto"/>
        </w:rPr>
        <w:t>иной информации, имеющейся в распоряжении Министерства финансов КБР.</w:t>
      </w:r>
    </w:p>
    <w:p w14:paraId="0BD5A23F" w14:textId="77777777" w:rsidR="007C32C3" w:rsidRPr="00905ED5" w:rsidRDefault="007C32C3" w:rsidP="006B3DF7">
      <w:pPr>
        <w:rPr>
          <w:rFonts w:eastAsia="Trebuchet MS"/>
          <w:color w:val="auto"/>
        </w:rPr>
      </w:pPr>
      <w:r w:rsidRPr="00905ED5">
        <w:rPr>
          <w:rFonts w:eastAsia="Trebuchet MS"/>
          <w:color w:val="auto"/>
        </w:rPr>
        <w:t>В 2025 году был сформирован реестр расходных обязательств по муниципальным образованиям КБР за 2024 год.</w:t>
      </w:r>
    </w:p>
    <w:p w14:paraId="1DBE0110" w14:textId="77777777" w:rsidR="007C32C3" w:rsidRPr="00905ED5" w:rsidRDefault="007C32C3" w:rsidP="006B3DF7">
      <w:pPr>
        <w:autoSpaceDE w:val="0"/>
        <w:autoSpaceDN w:val="0"/>
        <w:adjustRightInd w:val="0"/>
        <w:rPr>
          <w:color w:val="auto"/>
          <w:lang w:eastAsia="ru-RU"/>
        </w:rPr>
      </w:pPr>
      <w:r w:rsidRPr="00905ED5">
        <w:rPr>
          <w:color w:val="auto"/>
          <w:lang w:eastAsia="ru-RU"/>
        </w:rPr>
        <w:t>Формирование свода реестров расходных обязательств муниципальных образований, входящих в состав Кабардино-Балкарской Республики, осуществлялся в разрезе видов:</w:t>
      </w:r>
    </w:p>
    <w:p w14:paraId="1D3B82CE" w14:textId="77777777" w:rsidR="007C32C3" w:rsidRPr="00905ED5" w:rsidRDefault="007C32C3" w:rsidP="006B3DF7">
      <w:pPr>
        <w:autoSpaceDE w:val="0"/>
        <w:autoSpaceDN w:val="0"/>
        <w:adjustRightInd w:val="0"/>
        <w:rPr>
          <w:color w:val="auto"/>
          <w:lang w:eastAsia="ru-RU"/>
        </w:rPr>
      </w:pPr>
      <w:r w:rsidRPr="00905ED5">
        <w:rPr>
          <w:color w:val="auto"/>
          <w:lang w:eastAsia="ru-RU"/>
        </w:rPr>
        <w:t>- муниципальных образований на основании информации муниципальных районов, городских округов, городских и сельских поселений КБР;</w:t>
      </w:r>
    </w:p>
    <w:p w14:paraId="0F15D0F6" w14:textId="7EF5C55F" w:rsidR="007C32C3" w:rsidRPr="00905ED5" w:rsidRDefault="007C32C3" w:rsidP="00AA0DE8">
      <w:pPr>
        <w:autoSpaceDE w:val="0"/>
        <w:autoSpaceDN w:val="0"/>
        <w:adjustRightInd w:val="0"/>
        <w:rPr>
          <w:color w:val="auto"/>
          <w:lang w:eastAsia="ru-RU"/>
        </w:rPr>
      </w:pPr>
      <w:r w:rsidRPr="00905ED5">
        <w:rPr>
          <w:color w:val="auto"/>
          <w:lang w:eastAsia="ru-RU"/>
        </w:rPr>
        <w:t xml:space="preserve">- полномочий на основании таблицы 1 приложения № 3 к Приказу </w:t>
      </w:r>
      <w:r w:rsidR="00AA0DE8">
        <w:rPr>
          <w:color w:val="auto"/>
          <w:lang w:eastAsia="ru-RU"/>
        </w:rPr>
        <w:br/>
      </w:r>
      <w:r w:rsidR="00AA0DE8" w:rsidRPr="009B4E24">
        <w:t>Мин</w:t>
      </w:r>
      <w:r w:rsidR="00AA0DE8">
        <w:t>фина РФ</w:t>
      </w:r>
      <w:r w:rsidR="00AA0DE8" w:rsidRPr="00905ED5">
        <w:rPr>
          <w:color w:val="auto"/>
          <w:lang w:eastAsia="ru-RU"/>
        </w:rPr>
        <w:t xml:space="preserve"> </w:t>
      </w:r>
      <w:r w:rsidRPr="00905ED5">
        <w:rPr>
          <w:color w:val="auto"/>
          <w:lang w:eastAsia="ru-RU"/>
        </w:rPr>
        <w:t xml:space="preserve">от 03.03.2020 года № 34н </w:t>
      </w:r>
      <w:r w:rsidR="006B3DF7">
        <w:rPr>
          <w:color w:val="auto"/>
          <w:lang w:eastAsia="ru-RU"/>
        </w:rPr>
        <w:t>«</w:t>
      </w:r>
      <w:r w:rsidRPr="00905ED5">
        <w:rPr>
          <w:color w:val="auto"/>
          <w:lang w:eastAsia="ru-RU"/>
        </w:rPr>
        <w:t>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КБР</w:t>
      </w:r>
      <w:r w:rsidR="006B3DF7">
        <w:rPr>
          <w:color w:val="auto"/>
          <w:lang w:eastAsia="ru-RU"/>
        </w:rPr>
        <w:t>»</w:t>
      </w:r>
      <w:r w:rsidRPr="00905ED5">
        <w:rPr>
          <w:color w:val="auto"/>
          <w:lang w:eastAsia="ru-RU"/>
        </w:rPr>
        <w:t>.</w:t>
      </w:r>
    </w:p>
    <w:p w14:paraId="52FE22B7" w14:textId="77777777" w:rsidR="007C32C3" w:rsidRPr="00905ED5" w:rsidRDefault="007C32C3" w:rsidP="006B3DF7">
      <w:pPr>
        <w:autoSpaceDE w:val="0"/>
        <w:autoSpaceDN w:val="0"/>
        <w:adjustRightInd w:val="0"/>
        <w:rPr>
          <w:color w:val="auto"/>
          <w:lang w:eastAsia="ru-RU"/>
        </w:rPr>
      </w:pPr>
      <w:r w:rsidRPr="00905ED5">
        <w:rPr>
          <w:color w:val="auto"/>
          <w:lang w:eastAsia="ru-RU"/>
        </w:rPr>
        <w:t xml:space="preserve">Также при заполнении свода реестров муниципальных образований была заполнена </w:t>
      </w:r>
      <w:r w:rsidRPr="00905ED5">
        <w:rPr>
          <w:color w:val="auto"/>
        </w:rPr>
        <w:t xml:space="preserve">справочная таблица по финансированию полномочий муниципальных образований по данным консолидированного бюджета КБР за 2024 год. </w:t>
      </w:r>
    </w:p>
    <w:p w14:paraId="7A86ACE7" w14:textId="20270624" w:rsidR="007C32C3" w:rsidRPr="00905ED5" w:rsidRDefault="007C32C3" w:rsidP="006B3DF7">
      <w:pPr>
        <w:rPr>
          <w:rFonts w:eastAsia="Trebuchet MS"/>
          <w:color w:val="auto"/>
        </w:rPr>
      </w:pPr>
      <w:r w:rsidRPr="00905ED5">
        <w:rPr>
          <w:rFonts w:eastAsia="Trebuchet MS"/>
          <w:color w:val="auto"/>
        </w:rPr>
        <w:t xml:space="preserve">Были сформированы и представлены в Министерство обороны РФ и </w:t>
      </w:r>
      <w:r w:rsidR="00AA0DE8" w:rsidRPr="009B4E24">
        <w:t>Мин</w:t>
      </w:r>
      <w:r w:rsidR="00AA0DE8">
        <w:t>фин РФ</w:t>
      </w:r>
      <w:r w:rsidRPr="00905ED5">
        <w:rPr>
          <w:rFonts w:eastAsia="Trebuchet MS"/>
          <w:color w:val="auto"/>
        </w:rPr>
        <w:t xml:space="preserve"> годовой отчет за 2024 год и ежеквартальные отчеты за 2025 год по субвенциям на осуществление первичного воинского учета на территориях, где отсутствуют военные комиссариаты. Также направлены сведения об органах местного самоуправления поселений, на которые возложены полномочия по воинскому учету, а также о планируемом объеме средств, необходимых для финансирования их полномочий по воинскому учету в 2026 - 2028 годах.</w:t>
      </w:r>
    </w:p>
    <w:p w14:paraId="2F930F90" w14:textId="77777777" w:rsidR="000F5201" w:rsidRPr="007E1D68" w:rsidRDefault="000F5201" w:rsidP="006B3DF7">
      <w:pPr>
        <w:rPr>
          <w:rFonts w:eastAsia="Trebuchet MS"/>
          <w:color w:val="auto"/>
        </w:rPr>
      </w:pPr>
    </w:p>
    <w:p w14:paraId="37C8CDBF" w14:textId="77777777" w:rsidR="00B13A04" w:rsidRDefault="008B0C90" w:rsidP="006B3DF7">
      <w:pPr>
        <w:pStyle w:val="24"/>
        <w:numPr>
          <w:ilvl w:val="0"/>
          <w:numId w:val="0"/>
        </w:numPr>
        <w:tabs>
          <w:tab w:val="left" w:pos="708"/>
        </w:tabs>
        <w:spacing w:before="0" w:after="0"/>
        <w:ind w:firstLine="709"/>
        <w:rPr>
          <w:color w:val="568D11" w:themeColor="accent3" w:themeShade="80"/>
        </w:rPr>
      </w:pPr>
      <w:bookmarkStart w:id="128" w:name="_Toc131085650"/>
      <w:bookmarkStart w:id="129" w:name="_Toc162008807"/>
      <w:bookmarkEnd w:id="120"/>
      <w:r w:rsidRPr="00370B39">
        <w:rPr>
          <w:color w:val="568D11" w:themeColor="accent3" w:themeShade="80"/>
        </w:rPr>
        <w:t>1</w:t>
      </w:r>
      <w:r w:rsidR="002C24EA" w:rsidRPr="00370B39">
        <w:rPr>
          <w:color w:val="568D11" w:themeColor="accent3" w:themeShade="80"/>
        </w:rPr>
        <w:t>4</w:t>
      </w:r>
      <w:r w:rsidR="00EF3EF0" w:rsidRPr="00370B39">
        <w:rPr>
          <w:color w:val="568D11" w:themeColor="accent3" w:themeShade="80"/>
        </w:rPr>
        <w:t>.Основные задачи Министерства финансов КБР</w:t>
      </w:r>
      <w:r w:rsidR="00EF3EF0" w:rsidRPr="00370B39">
        <w:rPr>
          <w:color w:val="568D11" w:themeColor="accent3" w:themeShade="80"/>
        </w:rPr>
        <w:br/>
        <w:t xml:space="preserve">на </w:t>
      </w:r>
      <w:r w:rsidR="00EF3EF0" w:rsidRPr="00AE71C2">
        <w:rPr>
          <w:color w:val="568D11" w:themeColor="accent3" w:themeShade="80"/>
        </w:rPr>
        <w:t>202</w:t>
      </w:r>
      <w:r w:rsidR="00ED7AEA" w:rsidRPr="00AE71C2">
        <w:rPr>
          <w:color w:val="568D11" w:themeColor="accent3" w:themeShade="80"/>
        </w:rPr>
        <w:t>6</w:t>
      </w:r>
      <w:r w:rsidR="00EF3EF0" w:rsidRPr="00AE71C2">
        <w:rPr>
          <w:color w:val="568D11" w:themeColor="accent3" w:themeShade="80"/>
        </w:rPr>
        <w:t xml:space="preserve"> г</w:t>
      </w:r>
      <w:r w:rsidR="00EF3EF0" w:rsidRPr="00370B39">
        <w:rPr>
          <w:color w:val="568D11" w:themeColor="accent3" w:themeShade="80"/>
        </w:rPr>
        <w:t>од</w:t>
      </w:r>
      <w:bookmarkEnd w:id="128"/>
      <w:bookmarkEnd w:id="129"/>
    </w:p>
    <w:p w14:paraId="1EA2FDD1" w14:textId="77777777" w:rsidR="003C5CD9" w:rsidRPr="00AE71C2" w:rsidRDefault="003C5CD9" w:rsidP="006B3DF7">
      <w:pPr>
        <w:pStyle w:val="24"/>
        <w:numPr>
          <w:ilvl w:val="0"/>
          <w:numId w:val="0"/>
        </w:numPr>
        <w:tabs>
          <w:tab w:val="left" w:pos="708"/>
        </w:tabs>
        <w:spacing w:before="0" w:after="0"/>
        <w:ind w:firstLine="709"/>
        <w:rPr>
          <w:color w:val="000000" w:themeColor="text1"/>
          <w:sz w:val="28"/>
          <w:szCs w:val="28"/>
        </w:rPr>
      </w:pPr>
    </w:p>
    <w:p w14:paraId="6DEFF4D8" w14:textId="77777777" w:rsidR="007E660C" w:rsidRPr="00AE71C2" w:rsidRDefault="002032B4" w:rsidP="006B3DF7">
      <w:r w:rsidRPr="00AE71C2">
        <w:t>Основные задачи Министерства финансов КБР на текущий финансовый год сохраняют преемственность целей, определенных прошедшим финансовым годом и учитывают изменения, прогнозируемые в экономике.</w:t>
      </w:r>
      <w:r w:rsidR="00892826" w:rsidRPr="00AE71C2">
        <w:t xml:space="preserve"> П</w:t>
      </w:r>
      <w:r w:rsidRPr="00AE71C2">
        <w:t>ервоочередными задачами на 202</w:t>
      </w:r>
      <w:r w:rsidR="00882B62" w:rsidRPr="00AE71C2">
        <w:t>6</w:t>
      </w:r>
      <w:r w:rsidRPr="00AE71C2">
        <w:t xml:space="preserve"> год являются: </w:t>
      </w:r>
    </w:p>
    <w:p w14:paraId="2990EBF8" w14:textId="77777777" w:rsidR="007A0573" w:rsidRPr="00AE71C2" w:rsidRDefault="00892826" w:rsidP="006B3DF7">
      <w:pPr>
        <w:rPr>
          <w:rFonts w:eastAsia="Calibri"/>
        </w:rPr>
      </w:pPr>
      <w:r w:rsidRPr="00AE71C2">
        <w:t>1</w:t>
      </w:r>
      <w:r w:rsidR="002032B4" w:rsidRPr="00AE71C2">
        <w:t xml:space="preserve">. </w:t>
      </w:r>
      <w:r w:rsidR="007A0573" w:rsidRPr="00AE71C2">
        <w:t>Р</w:t>
      </w:r>
      <w:r w:rsidR="002E6A75" w:rsidRPr="00AE71C2">
        <w:rPr>
          <w:rFonts w:eastAsia="Calibri"/>
        </w:rPr>
        <w:t>еализация</w:t>
      </w:r>
      <w:r w:rsidR="007A0573" w:rsidRPr="00AE71C2">
        <w:rPr>
          <w:rFonts w:eastAsia="Calibri"/>
        </w:rPr>
        <w:t xml:space="preserve"> задач, обознач</w:t>
      </w:r>
      <w:r w:rsidR="00655059" w:rsidRPr="00AE71C2">
        <w:rPr>
          <w:rFonts w:eastAsia="Calibri"/>
        </w:rPr>
        <w:t>аемых</w:t>
      </w:r>
      <w:r w:rsidR="007A0573" w:rsidRPr="00AE71C2">
        <w:rPr>
          <w:rFonts w:eastAsia="Calibri"/>
        </w:rPr>
        <w:t xml:space="preserve"> Главой Кабардино-Балкарской Республики в ежегодном послании Парламенту Кабардино-Балкарской Республики.</w:t>
      </w:r>
    </w:p>
    <w:p w14:paraId="37B95958" w14:textId="77777777" w:rsidR="0040590A" w:rsidRPr="00AE71C2" w:rsidRDefault="00C032E6" w:rsidP="006B3DF7">
      <w:pPr>
        <w:rPr>
          <w:rFonts w:eastAsia="Calibri"/>
        </w:rPr>
      </w:pPr>
      <w:r w:rsidRPr="00AE71C2">
        <w:rPr>
          <w:rFonts w:eastAsia="Calibri"/>
        </w:rPr>
        <w:t>2. Совершенствование нормативно-правового регулирования в сфере бюджетного процесса.</w:t>
      </w:r>
    </w:p>
    <w:p w14:paraId="5CA54D0C" w14:textId="67DAECC2" w:rsidR="00B05CD0" w:rsidRPr="00AE71C2" w:rsidRDefault="0040590A" w:rsidP="006B3DF7">
      <w:pPr>
        <w:rPr>
          <w:rFonts w:eastAsia="Calibri"/>
        </w:rPr>
      </w:pPr>
      <w:r w:rsidRPr="00AE71C2">
        <w:rPr>
          <w:rFonts w:eastAsia="Calibri"/>
        </w:rPr>
        <w:t xml:space="preserve">3. </w:t>
      </w:r>
      <w:r w:rsidR="00B05CD0" w:rsidRPr="00AE71C2">
        <w:rPr>
          <w:rFonts w:eastAsia="Calibri"/>
        </w:rPr>
        <w:t>О</w:t>
      </w:r>
      <w:r w:rsidRPr="00AE71C2">
        <w:rPr>
          <w:rFonts w:eastAsiaTheme="minorHAnsi"/>
        </w:rPr>
        <w:t>рганизаци</w:t>
      </w:r>
      <w:r w:rsidR="0008218C" w:rsidRPr="00AE71C2">
        <w:rPr>
          <w:rFonts w:eastAsiaTheme="minorHAnsi"/>
        </w:rPr>
        <w:t>я</w:t>
      </w:r>
      <w:r w:rsidRPr="00AE71C2">
        <w:rPr>
          <w:rFonts w:eastAsiaTheme="minorHAnsi"/>
        </w:rPr>
        <w:t xml:space="preserve"> исполнения республиканского бюджета</w:t>
      </w:r>
      <w:r w:rsidR="004E05E9" w:rsidRPr="00AE71C2">
        <w:rPr>
          <w:rFonts w:eastAsiaTheme="minorHAnsi"/>
        </w:rPr>
        <w:t xml:space="preserve"> </w:t>
      </w:r>
      <w:r w:rsidR="004E05E9" w:rsidRPr="00AE71C2">
        <w:rPr>
          <w:rFonts w:eastAsiaTheme="minorHAnsi"/>
        </w:rPr>
        <w:br/>
      </w:r>
      <w:r w:rsidR="00B05CD0" w:rsidRPr="00AE71C2">
        <w:rPr>
          <w:rFonts w:eastAsia="Calibri"/>
        </w:rPr>
        <w:t>Кабардино-Балкарской Республики.</w:t>
      </w:r>
    </w:p>
    <w:p w14:paraId="4C89BB85" w14:textId="071147B7" w:rsidR="00B05CD0" w:rsidRPr="00AE71C2" w:rsidRDefault="00B05CD0" w:rsidP="006B3DF7">
      <w:pPr>
        <w:rPr>
          <w:rFonts w:eastAsia="Calibri"/>
        </w:rPr>
      </w:pPr>
      <w:r w:rsidRPr="00AE71C2">
        <w:rPr>
          <w:rFonts w:eastAsia="Calibri"/>
        </w:rPr>
        <w:t xml:space="preserve">4. </w:t>
      </w:r>
      <w:r w:rsidR="00E36A15" w:rsidRPr="00AE71C2">
        <w:rPr>
          <w:rFonts w:eastAsia="Calibri"/>
        </w:rPr>
        <w:t>Исполнени</w:t>
      </w:r>
      <w:r w:rsidR="00144BCF" w:rsidRPr="00AE71C2">
        <w:rPr>
          <w:rFonts w:eastAsia="Calibri"/>
        </w:rPr>
        <w:t>е</w:t>
      </w:r>
      <w:r w:rsidR="004E05E9" w:rsidRPr="00AE71C2">
        <w:rPr>
          <w:rFonts w:eastAsia="Calibri"/>
        </w:rPr>
        <w:t xml:space="preserve"> </w:t>
      </w:r>
      <w:r w:rsidRPr="00AE71C2">
        <w:rPr>
          <w:rFonts w:eastAsia="Calibri"/>
        </w:rPr>
        <w:t xml:space="preserve">государственной программы (комплексной программы) Кабардино-Балкарской Республики </w:t>
      </w:r>
      <w:r w:rsidR="006B3DF7" w:rsidRPr="00AE71C2">
        <w:rPr>
          <w:rFonts w:eastAsia="Calibri"/>
        </w:rPr>
        <w:t>«</w:t>
      </w:r>
      <w:r w:rsidRPr="00AE71C2">
        <w:rPr>
          <w:rFonts w:eastAsia="Calibri"/>
        </w:rPr>
        <w:t>Управление государственными финансами, государственным долгом и межбюджетными отношениями в Кабардино-Балкарской Республике</w:t>
      </w:r>
      <w:r w:rsidR="006B3DF7" w:rsidRPr="00AE71C2">
        <w:rPr>
          <w:rFonts w:eastAsia="Calibri"/>
        </w:rPr>
        <w:t>»</w:t>
      </w:r>
      <w:r w:rsidR="00E36A15" w:rsidRPr="00AE71C2">
        <w:rPr>
          <w:rFonts w:eastAsia="Calibri"/>
        </w:rPr>
        <w:t>.</w:t>
      </w:r>
    </w:p>
    <w:p w14:paraId="51012BF8" w14:textId="77777777" w:rsidR="009B4E24" w:rsidRPr="00AE71C2" w:rsidRDefault="009B4E24" w:rsidP="006B3DF7">
      <w:r w:rsidRPr="00AE71C2">
        <w:t>5. Проведение мониторинга динамики поступлений налоговых и неналоговых доходов в консолидированный бюджет КБР, на основе данных ВПД ФНС России в целях минимизации отвлечения на ЕНС налоговых доходов, с учетом изменений бюджетного и налогового законодательства, влияющих на параметры доходной части бюджета, а также показателей рейтинга муниципалитетов среди субъектов Российской Федерации.</w:t>
      </w:r>
    </w:p>
    <w:p w14:paraId="35009F30" w14:textId="2AB8B499" w:rsidR="009B4E24" w:rsidRPr="00AE71C2" w:rsidRDefault="009B4E24" w:rsidP="006B3DF7">
      <w:r w:rsidRPr="00AE71C2">
        <w:t xml:space="preserve">6. Ведение перечня главных администраторов доходов и перечня главных источников финансирования дефицита республиканского бюджета </w:t>
      </w:r>
      <w:r w:rsidR="00352B5D">
        <w:br/>
      </w:r>
      <w:r w:rsidRPr="00AE71C2">
        <w:t>Кабардино-Балкарской Республики, с ежегодной актуализацией при формировании закона о республиканском бюджете на очередной финансовый год и плановый период в соответствии с графиком разработки прогноза социально-экономического развития Кабардино-Балкарской Республики.</w:t>
      </w:r>
    </w:p>
    <w:p w14:paraId="73E7C2F6" w14:textId="25E2FD5D" w:rsidR="009B4E24" w:rsidRPr="00AE71C2" w:rsidRDefault="008A72BD" w:rsidP="006B3DF7">
      <w:pPr>
        <w:widowControl/>
        <w:autoSpaceDE w:val="0"/>
        <w:autoSpaceDN w:val="0"/>
        <w:adjustRightInd w:val="0"/>
      </w:pPr>
      <w:r w:rsidRPr="00AE71C2">
        <w:t>7</w:t>
      </w:r>
      <w:r w:rsidR="009B4E24" w:rsidRPr="00AE71C2">
        <w:t xml:space="preserve">. Мониторинг исполнения и предоставление в </w:t>
      </w:r>
      <w:r w:rsidR="00AA0DE8" w:rsidRPr="00AE71C2">
        <w:t>Минфин РФ</w:t>
      </w:r>
      <w:r w:rsidR="009B4E24" w:rsidRPr="00AE71C2">
        <w:t xml:space="preserve">, (формирование в ЭБ и ЕИАС) отчетов об исполнении обязательств, предусмотренных: </w:t>
      </w:r>
      <w:bookmarkStart w:id="130" w:name="_Hlk129357096"/>
    </w:p>
    <w:p w14:paraId="1D2F3EFF" w14:textId="55AE9E7D" w:rsidR="009B4E24" w:rsidRPr="00AE71C2" w:rsidRDefault="009B4E24" w:rsidP="006B3DF7">
      <w:pPr>
        <w:widowControl/>
        <w:autoSpaceDE w:val="0"/>
        <w:autoSpaceDN w:val="0"/>
        <w:adjustRightInd w:val="0"/>
      </w:pPr>
      <w:r w:rsidRPr="00AE71C2">
        <w:t xml:space="preserve">- </w:t>
      </w:r>
      <w:bookmarkStart w:id="131" w:name="_Hlk192669365"/>
      <w:r w:rsidRPr="00AE71C2">
        <w:t xml:space="preserve">Соглашением </w:t>
      </w:r>
      <w:r w:rsidR="00DF7E3B">
        <w:t xml:space="preserve">от </w:t>
      </w:r>
      <w:r w:rsidRPr="00AE71C2">
        <w:t xml:space="preserve">23 декабря 2025 </w:t>
      </w:r>
      <w:r w:rsidR="003D4698">
        <w:t>года</w:t>
      </w:r>
      <w:r w:rsidRPr="00AE71C2">
        <w:t xml:space="preserve"> № 2025-00487 </w:t>
      </w:r>
      <w:r w:rsidR="006B3DF7" w:rsidRPr="00AE71C2">
        <w:rPr>
          <w:rFonts w:eastAsiaTheme="minorHAnsi"/>
          <w:sz w:val="27"/>
          <w:szCs w:val="27"/>
        </w:rPr>
        <w:t>«</w:t>
      </w:r>
      <w:r w:rsidRPr="00AE71C2">
        <w:rPr>
          <w:rFonts w:eastAsiaTheme="minorHAnsi"/>
          <w:sz w:val="27"/>
          <w:szCs w:val="27"/>
        </w:rPr>
        <w:t>О</w:t>
      </w:r>
      <w:r w:rsidRPr="00AE71C2">
        <w:t xml:space="preserve"> мерах по социально-экономическому развитию и оздоровлению государственных финансов Кабардино-Балкарской Республики</w:t>
      </w:r>
      <w:r w:rsidR="006B3DF7" w:rsidRPr="00AE71C2">
        <w:t>»</w:t>
      </w:r>
      <w:r w:rsidRPr="00AE71C2">
        <w:t>;</w:t>
      </w:r>
      <w:bookmarkEnd w:id="131"/>
    </w:p>
    <w:p w14:paraId="38907835" w14:textId="6EFA8E83" w:rsidR="009B4E24" w:rsidRPr="00AE71C2" w:rsidRDefault="009B4E24" w:rsidP="006B3DF7">
      <w:pPr>
        <w:widowControl/>
        <w:autoSpaceDE w:val="0"/>
        <w:autoSpaceDN w:val="0"/>
        <w:adjustRightInd w:val="0"/>
        <w:rPr>
          <w:bCs/>
          <w:lang w:eastAsia="ru-RU"/>
        </w:rPr>
      </w:pPr>
      <w:r w:rsidRPr="00AE71C2">
        <w:t>- Единым дополнительным С</w:t>
      </w:r>
      <w:r w:rsidRPr="00AE71C2">
        <w:rPr>
          <w:bCs/>
          <w:lang w:eastAsia="ru-RU"/>
        </w:rPr>
        <w:t xml:space="preserve">оглашением к Соглашению от 6 декабря </w:t>
      </w:r>
      <w:r w:rsidRPr="00AE71C2">
        <w:rPr>
          <w:bCs/>
          <w:lang w:eastAsia="ru-RU"/>
        </w:rPr>
        <w:br/>
        <w:t xml:space="preserve">2017 </w:t>
      </w:r>
      <w:r w:rsidR="003D4698">
        <w:rPr>
          <w:bCs/>
          <w:lang w:eastAsia="ru-RU"/>
        </w:rPr>
        <w:t>года</w:t>
      </w:r>
      <w:r w:rsidRPr="00AE71C2">
        <w:rPr>
          <w:bCs/>
          <w:lang w:eastAsia="ru-RU"/>
        </w:rPr>
        <w:t xml:space="preserve"> № 01- 01-06/06-304 о предоставлении бюджету Кабардино-Балкарской Республики из федерального бюджета бюджетного кредита для частичного покрытия дефицита бюджета Кабардино-Балкарской Республики, к соглашениям от 17 августа 2010 </w:t>
      </w:r>
      <w:r w:rsidR="003D4698">
        <w:rPr>
          <w:bCs/>
          <w:lang w:eastAsia="ru-RU"/>
        </w:rPr>
        <w:t>года</w:t>
      </w:r>
      <w:r w:rsidRPr="00AE71C2">
        <w:rPr>
          <w:bCs/>
          <w:lang w:eastAsia="ru-RU"/>
        </w:rPr>
        <w:t xml:space="preserve"> № 01-01-06/06-300, от 1 ноября 2010 </w:t>
      </w:r>
      <w:r w:rsidR="003D4698">
        <w:rPr>
          <w:bCs/>
          <w:lang w:eastAsia="ru-RU"/>
        </w:rPr>
        <w:t>года</w:t>
      </w:r>
      <w:r w:rsidRPr="00AE71C2">
        <w:rPr>
          <w:bCs/>
          <w:lang w:eastAsia="ru-RU"/>
        </w:rPr>
        <w:t xml:space="preserve"> № 01-01-06/06-433, от 27 сентября </w:t>
      </w:r>
      <w:r w:rsidR="003D4698">
        <w:rPr>
          <w:bCs/>
          <w:lang w:eastAsia="ru-RU"/>
        </w:rPr>
        <w:br/>
      </w:r>
      <w:r w:rsidRPr="00AE71C2">
        <w:rPr>
          <w:bCs/>
          <w:lang w:eastAsia="ru-RU"/>
        </w:rPr>
        <w:t xml:space="preserve">2011 </w:t>
      </w:r>
      <w:r w:rsidR="003D4698">
        <w:rPr>
          <w:bCs/>
          <w:lang w:eastAsia="ru-RU"/>
        </w:rPr>
        <w:t>года</w:t>
      </w:r>
      <w:r w:rsidRPr="00AE71C2">
        <w:rPr>
          <w:bCs/>
          <w:lang w:eastAsia="ru-RU"/>
        </w:rPr>
        <w:t xml:space="preserve"> № 01-01-06/06- 365 и от 27 декабря 2011 </w:t>
      </w:r>
      <w:r w:rsidR="003D4698">
        <w:rPr>
          <w:bCs/>
          <w:lang w:eastAsia="ru-RU"/>
        </w:rPr>
        <w:t>года</w:t>
      </w:r>
      <w:r w:rsidRPr="00AE71C2">
        <w:rPr>
          <w:bCs/>
          <w:lang w:eastAsia="ru-RU"/>
        </w:rPr>
        <w:t xml:space="preserve"> № 01-01-06/06-565 о предоставлении бюджету Кабардино-Балкарской Республики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и к Соглашению </w:t>
      </w:r>
      <w:r w:rsidR="00506CBF">
        <w:rPr>
          <w:bCs/>
          <w:lang w:eastAsia="ru-RU"/>
        </w:rPr>
        <w:br/>
      </w:r>
      <w:r w:rsidRPr="00AE71C2">
        <w:rPr>
          <w:bCs/>
          <w:lang w:eastAsia="ru-RU"/>
        </w:rPr>
        <w:t xml:space="preserve">от 14 декабря 2020 </w:t>
      </w:r>
      <w:r w:rsidR="003D4698">
        <w:rPr>
          <w:bCs/>
          <w:lang w:eastAsia="ru-RU"/>
        </w:rPr>
        <w:t>года</w:t>
      </w:r>
      <w:r w:rsidRPr="00AE71C2">
        <w:rPr>
          <w:bCs/>
          <w:lang w:eastAsia="ru-RU"/>
        </w:rPr>
        <w:t xml:space="preserve"> № 01-01-06/06-1018 о предоставлении бюджету </w:t>
      </w:r>
      <w:r w:rsidRPr="00AE71C2">
        <w:rPr>
          <w:bCs/>
          <w:lang w:eastAsia="ru-RU"/>
        </w:rPr>
        <w:br/>
        <w:t xml:space="preserve">Кабардино-Балкарской Республики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 от 21 марта 2025 </w:t>
      </w:r>
      <w:r w:rsidR="003D4698">
        <w:rPr>
          <w:bCs/>
          <w:lang w:eastAsia="ru-RU"/>
        </w:rPr>
        <w:t>года</w:t>
      </w:r>
      <w:r w:rsidRPr="00AE71C2">
        <w:rPr>
          <w:bCs/>
          <w:lang w:eastAsia="ru-RU"/>
        </w:rPr>
        <w:t xml:space="preserve"> № 2025-00062/1, </w:t>
      </w:r>
      <w:r w:rsidR="00EB3FE3" w:rsidRPr="00AE71C2">
        <w:rPr>
          <w:bCs/>
          <w:lang w:eastAsia="ru-RU"/>
        </w:rPr>
        <w:br/>
      </w:r>
      <w:r w:rsidRPr="00AE71C2">
        <w:rPr>
          <w:bCs/>
          <w:lang w:eastAsia="ru-RU"/>
        </w:rPr>
        <w:t xml:space="preserve">с учетом заключенных дополнительных Соглашений к данному Соглашению </w:t>
      </w:r>
      <w:r w:rsidR="00EB3FE3" w:rsidRPr="00AE71C2">
        <w:rPr>
          <w:bCs/>
          <w:lang w:eastAsia="ru-RU"/>
        </w:rPr>
        <w:br/>
      </w:r>
      <w:r w:rsidRPr="00AE71C2">
        <w:t xml:space="preserve">от 19 июня 2025 </w:t>
      </w:r>
      <w:r w:rsidR="003D4698">
        <w:t>года</w:t>
      </w:r>
      <w:bookmarkStart w:id="132" w:name="_Hlk209170226"/>
      <w:r w:rsidR="00EB3FE3" w:rsidRPr="00AE71C2">
        <w:t xml:space="preserve"> </w:t>
      </w:r>
      <w:r w:rsidRPr="00AE71C2">
        <w:t>№ 2025-00062/2</w:t>
      </w:r>
      <w:bookmarkEnd w:id="132"/>
      <w:r w:rsidRPr="00AE71C2">
        <w:t xml:space="preserve">, от 18.07.2025 </w:t>
      </w:r>
      <w:r w:rsidR="003D4698">
        <w:t>года</w:t>
      </w:r>
      <w:r w:rsidRPr="00AE71C2">
        <w:t xml:space="preserve"> № 2025-00062/3, </w:t>
      </w:r>
      <w:r w:rsidR="00EB3FE3" w:rsidRPr="00AE71C2">
        <w:br/>
      </w:r>
      <w:r w:rsidRPr="00AE71C2">
        <w:t xml:space="preserve">от 13 ноября 2025 </w:t>
      </w:r>
      <w:r w:rsidR="003D4698">
        <w:t>года</w:t>
      </w:r>
      <w:r w:rsidRPr="00AE71C2">
        <w:t xml:space="preserve"> № 2025-00062/4</w:t>
      </w:r>
      <w:r w:rsidRPr="00AE71C2">
        <w:rPr>
          <w:bCs/>
          <w:lang w:eastAsia="ru-RU"/>
        </w:rPr>
        <w:t xml:space="preserve">. </w:t>
      </w:r>
    </w:p>
    <w:bookmarkEnd w:id="130"/>
    <w:p w14:paraId="19604C3E" w14:textId="1FAF0D73" w:rsidR="009B4E24" w:rsidRPr="00AE71C2" w:rsidRDefault="009B4E24" w:rsidP="006B3DF7">
      <w:pPr>
        <w:widowControl/>
        <w:autoSpaceDE w:val="0"/>
        <w:autoSpaceDN w:val="0"/>
        <w:adjustRightInd w:val="0"/>
      </w:pPr>
      <w:r w:rsidRPr="00AE71C2">
        <w:t xml:space="preserve">- Соглашением от 26 января 2022 года № 01-01-06/06-60 о предоставлении бюджету Кабардино-Балкарской Республики из федерального бюджета бюджетного кредита на финансовое обеспечение реализации инфраструктурных проектов (по реализации инфраструктурного проекта </w:t>
      </w:r>
      <w:r w:rsidR="006B3DF7" w:rsidRPr="00AE71C2">
        <w:t>«</w:t>
      </w:r>
      <w:r w:rsidRPr="00AE71C2">
        <w:t xml:space="preserve">Строительство </w:t>
      </w:r>
      <w:proofErr w:type="spellStart"/>
      <w:r w:rsidRPr="00AE71C2">
        <w:t>Баксанского</w:t>
      </w:r>
      <w:proofErr w:type="spellEnd"/>
      <w:r w:rsidRPr="00AE71C2">
        <w:t xml:space="preserve"> группового водопровода</w:t>
      </w:r>
      <w:r w:rsidR="006B3DF7" w:rsidRPr="00AE71C2">
        <w:t>»</w:t>
      </w:r>
      <w:r w:rsidRPr="00AE71C2">
        <w:t>) с учетом принимаемых дополнительных соглашений;</w:t>
      </w:r>
    </w:p>
    <w:p w14:paraId="1E59A8D6" w14:textId="77777777" w:rsidR="009B4E24" w:rsidRPr="00AE71C2" w:rsidRDefault="009B4E24" w:rsidP="006B3DF7">
      <w:pPr>
        <w:widowControl/>
        <w:autoSpaceDE w:val="0"/>
        <w:autoSpaceDN w:val="0"/>
        <w:adjustRightInd w:val="0"/>
      </w:pPr>
      <w:r w:rsidRPr="00AE71C2">
        <w:t>- Соглашением от 26 апреля 2023 года № 2023-00100 о предоставлении бюджету Кабардино-Балкарской Республики из федерального бюджета бюджетного кредита на финансовое обеспечение реализации инфраструктурных проектов с учетом принимаемых дополнительных соглашений;</w:t>
      </w:r>
    </w:p>
    <w:p w14:paraId="70AEEA10" w14:textId="77777777" w:rsidR="009B4E24" w:rsidRPr="00AE71C2" w:rsidRDefault="009B4E24" w:rsidP="006B3DF7">
      <w:pPr>
        <w:widowControl/>
        <w:autoSpaceDE w:val="0"/>
        <w:autoSpaceDN w:val="0"/>
        <w:adjustRightInd w:val="0"/>
      </w:pPr>
      <w:r w:rsidRPr="00AE71C2">
        <w:t>- Соглашением от 21 сентября 2023 года № 2023-00198 о предоставлении бюджету Кабардино-Балкарской Республики бюджетного кредита за счет временно свободных средств единого счета федерального бюджета (специальный казначейский кредит);</w:t>
      </w:r>
    </w:p>
    <w:p w14:paraId="01565D3B" w14:textId="51B4F230" w:rsidR="009B4E24" w:rsidRPr="00AE71C2" w:rsidRDefault="008A72BD" w:rsidP="006B3DF7">
      <w:pPr>
        <w:widowControl/>
        <w:autoSpaceDE w:val="0"/>
        <w:autoSpaceDN w:val="0"/>
        <w:adjustRightInd w:val="0"/>
      </w:pPr>
      <w:r w:rsidRPr="00AE71C2">
        <w:t>8</w:t>
      </w:r>
      <w:r w:rsidR="009B4E24" w:rsidRPr="00AE71C2">
        <w:t xml:space="preserve">. Заключение с </w:t>
      </w:r>
      <w:r w:rsidR="00AA0DE8" w:rsidRPr="00AE71C2">
        <w:t xml:space="preserve">Минфином РФ </w:t>
      </w:r>
      <w:r w:rsidR="009B4E24" w:rsidRPr="00AE71C2">
        <w:t>Соглашения</w:t>
      </w:r>
      <w:r w:rsidR="009B4E24" w:rsidRPr="00AE71C2">
        <w:rPr>
          <w:rFonts w:eastAsiaTheme="minorHAnsi"/>
          <w:sz w:val="27"/>
          <w:szCs w:val="27"/>
        </w:rPr>
        <w:t xml:space="preserve"> </w:t>
      </w:r>
      <w:r w:rsidR="006B3DF7" w:rsidRPr="00AE71C2">
        <w:rPr>
          <w:rFonts w:eastAsiaTheme="minorHAnsi"/>
          <w:sz w:val="27"/>
          <w:szCs w:val="27"/>
        </w:rPr>
        <w:t>«</w:t>
      </w:r>
      <w:r w:rsidR="009B4E24" w:rsidRPr="00AE71C2">
        <w:rPr>
          <w:rFonts w:eastAsiaTheme="minorHAnsi"/>
          <w:sz w:val="27"/>
          <w:szCs w:val="27"/>
        </w:rPr>
        <w:t>О</w:t>
      </w:r>
      <w:r w:rsidR="009B4E24" w:rsidRPr="00AE71C2">
        <w:t xml:space="preserve"> мерах по </w:t>
      </w:r>
      <w:r w:rsidR="00EB3FE3" w:rsidRPr="00AE71C2">
        <w:br/>
      </w:r>
      <w:r w:rsidR="009B4E24" w:rsidRPr="00AE71C2">
        <w:t>социально-экономическому развитию и оздоровлению государственных финансов Кабардино-Балкарской Республики</w:t>
      </w:r>
      <w:r w:rsidR="006B3DF7" w:rsidRPr="00AE71C2">
        <w:t>»</w:t>
      </w:r>
      <w:r w:rsidR="009B4E24" w:rsidRPr="00AE71C2">
        <w:t xml:space="preserve"> на 2027 год;</w:t>
      </w:r>
    </w:p>
    <w:p w14:paraId="42B4C1C9" w14:textId="108F2A0F" w:rsidR="00655059" w:rsidRPr="00AE71C2" w:rsidRDefault="008A72BD" w:rsidP="006B3DF7">
      <w:pPr>
        <w:widowControl/>
        <w:autoSpaceDE w:val="0"/>
        <w:autoSpaceDN w:val="0"/>
        <w:adjustRightInd w:val="0"/>
        <w:rPr>
          <w:rFonts w:eastAsia="Calibri"/>
        </w:rPr>
      </w:pPr>
      <w:r w:rsidRPr="00AE71C2">
        <w:rPr>
          <w:rFonts w:eastAsia="Calibri"/>
        </w:rPr>
        <w:t>9</w:t>
      </w:r>
      <w:r w:rsidR="008A685E" w:rsidRPr="00AE71C2">
        <w:rPr>
          <w:rFonts w:eastAsia="Calibri"/>
        </w:rPr>
        <w:t xml:space="preserve">. </w:t>
      </w:r>
      <w:r w:rsidR="00655059" w:rsidRPr="00AE71C2">
        <w:rPr>
          <w:rFonts w:eastAsia="Calibri"/>
        </w:rPr>
        <w:t xml:space="preserve">Представление информации в рамках мониторинга </w:t>
      </w:r>
      <w:r w:rsidR="00AA0DE8" w:rsidRPr="00AE71C2">
        <w:t>Минфина РФ</w:t>
      </w:r>
      <w:r w:rsidR="00655059" w:rsidRPr="00AE71C2">
        <w:rPr>
          <w:rFonts w:eastAsia="Calibri"/>
        </w:rPr>
        <w:t xml:space="preserve"> по формированию и исполнению бюджетов субъектов Российской Федерации.</w:t>
      </w:r>
    </w:p>
    <w:p w14:paraId="2B7B21EC" w14:textId="2660EF96" w:rsidR="008A685E" w:rsidRPr="00AE71C2" w:rsidRDefault="00655059" w:rsidP="006B3DF7">
      <w:pPr>
        <w:widowControl/>
        <w:autoSpaceDE w:val="0"/>
        <w:autoSpaceDN w:val="0"/>
        <w:adjustRightInd w:val="0"/>
        <w:rPr>
          <w:rFonts w:eastAsia="Calibri"/>
        </w:rPr>
      </w:pPr>
      <w:r w:rsidRPr="00AE71C2">
        <w:rPr>
          <w:rFonts w:eastAsia="Calibri"/>
        </w:rPr>
        <w:t>1</w:t>
      </w:r>
      <w:r w:rsidR="008A72BD" w:rsidRPr="00AE71C2">
        <w:rPr>
          <w:rFonts w:eastAsia="Calibri"/>
        </w:rPr>
        <w:t>0</w:t>
      </w:r>
      <w:r w:rsidRPr="00AE71C2">
        <w:rPr>
          <w:rFonts w:eastAsia="Calibri"/>
        </w:rPr>
        <w:t xml:space="preserve">. </w:t>
      </w:r>
      <w:r w:rsidR="008A685E" w:rsidRPr="00AE71C2">
        <w:rPr>
          <w:rFonts w:eastAsia="Calibri"/>
        </w:rPr>
        <w:t xml:space="preserve">Формирование и внесение на рассмотрение Правительства </w:t>
      </w:r>
      <w:r w:rsidR="00EB3FE3" w:rsidRPr="00AE71C2">
        <w:rPr>
          <w:rFonts w:eastAsia="Calibri"/>
        </w:rPr>
        <w:br/>
      </w:r>
      <w:r w:rsidR="008A685E" w:rsidRPr="00AE71C2">
        <w:rPr>
          <w:rFonts w:eastAsia="Calibri"/>
        </w:rPr>
        <w:t>Кабардино-Балкарской Республики проекта закона КБР о республиканском бюджете КБР на 202</w:t>
      </w:r>
      <w:r w:rsidR="004E05E9" w:rsidRPr="00AE71C2">
        <w:rPr>
          <w:rFonts w:eastAsia="Calibri"/>
        </w:rPr>
        <w:t>7</w:t>
      </w:r>
      <w:r w:rsidR="008A685E" w:rsidRPr="00AE71C2">
        <w:rPr>
          <w:rFonts w:eastAsia="Calibri"/>
        </w:rPr>
        <w:t xml:space="preserve"> год и на плановый период 202</w:t>
      </w:r>
      <w:r w:rsidR="004E05E9" w:rsidRPr="00AE71C2">
        <w:rPr>
          <w:rFonts w:eastAsia="Calibri"/>
        </w:rPr>
        <w:t>8</w:t>
      </w:r>
      <w:r w:rsidR="008A685E" w:rsidRPr="00AE71C2">
        <w:rPr>
          <w:rFonts w:eastAsia="Calibri"/>
        </w:rPr>
        <w:t xml:space="preserve"> и 202</w:t>
      </w:r>
      <w:r w:rsidR="004E05E9" w:rsidRPr="00AE71C2">
        <w:rPr>
          <w:rFonts w:eastAsia="Calibri"/>
        </w:rPr>
        <w:t>9</w:t>
      </w:r>
      <w:r w:rsidR="008A685E" w:rsidRPr="00AE71C2">
        <w:rPr>
          <w:rFonts w:eastAsia="Calibri"/>
        </w:rPr>
        <w:t xml:space="preserve"> годов.</w:t>
      </w:r>
    </w:p>
    <w:p w14:paraId="2DD135C6" w14:textId="370CBCCA" w:rsidR="001D7C0B" w:rsidRPr="00AE71C2" w:rsidRDefault="00E36A15" w:rsidP="006B3DF7">
      <w:pPr>
        <w:autoSpaceDE w:val="0"/>
        <w:autoSpaceDN w:val="0"/>
        <w:adjustRightInd w:val="0"/>
        <w:rPr>
          <w:rFonts w:eastAsia="Calibri"/>
        </w:rPr>
      </w:pPr>
      <w:r w:rsidRPr="00AE71C2">
        <w:rPr>
          <w:rFonts w:eastAsia="Calibri"/>
        </w:rPr>
        <w:t>1</w:t>
      </w:r>
      <w:r w:rsidR="008A72BD" w:rsidRPr="00AE71C2">
        <w:rPr>
          <w:rFonts w:eastAsia="Calibri"/>
        </w:rPr>
        <w:t>1</w:t>
      </w:r>
      <w:r w:rsidR="001D5813" w:rsidRPr="00AE71C2">
        <w:rPr>
          <w:rFonts w:eastAsia="Calibri"/>
        </w:rPr>
        <w:t xml:space="preserve">. </w:t>
      </w:r>
      <w:r w:rsidR="0040590A" w:rsidRPr="00AE71C2">
        <w:rPr>
          <w:rFonts w:eastAsia="Calibri"/>
        </w:rPr>
        <w:t xml:space="preserve">Формирование и внесение на рассмотрение Правительства </w:t>
      </w:r>
      <w:r w:rsidR="00EB3FE3" w:rsidRPr="00AE71C2">
        <w:rPr>
          <w:rFonts w:eastAsia="Calibri"/>
        </w:rPr>
        <w:br/>
      </w:r>
      <w:r w:rsidR="0040590A" w:rsidRPr="00AE71C2">
        <w:rPr>
          <w:rFonts w:eastAsia="Calibri"/>
        </w:rPr>
        <w:t xml:space="preserve">Кабардино-Балкарской Республики проекта закона КБР </w:t>
      </w:r>
      <w:r w:rsidR="001D5813" w:rsidRPr="00AE71C2">
        <w:rPr>
          <w:rFonts w:eastAsia="Calibri"/>
        </w:rPr>
        <w:t>об исполнении республиканского бюджета Кабардино-Балкарской Республики.</w:t>
      </w:r>
    </w:p>
    <w:p w14:paraId="4E08BB01" w14:textId="2C552871" w:rsidR="008A685E" w:rsidRPr="00AE71C2" w:rsidRDefault="00E36A15" w:rsidP="006B3DF7">
      <w:pPr>
        <w:autoSpaceDE w:val="0"/>
        <w:autoSpaceDN w:val="0"/>
        <w:adjustRightInd w:val="0"/>
        <w:rPr>
          <w:rFonts w:eastAsia="Calibri"/>
        </w:rPr>
      </w:pPr>
      <w:r w:rsidRPr="00AE71C2">
        <w:rPr>
          <w:rFonts w:eastAsia="Calibri"/>
        </w:rPr>
        <w:t>1</w:t>
      </w:r>
      <w:r w:rsidR="008A72BD" w:rsidRPr="00AE71C2">
        <w:rPr>
          <w:rFonts w:eastAsia="Calibri"/>
        </w:rPr>
        <w:t>2</w:t>
      </w:r>
      <w:r w:rsidR="008A685E" w:rsidRPr="00AE71C2">
        <w:rPr>
          <w:rFonts w:eastAsia="Calibri"/>
        </w:rPr>
        <w:t xml:space="preserve">. </w:t>
      </w:r>
      <w:r w:rsidR="00627FC7" w:rsidRPr="00AE71C2">
        <w:rPr>
          <w:rFonts w:eastAsia="Calibri"/>
        </w:rPr>
        <w:t xml:space="preserve">Своевременное формирование и представление бюджетной отчетности в Федеральное казначейство с использованием функционального блока </w:t>
      </w:r>
      <w:r w:rsidR="006B3DF7" w:rsidRPr="00AE71C2">
        <w:rPr>
          <w:rFonts w:eastAsia="Calibri"/>
        </w:rPr>
        <w:t>«</w:t>
      </w:r>
      <w:r w:rsidR="00627FC7" w:rsidRPr="00AE71C2">
        <w:rPr>
          <w:rFonts w:eastAsia="Calibri"/>
        </w:rPr>
        <w:t>Свод отчетов</w:t>
      </w:r>
      <w:r w:rsidR="006B3DF7" w:rsidRPr="00AE71C2">
        <w:rPr>
          <w:rFonts w:eastAsia="Calibri"/>
        </w:rPr>
        <w:t>»</w:t>
      </w:r>
      <w:r w:rsidR="00627FC7" w:rsidRPr="00AE71C2">
        <w:rPr>
          <w:rFonts w:eastAsia="Calibri"/>
        </w:rPr>
        <w:t xml:space="preserve"> подсистемы </w:t>
      </w:r>
      <w:r w:rsidR="006B3DF7" w:rsidRPr="00AE71C2">
        <w:rPr>
          <w:rFonts w:eastAsia="Calibri"/>
        </w:rPr>
        <w:t>«</w:t>
      </w:r>
      <w:r w:rsidR="00627FC7" w:rsidRPr="00AE71C2">
        <w:rPr>
          <w:rFonts w:eastAsia="Calibri"/>
        </w:rPr>
        <w:t>Учет и отчетность</w:t>
      </w:r>
      <w:r w:rsidR="006B3DF7" w:rsidRPr="00AE71C2">
        <w:rPr>
          <w:rFonts w:eastAsia="Calibri"/>
        </w:rPr>
        <w:t>»</w:t>
      </w:r>
      <w:r w:rsidR="00627FC7" w:rsidRPr="00AE71C2">
        <w:rPr>
          <w:rFonts w:eastAsia="Calibri"/>
        </w:rPr>
        <w:t>.</w:t>
      </w:r>
    </w:p>
    <w:p w14:paraId="3FFAF98B" w14:textId="1A97B40A" w:rsidR="008A685E" w:rsidRPr="00AE71C2" w:rsidRDefault="00C032E6" w:rsidP="006B3DF7">
      <w:pPr>
        <w:rPr>
          <w:rFonts w:eastAsia="Calibri"/>
        </w:rPr>
      </w:pPr>
      <w:r w:rsidRPr="00AE71C2">
        <w:rPr>
          <w:rFonts w:eastAsia="Calibri"/>
        </w:rPr>
        <w:t>1</w:t>
      </w:r>
      <w:r w:rsidR="008A72BD" w:rsidRPr="00AE71C2">
        <w:rPr>
          <w:rFonts w:eastAsia="Calibri"/>
        </w:rPr>
        <w:t>3</w:t>
      </w:r>
      <w:r w:rsidR="008A685E" w:rsidRPr="00AE71C2">
        <w:rPr>
          <w:rFonts w:eastAsia="Calibri"/>
        </w:rPr>
        <w:t>. Формирование и представление реестра расходных обязательств Кабардино-Балкарской Республики</w:t>
      </w:r>
      <w:r w:rsidR="00ED0862" w:rsidRPr="00AE71C2">
        <w:rPr>
          <w:rFonts w:eastAsia="Calibri"/>
        </w:rPr>
        <w:t>, свода реестров расходных обязательств муниципальных образований и справочной таблицы по финансированию полномочий субъектов Российской Федерации и муниципальных образований</w:t>
      </w:r>
      <w:r w:rsidR="008A685E" w:rsidRPr="00AE71C2">
        <w:rPr>
          <w:rFonts w:eastAsia="Calibri"/>
        </w:rPr>
        <w:t xml:space="preserve"> в Министерство финансов Российской Федерации.</w:t>
      </w:r>
    </w:p>
    <w:p w14:paraId="1A441DB8" w14:textId="68185DF1" w:rsidR="008A685E" w:rsidRPr="00AE71C2" w:rsidRDefault="008A685E" w:rsidP="006B3DF7">
      <w:pPr>
        <w:rPr>
          <w:rFonts w:eastAsia="Calibri"/>
        </w:rPr>
      </w:pPr>
      <w:r w:rsidRPr="00AE71C2">
        <w:rPr>
          <w:rFonts w:eastAsia="Calibri"/>
        </w:rPr>
        <w:t>1</w:t>
      </w:r>
      <w:r w:rsidR="008A72BD" w:rsidRPr="00AE71C2">
        <w:rPr>
          <w:rFonts w:eastAsia="Calibri"/>
        </w:rPr>
        <w:t>4</w:t>
      </w:r>
      <w:r w:rsidRPr="00AE71C2">
        <w:rPr>
          <w:rFonts w:eastAsia="Calibri"/>
        </w:rPr>
        <w:t xml:space="preserve">. </w:t>
      </w:r>
      <w:r w:rsidR="00611D59" w:rsidRPr="00AE71C2">
        <w:rPr>
          <w:rFonts w:eastAsia="Calibri"/>
        </w:rPr>
        <w:t xml:space="preserve">Проведение </w:t>
      </w:r>
      <w:r w:rsidRPr="00AE71C2">
        <w:rPr>
          <w:rFonts w:eastAsia="Calibri"/>
        </w:rPr>
        <w:t>мониторинга качества финансового менеджмента главных распорядителей средств бюджета Кабардино-Балкарской Республики.</w:t>
      </w:r>
    </w:p>
    <w:p w14:paraId="4234D59D" w14:textId="496ADAC3" w:rsidR="00945144" w:rsidRPr="006933E4" w:rsidRDefault="008A685E" w:rsidP="006B3DF7">
      <w:pPr>
        <w:rPr>
          <w:rFonts w:eastAsia="Calibri"/>
        </w:rPr>
      </w:pPr>
      <w:r w:rsidRPr="006933E4">
        <w:rPr>
          <w:rFonts w:eastAsia="Calibri"/>
        </w:rPr>
        <w:t>1</w:t>
      </w:r>
      <w:r w:rsidR="008A72BD" w:rsidRPr="006933E4">
        <w:rPr>
          <w:rFonts w:eastAsia="Calibri"/>
        </w:rPr>
        <w:t>5</w:t>
      </w:r>
      <w:r w:rsidRPr="006933E4">
        <w:rPr>
          <w:rFonts w:eastAsia="Calibri"/>
        </w:rPr>
        <w:t>.</w:t>
      </w:r>
      <w:r w:rsidR="00583E34" w:rsidRPr="006933E4">
        <w:rPr>
          <w:lang w:eastAsia="ru-RU"/>
        </w:rPr>
        <w:t xml:space="preserve"> </w:t>
      </w:r>
      <w:r w:rsidR="006933E4" w:rsidRPr="006933E4">
        <w:rPr>
          <w:lang w:eastAsia="ru-RU"/>
        </w:rPr>
        <w:t xml:space="preserve">Для реализации изменений, согласно Федеральному закону </w:t>
      </w:r>
      <w:r w:rsidR="006933E4" w:rsidRPr="006933E4">
        <w:rPr>
          <w:lang w:eastAsia="ru-RU"/>
        </w:rPr>
        <w:br/>
        <w:t xml:space="preserve">от 7 июня 2025 года № 140-ФЗ, в соответствии с которым с 1 сентября 2026 года становится обязательным применение электронных перевозочных документов (ЭПД) (путевых листов, транспортных накладных и пр.) с обязательной выгрузкой в Государственную информационную систему электронных перевозочных документов (ГИС ЭПД), осуществить настройку обмена ЭПД в подсистеме Учет и отчётность с </w:t>
      </w:r>
      <w:r w:rsidR="006933E4" w:rsidRPr="006933E4">
        <w:rPr>
          <w:lang w:eastAsia="ru-RU"/>
        </w:rPr>
        <w:br/>
        <w:t>ГИС ЭПД.</w:t>
      </w:r>
    </w:p>
    <w:p w14:paraId="7FF3C398" w14:textId="2D378371" w:rsidR="00E26504" w:rsidRPr="00AE71C2" w:rsidRDefault="00945144" w:rsidP="006B3DF7">
      <w:r w:rsidRPr="00AE71C2">
        <w:t>1</w:t>
      </w:r>
      <w:r w:rsidR="008A72BD" w:rsidRPr="00AE71C2">
        <w:t>6</w:t>
      </w:r>
      <w:r w:rsidRPr="00AE71C2">
        <w:t xml:space="preserve">. </w:t>
      </w:r>
      <w:r w:rsidR="00E26504" w:rsidRPr="00AE71C2">
        <w:t xml:space="preserve">Совместно с министерствами поэтапная доработка отраслевых систем оплаты труда (ОСОТ) в целях увеличения базовой части заработной платы и включением в ОСОТ отдельного приложения по порядку формирования фонда оплаты труда. </w:t>
      </w:r>
    </w:p>
    <w:p w14:paraId="45A39D13" w14:textId="63EA7326" w:rsidR="00945144" w:rsidRPr="00AE71C2" w:rsidRDefault="00344769" w:rsidP="006B3DF7">
      <w:r w:rsidRPr="00AE71C2">
        <w:t>1</w:t>
      </w:r>
      <w:r w:rsidR="008A72BD" w:rsidRPr="00AE71C2">
        <w:t>7</w:t>
      </w:r>
      <w:r w:rsidR="00945144" w:rsidRPr="00AE71C2">
        <w:t xml:space="preserve">. Обеспечение обязательств, установленных в соглашениях между </w:t>
      </w:r>
      <w:r w:rsidR="00016E54" w:rsidRPr="00AE71C2">
        <w:t>Министерством</w:t>
      </w:r>
      <w:r w:rsidR="00945144" w:rsidRPr="00AE71C2">
        <w:t xml:space="preserve"> и муниципальными районами и городскими округами, между  муниципальными районами и городскими и сельскими поселениями в соответствии с пунктом 8 статьи 137 и пунктом 8 статьи 138 Бюджетного кодекса Российской Федерации, частью 7 статьи 10 и пунктом 5 части 2 статьи 14-3 Закона Кабардино-Балкарской Республики от 7 февраля 2011 </w:t>
      </w:r>
      <w:r w:rsidR="0051479F" w:rsidRPr="00AE71C2">
        <w:t>года</w:t>
      </w:r>
      <w:r w:rsidR="00945144" w:rsidRPr="00AE71C2">
        <w:t xml:space="preserve"> № 11-РЗ </w:t>
      </w:r>
      <w:r w:rsidR="006B3DF7" w:rsidRPr="00AE71C2">
        <w:t>«</w:t>
      </w:r>
      <w:r w:rsidR="00945144" w:rsidRPr="00AE71C2">
        <w:t>О бюджетном устройстве и бюджетном процессе в Кабардино-Балкарской Республике</w:t>
      </w:r>
      <w:r w:rsidR="006B3DF7" w:rsidRPr="00AE71C2">
        <w:t>»</w:t>
      </w:r>
      <w:r w:rsidR="00945144" w:rsidRPr="00AE71C2">
        <w:t>, предусматривающих меры по социально-экономическому развитию и оздоровлению муниципальных финансов.</w:t>
      </w:r>
    </w:p>
    <w:p w14:paraId="30CDA94F" w14:textId="6D817CAD" w:rsidR="00945144" w:rsidRPr="00AE71C2" w:rsidRDefault="00E26504" w:rsidP="006B3DF7">
      <w:pPr>
        <w:rPr>
          <w:rFonts w:eastAsia="Calibri"/>
        </w:rPr>
      </w:pPr>
      <w:r w:rsidRPr="00AE71C2">
        <w:rPr>
          <w:lang w:eastAsia="ru-RU"/>
        </w:rPr>
        <w:t>1</w:t>
      </w:r>
      <w:r w:rsidR="008A72BD" w:rsidRPr="00AE71C2">
        <w:rPr>
          <w:lang w:eastAsia="ru-RU"/>
        </w:rPr>
        <w:t>8</w:t>
      </w:r>
      <w:r w:rsidR="00945144" w:rsidRPr="00AE71C2">
        <w:rPr>
          <w:lang w:eastAsia="ru-RU"/>
        </w:rPr>
        <w:t xml:space="preserve">. </w:t>
      </w:r>
      <w:r w:rsidR="00945144" w:rsidRPr="00AE71C2">
        <w:rPr>
          <w:rFonts w:eastAsia="Calibri"/>
        </w:rPr>
        <w:t>Утверждение перечней муниципальных образований КБР в соответствии с положениями пункта 5 статьи 136 Бюджетного кодекса РФ.</w:t>
      </w:r>
    </w:p>
    <w:p w14:paraId="3D102D42" w14:textId="66BA1DD1" w:rsidR="009B4E24" w:rsidRPr="00AE71C2" w:rsidRDefault="008A72BD" w:rsidP="006B3DF7">
      <w:pPr>
        <w:autoSpaceDE w:val="0"/>
        <w:autoSpaceDN w:val="0"/>
        <w:adjustRightInd w:val="0"/>
        <w:rPr>
          <w:rFonts w:ascii="Times New Roman CYR" w:hAnsi="Times New Roman CYR" w:cs="Times New Roman CYR"/>
        </w:rPr>
      </w:pPr>
      <w:r w:rsidRPr="00AE71C2">
        <w:t>19</w:t>
      </w:r>
      <w:r w:rsidR="009B4E24" w:rsidRPr="00AE71C2">
        <w:t>. Реализация механизма привлечения средств на единый счет бюджета путем оперативного управления остатками на счетах финансового органа.</w:t>
      </w:r>
    </w:p>
    <w:p w14:paraId="30A51D30" w14:textId="34CA52D5" w:rsidR="009B4E24" w:rsidRPr="00AE71C2" w:rsidRDefault="008A72BD" w:rsidP="006B3DF7">
      <w:r w:rsidRPr="00AE71C2">
        <w:t>20</w:t>
      </w:r>
      <w:r w:rsidR="009B4E24" w:rsidRPr="00AE71C2">
        <w:t>. Организация работы Комиссии Правительства Кабардино-Балкарской Республики по обеспечению мобилизации доходов в бюджетную систему, контролю за соблюдением финансовой, бюджетной и налоговой дисциплины в соответствии с утвержденным планом и мониторинг оценочных показателей работы муниципальных комиссий.</w:t>
      </w:r>
    </w:p>
    <w:p w14:paraId="495D769B" w14:textId="09DDB08A" w:rsidR="009B4E24" w:rsidRPr="00AE71C2" w:rsidRDefault="008A72BD" w:rsidP="006B3DF7">
      <w:r w:rsidRPr="00AE71C2">
        <w:t>21</w:t>
      </w:r>
      <w:r w:rsidR="009B4E24" w:rsidRPr="00AE71C2">
        <w:t>. Актуализация Программы оздоровления государственных финансов (оптимизации расходов) КБР до 2030 года, проведение ежеквартального мониторинга исполнения Программы.</w:t>
      </w:r>
    </w:p>
    <w:p w14:paraId="219BECAE" w14:textId="5D1477C5" w:rsidR="009B4E24" w:rsidRPr="00AE71C2" w:rsidRDefault="008A72BD" w:rsidP="006B3DF7">
      <w:pPr>
        <w:rPr>
          <w:rFonts w:eastAsia="Calibri"/>
        </w:rPr>
      </w:pPr>
      <w:r w:rsidRPr="00AE71C2">
        <w:rPr>
          <w:rFonts w:eastAsia="Calibri"/>
        </w:rPr>
        <w:t>22</w:t>
      </w:r>
      <w:r w:rsidR="009B4E24" w:rsidRPr="00AE71C2">
        <w:rPr>
          <w:rFonts w:eastAsia="Calibri"/>
        </w:rPr>
        <w:t xml:space="preserve">. Подготовка предложений по налоговому потенциалу </w:t>
      </w:r>
      <w:r w:rsidR="00EB3FE3" w:rsidRPr="00AE71C2">
        <w:rPr>
          <w:rFonts w:eastAsia="Calibri"/>
        </w:rPr>
        <w:br/>
      </w:r>
      <w:r w:rsidR="009B4E24" w:rsidRPr="00AE71C2">
        <w:rPr>
          <w:rFonts w:eastAsia="Calibri"/>
        </w:rPr>
        <w:t xml:space="preserve">Кабардино-Балкарской Республики и мероприятий по его вовлечению в налоговый оборот с целью увеличения доходной части консолидированного бюджета </w:t>
      </w:r>
      <w:r w:rsidR="003D4698">
        <w:rPr>
          <w:rFonts w:eastAsia="Calibri"/>
        </w:rPr>
        <w:br/>
      </w:r>
      <w:r w:rsidR="009B4E24" w:rsidRPr="00AE71C2">
        <w:rPr>
          <w:rFonts w:eastAsia="Calibri"/>
        </w:rPr>
        <w:t>Кабардино-Балкарской Республики.</w:t>
      </w:r>
    </w:p>
    <w:p w14:paraId="75D396EA" w14:textId="4311E7B2" w:rsidR="009B4E24" w:rsidRPr="00AE71C2" w:rsidRDefault="008A72BD" w:rsidP="006B3DF7">
      <w:pPr>
        <w:shd w:val="clear" w:color="auto" w:fill="FFFFFF"/>
        <w:rPr>
          <w:lang w:eastAsia="ru-RU"/>
        </w:rPr>
      </w:pPr>
      <w:r w:rsidRPr="00AE71C2">
        <w:rPr>
          <w:lang w:eastAsia="ru-RU"/>
        </w:rPr>
        <w:t>23</w:t>
      </w:r>
      <w:r w:rsidR="009B4E24" w:rsidRPr="00AE71C2">
        <w:rPr>
          <w:lang w:eastAsia="ru-RU"/>
        </w:rPr>
        <w:t>. Обеспечение контроля и оценки эффективности налоговых расходов Кабардино-Балкарской Республики за 2024-2025 годы. Направление результатов проведенной оценки в Министерство финансов РФ. Мониторинг муниципальных налоговых расходов. Актуализация Перечня налоговых расходов на очередной финансовый год.</w:t>
      </w:r>
    </w:p>
    <w:p w14:paraId="515188B1" w14:textId="7AC6EB1A" w:rsidR="009B4E24" w:rsidRPr="00AE71C2" w:rsidRDefault="008A72BD" w:rsidP="006B3DF7">
      <w:pPr>
        <w:shd w:val="clear" w:color="auto" w:fill="FFFFFF"/>
        <w:rPr>
          <w:lang w:eastAsia="ru-RU"/>
        </w:rPr>
      </w:pPr>
      <w:r w:rsidRPr="00AE71C2">
        <w:rPr>
          <w:lang w:eastAsia="ru-RU"/>
        </w:rPr>
        <w:t>24</w:t>
      </w:r>
      <w:r w:rsidR="009B4E24" w:rsidRPr="00AE71C2">
        <w:rPr>
          <w:lang w:eastAsia="ru-RU"/>
        </w:rPr>
        <w:t xml:space="preserve">. Участие в работе Межрегиональной рабочей группы Министерства финансов Российской Федерации </w:t>
      </w:r>
      <w:r w:rsidR="009B4E24" w:rsidRPr="00AE71C2">
        <w:t>по проработке вопросов, связанных с переходом к единой системе администрирования доходов бюджетов бюджетной системы Российской Федерации</w:t>
      </w:r>
      <w:r w:rsidR="009B4E24" w:rsidRPr="00AE71C2">
        <w:rPr>
          <w:lang w:eastAsia="ru-RU"/>
        </w:rPr>
        <w:t>, в том числе совершенствованию механизма погашения дебиторской задолженности по неналоговым доходам.</w:t>
      </w:r>
    </w:p>
    <w:p w14:paraId="3FF5C78A" w14:textId="1DCA0986" w:rsidR="009B4E24" w:rsidRPr="00AE71C2" w:rsidRDefault="009B4E24" w:rsidP="006B3DF7">
      <w:pPr>
        <w:shd w:val="clear" w:color="auto" w:fill="FFFFFF"/>
        <w:rPr>
          <w:lang w:eastAsia="ru-RU"/>
        </w:rPr>
      </w:pPr>
      <w:r w:rsidRPr="00AE71C2">
        <w:rPr>
          <w:lang w:eastAsia="ru-RU"/>
        </w:rPr>
        <w:t xml:space="preserve">25. </w:t>
      </w:r>
      <w:bookmarkStart w:id="133" w:name="_Hlk192670111"/>
      <w:r w:rsidRPr="00AE71C2">
        <w:rPr>
          <w:lang w:eastAsia="ru-RU"/>
        </w:rPr>
        <w:t xml:space="preserve">Подготовка и принятие постановления Правительства КБР </w:t>
      </w:r>
      <w:bookmarkEnd w:id="133"/>
      <w:r w:rsidR="006B3DF7" w:rsidRPr="00AE71C2">
        <w:rPr>
          <w:lang w:eastAsia="ru-RU"/>
        </w:rPr>
        <w:t>«</w:t>
      </w:r>
      <w:r w:rsidRPr="00AE71C2">
        <w:rPr>
          <w:lang w:eastAsia="ru-RU"/>
        </w:rPr>
        <w:t>Об утверждении Порядка определения вида фактического использования зданий (строений, сооружений) и помещений и Порядка определения объектов недвижимого имущества, в отношении которых налоговая база определяется как кадастровая стоимость</w:t>
      </w:r>
      <w:r w:rsidR="006B3DF7" w:rsidRPr="00AE71C2">
        <w:rPr>
          <w:lang w:eastAsia="ru-RU"/>
        </w:rPr>
        <w:t>»</w:t>
      </w:r>
      <w:r w:rsidRPr="00AE71C2">
        <w:rPr>
          <w:lang w:eastAsia="ru-RU"/>
        </w:rPr>
        <w:t>.</w:t>
      </w:r>
    </w:p>
    <w:p w14:paraId="52F4DFC9" w14:textId="6DE2E3FC" w:rsidR="009B4E24" w:rsidRPr="00AE71C2" w:rsidRDefault="008A72BD" w:rsidP="006B3DF7">
      <w:pPr>
        <w:shd w:val="clear" w:color="auto" w:fill="FFFFFF"/>
        <w:rPr>
          <w:rFonts w:eastAsia="Trebuchet MS"/>
        </w:rPr>
      </w:pPr>
      <w:r w:rsidRPr="00AE71C2">
        <w:rPr>
          <w:lang w:eastAsia="ru-RU"/>
        </w:rPr>
        <w:t>26</w:t>
      </w:r>
      <w:r w:rsidR="009B4E24" w:rsidRPr="00AE71C2">
        <w:rPr>
          <w:lang w:eastAsia="ru-RU"/>
        </w:rPr>
        <w:t xml:space="preserve">. </w:t>
      </w:r>
      <w:r w:rsidR="009B4E24" w:rsidRPr="00AE71C2">
        <w:rPr>
          <w:rFonts w:eastAsia="Trebuchet MS"/>
        </w:rPr>
        <w:t xml:space="preserve">Проведение обследований объектов недвижимого имущества по обращениям собственников, а также в рамках судебного производства, в соответствии с Постановлением Правительства КБР от 17.03.2015года № 53-ПП (ред. </w:t>
      </w:r>
      <w:r w:rsidR="00761021">
        <w:rPr>
          <w:rFonts w:eastAsia="Trebuchet MS"/>
        </w:rPr>
        <w:br/>
      </w:r>
      <w:r w:rsidR="009B4E24" w:rsidRPr="00AE71C2">
        <w:rPr>
          <w:rFonts w:eastAsia="Trebuchet MS"/>
        </w:rPr>
        <w:t>от 23.11.2021</w:t>
      </w:r>
      <w:r w:rsidR="00761021">
        <w:rPr>
          <w:rFonts w:eastAsia="Trebuchet MS"/>
        </w:rPr>
        <w:t xml:space="preserve"> </w:t>
      </w:r>
      <w:r w:rsidR="009B4E24" w:rsidRPr="00AE71C2">
        <w:rPr>
          <w:rFonts w:eastAsia="Trebuchet MS"/>
        </w:rPr>
        <w:t xml:space="preserve">года) </w:t>
      </w:r>
      <w:r w:rsidR="006B3DF7" w:rsidRPr="00AE71C2">
        <w:rPr>
          <w:rFonts w:eastAsia="Trebuchet MS"/>
        </w:rPr>
        <w:t>«</w:t>
      </w:r>
      <w:r w:rsidR="009B4E24" w:rsidRPr="00AE71C2">
        <w:rPr>
          <w:rFonts w:eastAsia="Trebuchet MS"/>
        </w:rPr>
        <w:t>О порядке определения вида фактического использования зданий (строений, сооружений) и помещений, в отношении которых налоговая база по налогу на имущество организаций определяется как кадастровая стоимость</w:t>
      </w:r>
      <w:r w:rsidR="006B3DF7" w:rsidRPr="00AE71C2">
        <w:rPr>
          <w:rFonts w:eastAsia="Trebuchet MS"/>
        </w:rPr>
        <w:t>»</w:t>
      </w:r>
      <w:r w:rsidR="009B4E24" w:rsidRPr="00AE71C2">
        <w:rPr>
          <w:rFonts w:eastAsia="Trebuchet MS"/>
        </w:rPr>
        <w:t xml:space="preserve"> в целях актуализации Перечня объектов недвижимого имущества на 2027 год.</w:t>
      </w:r>
    </w:p>
    <w:p w14:paraId="1739F604" w14:textId="3C3275A4" w:rsidR="009B4E24" w:rsidRPr="00AE71C2" w:rsidRDefault="008A72BD" w:rsidP="006B3DF7">
      <w:pPr>
        <w:shd w:val="clear" w:color="auto" w:fill="FFFFFF"/>
        <w:rPr>
          <w:lang w:eastAsia="ru-RU"/>
        </w:rPr>
      </w:pPr>
      <w:r w:rsidRPr="00AE71C2">
        <w:rPr>
          <w:rFonts w:ascii="Times New Roman CYR" w:hAnsi="Times New Roman CYR" w:cs="Times New Roman CYR"/>
        </w:rPr>
        <w:t>27</w:t>
      </w:r>
      <w:r w:rsidR="009B4E24" w:rsidRPr="00AE71C2">
        <w:rPr>
          <w:rFonts w:ascii="Times New Roman CYR" w:hAnsi="Times New Roman CYR" w:cs="Times New Roman CYR"/>
        </w:rPr>
        <w:t xml:space="preserve">. </w:t>
      </w:r>
      <w:r w:rsidR="009B4E24" w:rsidRPr="00AE71C2">
        <w:rPr>
          <w:lang w:eastAsia="ru-RU"/>
        </w:rPr>
        <w:t xml:space="preserve">Подготовка и принятие постановления Правительства КБР </w:t>
      </w:r>
      <w:r w:rsidR="006B3DF7" w:rsidRPr="00AE71C2">
        <w:rPr>
          <w:lang w:eastAsia="ru-RU"/>
        </w:rPr>
        <w:t>«</w:t>
      </w:r>
      <w:r w:rsidR="009B4E24" w:rsidRPr="00AE71C2">
        <w:rPr>
          <w:lang w:eastAsia="ru-RU"/>
        </w:rPr>
        <w:t>Об утверждени</w:t>
      </w:r>
      <w:r w:rsidR="005B1771" w:rsidRPr="00AE71C2">
        <w:rPr>
          <w:lang w:eastAsia="ru-RU"/>
        </w:rPr>
        <w:t>и</w:t>
      </w:r>
      <w:r w:rsidR="009B4E24" w:rsidRPr="00AE71C2">
        <w:rPr>
          <w:lang w:eastAsia="ru-RU"/>
        </w:rPr>
        <w:t xml:space="preserve"> перечня объектов недвижимого имущества, в отношении которого налоговая база определяется как кадастровая стоимость в 2027 году</w:t>
      </w:r>
      <w:r w:rsidR="006B3DF7" w:rsidRPr="00AE71C2">
        <w:rPr>
          <w:lang w:eastAsia="ru-RU"/>
        </w:rPr>
        <w:t>»</w:t>
      </w:r>
      <w:r w:rsidR="009B4E24" w:rsidRPr="00AE71C2">
        <w:rPr>
          <w:lang w:eastAsia="ru-RU"/>
        </w:rPr>
        <w:t>, а также о внесении изменений в действующие постановления Правительства КБР по результатам судебных решений и проведенных обследований.</w:t>
      </w:r>
    </w:p>
    <w:p w14:paraId="259FC2AF" w14:textId="34B40CFA" w:rsidR="009B4E24" w:rsidRPr="00AE71C2" w:rsidRDefault="008A72BD" w:rsidP="006B3DF7">
      <w:pPr>
        <w:shd w:val="clear" w:color="auto" w:fill="FFFFFF"/>
        <w:rPr>
          <w:lang w:eastAsia="ru-RU"/>
        </w:rPr>
      </w:pPr>
      <w:r w:rsidRPr="00AE71C2">
        <w:t>28</w:t>
      </w:r>
      <w:r w:rsidR="009B4E24" w:rsidRPr="00AE71C2">
        <w:t xml:space="preserve">. Подготовка и утверждение на очередной трехлетний цикл Основных направлений государственной долговой политики с обозначением целей, задач и инструментов ее реализации </w:t>
      </w:r>
      <w:r w:rsidR="009B4E24" w:rsidRPr="00AE71C2">
        <w:rPr>
          <w:rFonts w:eastAsiaTheme="minorHAnsi"/>
        </w:rPr>
        <w:t>(распоряжение Правительства КБР).</w:t>
      </w:r>
    </w:p>
    <w:p w14:paraId="4F3E1FB3" w14:textId="485782D6" w:rsidR="00B51985" w:rsidRPr="00AE71C2" w:rsidRDefault="008A72BD" w:rsidP="006B3DF7">
      <w:pPr>
        <w:shd w:val="clear" w:color="auto" w:fill="FFFFFF"/>
        <w:rPr>
          <w:rFonts w:eastAsia="Trebuchet MS"/>
        </w:rPr>
      </w:pPr>
      <w:r w:rsidRPr="00AE71C2">
        <w:rPr>
          <w:lang w:eastAsia="ru-RU"/>
        </w:rPr>
        <w:t>29</w:t>
      </w:r>
      <w:r w:rsidR="0034315A" w:rsidRPr="00AE71C2">
        <w:rPr>
          <w:lang w:eastAsia="ru-RU"/>
        </w:rPr>
        <w:t xml:space="preserve">. </w:t>
      </w:r>
      <w:r w:rsidR="00583E34" w:rsidRPr="00AE71C2">
        <w:rPr>
          <w:rFonts w:eastAsia="Trebuchet MS"/>
        </w:rPr>
        <w:t>Организовать регистрацию в ГИС ГМП всех государственных и муниципальных учреждений.</w:t>
      </w:r>
    </w:p>
    <w:p w14:paraId="1D52F171" w14:textId="308C4F48" w:rsidR="000C0DCC" w:rsidRPr="00AE71C2" w:rsidRDefault="00945144" w:rsidP="006B3DF7">
      <w:r w:rsidRPr="00AE71C2">
        <w:t>3</w:t>
      </w:r>
      <w:r w:rsidR="008A72BD" w:rsidRPr="00AE71C2">
        <w:t>0</w:t>
      </w:r>
      <w:r w:rsidR="00583E34" w:rsidRPr="00AE71C2">
        <w:t>. Организация работы с ГИС ГМП участников для увеличения объема поступлений в бюджет.</w:t>
      </w:r>
    </w:p>
    <w:p w14:paraId="1205469C" w14:textId="407F5043" w:rsidR="004F0B44" w:rsidRPr="00AE71C2" w:rsidRDefault="00945144" w:rsidP="006B3DF7">
      <w:pPr>
        <w:shd w:val="clear" w:color="auto" w:fill="FFFFFF"/>
        <w:rPr>
          <w:lang w:eastAsia="ru-RU"/>
        </w:rPr>
      </w:pPr>
      <w:r w:rsidRPr="00AE71C2">
        <w:rPr>
          <w:lang w:eastAsia="ru-RU"/>
        </w:rPr>
        <w:t>3</w:t>
      </w:r>
      <w:r w:rsidR="008A72BD" w:rsidRPr="00AE71C2">
        <w:rPr>
          <w:lang w:eastAsia="ru-RU"/>
        </w:rPr>
        <w:t>1</w:t>
      </w:r>
      <w:r w:rsidR="002D7DB3" w:rsidRPr="00AE71C2">
        <w:rPr>
          <w:lang w:eastAsia="ru-RU"/>
        </w:rPr>
        <w:t>.</w:t>
      </w:r>
      <w:r w:rsidR="004E05E9" w:rsidRPr="00AE71C2">
        <w:rPr>
          <w:lang w:eastAsia="ru-RU"/>
        </w:rPr>
        <w:t xml:space="preserve"> </w:t>
      </w:r>
      <w:r w:rsidR="001D6D53" w:rsidRPr="00AE71C2">
        <w:rPr>
          <w:lang w:eastAsia="ru-RU"/>
        </w:rPr>
        <w:t xml:space="preserve">Проведение </w:t>
      </w:r>
      <w:r w:rsidR="00103E7C" w:rsidRPr="00AE71C2">
        <w:rPr>
          <w:lang w:eastAsia="ru-RU"/>
        </w:rPr>
        <w:t>6</w:t>
      </w:r>
      <w:r w:rsidR="001D6D53" w:rsidRPr="00AE71C2">
        <w:rPr>
          <w:lang w:eastAsia="ru-RU"/>
        </w:rPr>
        <w:t xml:space="preserve"> плановых контрольных мероприятий, </w:t>
      </w:r>
      <w:r w:rsidR="004F0B44" w:rsidRPr="00AE71C2">
        <w:rPr>
          <w:lang w:eastAsia="ru-RU"/>
        </w:rPr>
        <w:t>по следующим темам:</w:t>
      </w:r>
    </w:p>
    <w:p w14:paraId="4008F7C4" w14:textId="4249B21B" w:rsidR="00F722A1" w:rsidRPr="00AE71C2" w:rsidRDefault="00F722A1" w:rsidP="006B3DF7">
      <w:pPr>
        <w:shd w:val="clear" w:color="auto" w:fill="FFFFFF"/>
        <w:rPr>
          <w:bCs/>
          <w:lang w:eastAsia="ru-RU"/>
        </w:rPr>
      </w:pPr>
      <w:r w:rsidRPr="00AE71C2">
        <w:rPr>
          <w:lang w:eastAsia="ru-RU"/>
        </w:rPr>
        <w:t>- п</w:t>
      </w:r>
      <w:r w:rsidRPr="00AE71C2">
        <w:rPr>
          <w:bCs/>
          <w:lang w:eastAsia="ru-RU"/>
        </w:rPr>
        <w:t xml:space="preserve">роверка обоснованности расчета объема и правильности расходования субвенции, предоставленной бюджету муниципального образования </w:t>
      </w:r>
      <w:r w:rsidRPr="00AE71C2">
        <w:rPr>
          <w:bCs/>
          <w:lang w:eastAsia="ru-RU"/>
        </w:rPr>
        <w:br/>
        <w:t>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p w14:paraId="20428B14" w14:textId="535F5F6A" w:rsidR="00F722A1" w:rsidRPr="00AE71C2" w:rsidRDefault="00F722A1" w:rsidP="006B3DF7">
      <w:pPr>
        <w:shd w:val="clear" w:color="auto" w:fill="FFFFFF"/>
        <w:rPr>
          <w:bCs/>
          <w:lang w:eastAsia="ru-RU"/>
        </w:rPr>
      </w:pPr>
      <w:r w:rsidRPr="00AE71C2">
        <w:rPr>
          <w:bCs/>
          <w:lang w:eastAsia="ru-RU"/>
        </w:rPr>
        <w:t xml:space="preserve">- проверка соблюдения целей и условий соглашения о предоставлении субсидии на финансовое обеспечение выполнения государственного задания </w:t>
      </w:r>
      <w:r w:rsidR="003B0D19" w:rsidRPr="00AE71C2">
        <w:rPr>
          <w:bCs/>
          <w:lang w:eastAsia="ru-RU"/>
        </w:rPr>
        <w:br/>
      </w:r>
      <w:r w:rsidRPr="00AE71C2">
        <w:rPr>
          <w:bCs/>
          <w:lang w:eastAsia="ru-RU"/>
        </w:rPr>
        <w:t>на оказание государственных услуг (выполнение работ);</w:t>
      </w:r>
    </w:p>
    <w:p w14:paraId="05AC8D0A" w14:textId="390BF073" w:rsidR="00F722A1" w:rsidRPr="00AE71C2" w:rsidRDefault="00F722A1" w:rsidP="006B3DF7">
      <w:pPr>
        <w:shd w:val="clear" w:color="auto" w:fill="FFFFFF"/>
        <w:rPr>
          <w:bCs/>
          <w:lang w:eastAsia="ru-RU"/>
        </w:rPr>
      </w:pPr>
      <w:r w:rsidRPr="00AE71C2">
        <w:rPr>
          <w:bCs/>
          <w:lang w:eastAsia="ru-RU"/>
        </w:rPr>
        <w:t>- проверка отдельных вопросов финансово-хозяйственной деятельности;</w:t>
      </w:r>
    </w:p>
    <w:p w14:paraId="1A142C25" w14:textId="2281A2DD" w:rsidR="00F722A1" w:rsidRPr="00AE71C2" w:rsidRDefault="00F722A1" w:rsidP="006B3DF7">
      <w:pPr>
        <w:shd w:val="clear" w:color="auto" w:fill="FFFFFF"/>
        <w:rPr>
          <w:bCs/>
          <w:lang w:eastAsia="ru-RU"/>
        </w:rPr>
      </w:pPr>
      <w:r w:rsidRPr="00AE71C2">
        <w:rPr>
          <w:bCs/>
          <w:lang w:eastAsia="ru-RU"/>
        </w:rPr>
        <w:t>- проверка исполнения бюджетных полномочий в отношении доходов, получаемых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и доходов от продажи земельных участков, находящихся в муниципальной собственности. Проверка правильности</w:t>
      </w:r>
      <w:r w:rsidR="00761021">
        <w:rPr>
          <w:bCs/>
          <w:lang w:eastAsia="ru-RU"/>
        </w:rPr>
        <w:t xml:space="preserve"> </w:t>
      </w:r>
      <w:r w:rsidRPr="00AE71C2">
        <w:rPr>
          <w:bCs/>
          <w:lang w:eastAsia="ru-RU"/>
        </w:rPr>
        <w:t>и эффективности управления дебиторской задолженностью по доходам. Проверка организации внутреннего финансового аудита.</w:t>
      </w:r>
    </w:p>
    <w:p w14:paraId="394A8E6A" w14:textId="264D4EC5" w:rsidR="00F722A1" w:rsidRPr="00AE71C2" w:rsidRDefault="00F722A1" w:rsidP="006B3DF7">
      <w:pPr>
        <w:shd w:val="clear" w:color="auto" w:fill="FFFFFF"/>
        <w:rPr>
          <w:lang w:eastAsia="ru-RU"/>
        </w:rPr>
      </w:pPr>
      <w:r w:rsidRPr="00AE71C2">
        <w:rPr>
          <w:bCs/>
          <w:lang w:eastAsia="ru-RU"/>
        </w:rPr>
        <w:t xml:space="preserve">- </w:t>
      </w:r>
      <w:r w:rsidR="003B0D19" w:rsidRPr="00AE71C2">
        <w:rPr>
          <w:bCs/>
          <w:lang w:eastAsia="ru-RU"/>
        </w:rPr>
        <w:t>проверка исполнения условий соглашения</w:t>
      </w:r>
      <w:r w:rsidR="007D01ED" w:rsidRPr="00AE71C2">
        <w:rPr>
          <w:bCs/>
          <w:lang w:eastAsia="ru-RU"/>
        </w:rPr>
        <w:t xml:space="preserve"> </w:t>
      </w:r>
      <w:r w:rsidR="003B0D19" w:rsidRPr="00AE71C2">
        <w:rPr>
          <w:bCs/>
          <w:lang w:eastAsia="ru-RU"/>
        </w:rPr>
        <w:t>о предоставлении субсидии из республиканского бюджета Кабардино-Балкарской Республики государственному бюджетному учреждению Кабардино-Балкарской Республики на финансовое обеспечение выполнения государственного задания на оказание государственных услуг (выполнение работ). Проверка соблюдения законодательства Российской Федерации и иных правовых актов</w:t>
      </w:r>
      <w:r w:rsidR="007D01ED" w:rsidRPr="00AE71C2">
        <w:rPr>
          <w:bCs/>
          <w:lang w:eastAsia="ru-RU"/>
        </w:rPr>
        <w:t xml:space="preserve"> </w:t>
      </w:r>
      <w:r w:rsidR="003B0D19" w:rsidRPr="00AE71C2">
        <w:rPr>
          <w:bCs/>
          <w:lang w:eastAsia="ru-RU"/>
        </w:rPr>
        <w:t>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нужд Кабардино-Балкарской Республики. Проверка организации внутреннего финансового аудита.</w:t>
      </w:r>
    </w:p>
    <w:p w14:paraId="49FF5EF5" w14:textId="750E9A58" w:rsidR="001D6D53" w:rsidRPr="00AE71C2" w:rsidRDefault="00344769" w:rsidP="006B3DF7">
      <w:pPr>
        <w:shd w:val="clear" w:color="auto" w:fill="FFFFFF"/>
        <w:rPr>
          <w:lang w:eastAsia="ru-RU"/>
        </w:rPr>
      </w:pPr>
      <w:r w:rsidRPr="00AE71C2">
        <w:rPr>
          <w:lang w:eastAsia="ru-RU"/>
        </w:rPr>
        <w:t>3</w:t>
      </w:r>
      <w:r w:rsidR="008A72BD" w:rsidRPr="00AE71C2">
        <w:rPr>
          <w:lang w:eastAsia="ru-RU"/>
        </w:rPr>
        <w:t>2</w:t>
      </w:r>
      <w:r w:rsidR="0033602F" w:rsidRPr="00AE71C2">
        <w:rPr>
          <w:lang w:eastAsia="ru-RU"/>
        </w:rPr>
        <w:t xml:space="preserve">. </w:t>
      </w:r>
      <w:r w:rsidR="001D6D53" w:rsidRPr="00AE71C2">
        <w:rPr>
          <w:lang w:eastAsia="ru-RU"/>
        </w:rPr>
        <w:t xml:space="preserve">Проведение 2 аудиторских мероприятий по теме проверки </w:t>
      </w:r>
      <w:r w:rsidR="003B0D19" w:rsidRPr="00AE71C2">
        <w:rPr>
          <w:bCs/>
          <w:lang w:eastAsia="ru-RU"/>
        </w:rPr>
        <w:t xml:space="preserve">исполнения условий соглашений о мерах по социально-экономическому развитию </w:t>
      </w:r>
      <w:r w:rsidR="003B0D19" w:rsidRPr="00AE71C2">
        <w:rPr>
          <w:bCs/>
          <w:lang w:eastAsia="ru-RU"/>
        </w:rPr>
        <w:br/>
        <w:t xml:space="preserve">и оздоровлению муниципальных финансов муниципальных образований КБР </w:t>
      </w:r>
      <w:r w:rsidR="003B0D19" w:rsidRPr="00AE71C2">
        <w:rPr>
          <w:bCs/>
          <w:lang w:eastAsia="ru-RU"/>
        </w:rPr>
        <w:br/>
        <w:t xml:space="preserve">и соглашений о предоставлении бюджетам муниципальных образований  КБР дополнительной финансовой помощи из республиканского бюджета КБР в виде дотации на поддержку мер по обеспечению сбалансированности бюджетов муниципальных образований </w:t>
      </w:r>
      <w:r w:rsidR="001D6D53" w:rsidRPr="00AE71C2">
        <w:rPr>
          <w:lang w:eastAsia="ru-RU"/>
        </w:rPr>
        <w:t>и проверки достоверности, своевременности составления и представления бюджетной отчетности Министерства.</w:t>
      </w:r>
    </w:p>
    <w:p w14:paraId="64EAC9B9" w14:textId="636308B0" w:rsidR="002E2883" w:rsidRPr="00AE71C2" w:rsidRDefault="0054583A" w:rsidP="006B3DF7">
      <w:pPr>
        <w:shd w:val="clear" w:color="auto" w:fill="FFFFFF"/>
        <w:rPr>
          <w:lang w:eastAsia="ru-RU"/>
        </w:rPr>
      </w:pPr>
      <w:r w:rsidRPr="00AE71C2">
        <w:rPr>
          <w:lang w:eastAsia="ru-RU"/>
        </w:rPr>
        <w:t>3</w:t>
      </w:r>
      <w:r w:rsidR="008A72BD" w:rsidRPr="00AE71C2">
        <w:rPr>
          <w:lang w:eastAsia="ru-RU"/>
        </w:rPr>
        <w:t>3</w:t>
      </w:r>
      <w:r w:rsidR="00032019" w:rsidRPr="00AE71C2">
        <w:rPr>
          <w:lang w:eastAsia="ru-RU"/>
        </w:rPr>
        <w:t xml:space="preserve">. </w:t>
      </w:r>
      <w:r w:rsidR="00583E34" w:rsidRPr="00AE71C2">
        <w:rPr>
          <w:lang w:eastAsia="ru-RU"/>
        </w:rPr>
        <w:t xml:space="preserve">Автоматизация кадрового учета и расчета заработной платы участников бюджетного процесса КБР в соответствии с законодательством Российской Федерации посредством подсистемы «Управление оплатой труда» </w:t>
      </w:r>
      <w:r w:rsidR="00016E54" w:rsidRPr="00AE71C2">
        <w:t>Министерства</w:t>
      </w:r>
      <w:r w:rsidR="00E62A72" w:rsidRPr="00AE71C2">
        <w:rPr>
          <w:lang w:eastAsia="ru-RU"/>
        </w:rPr>
        <w:t>.</w:t>
      </w:r>
    </w:p>
    <w:p w14:paraId="1E49AD8E" w14:textId="192EBE2B" w:rsidR="00C032E6" w:rsidRPr="00AE71C2" w:rsidRDefault="00E36A15" w:rsidP="006B3DF7">
      <w:pPr>
        <w:shd w:val="clear" w:color="auto" w:fill="FFFFFF"/>
        <w:rPr>
          <w:lang w:eastAsia="ru-RU"/>
        </w:rPr>
      </w:pPr>
      <w:r w:rsidRPr="00AE71C2">
        <w:rPr>
          <w:lang w:eastAsia="ru-RU"/>
        </w:rPr>
        <w:t>3</w:t>
      </w:r>
      <w:r w:rsidR="008A72BD" w:rsidRPr="00AE71C2">
        <w:rPr>
          <w:lang w:eastAsia="ru-RU"/>
        </w:rPr>
        <w:t>4</w:t>
      </w:r>
      <w:r w:rsidR="00A63BD2" w:rsidRPr="00AE71C2">
        <w:rPr>
          <w:lang w:eastAsia="ru-RU"/>
        </w:rPr>
        <w:t>. Осуществление мероприятий в рамках судебной защиты интересов казны Кабардино-Балкарской Республики, направленных на минимизацию взыскиваемых средств бюджета.</w:t>
      </w:r>
    </w:p>
    <w:p w14:paraId="0B93D0EB" w14:textId="6361D4D8" w:rsidR="00B57CC0" w:rsidRPr="00AE71C2" w:rsidRDefault="00E36A15" w:rsidP="006B3DF7">
      <w:pPr>
        <w:shd w:val="clear" w:color="auto" w:fill="FFFFFF"/>
        <w:rPr>
          <w:lang w:eastAsia="ru-RU"/>
        </w:rPr>
      </w:pPr>
      <w:r w:rsidRPr="00AE71C2">
        <w:rPr>
          <w:lang w:eastAsia="ru-RU"/>
        </w:rPr>
        <w:t>3</w:t>
      </w:r>
      <w:r w:rsidR="008A72BD" w:rsidRPr="00AE71C2">
        <w:rPr>
          <w:lang w:eastAsia="ru-RU"/>
        </w:rPr>
        <w:t>5</w:t>
      </w:r>
      <w:r w:rsidR="004F67CE" w:rsidRPr="00AE71C2">
        <w:rPr>
          <w:lang w:eastAsia="ru-RU"/>
        </w:rPr>
        <w:t xml:space="preserve">. </w:t>
      </w:r>
      <w:r w:rsidR="00B57CC0" w:rsidRPr="00AE71C2">
        <w:rPr>
          <w:lang w:eastAsia="ru-RU"/>
        </w:rPr>
        <w:t>Усиление контроля за своевременностью представления главными администраторы средств бюджета Кабардино-Балкарской Республики бюд</w:t>
      </w:r>
      <w:r w:rsidR="00016E54" w:rsidRPr="00AE71C2">
        <w:rPr>
          <w:lang w:eastAsia="ru-RU"/>
        </w:rPr>
        <w:t>жетной отчетности в Министерство</w:t>
      </w:r>
      <w:r w:rsidR="00B57CC0" w:rsidRPr="00AE71C2">
        <w:rPr>
          <w:lang w:eastAsia="ru-RU"/>
        </w:rPr>
        <w:t>.</w:t>
      </w:r>
    </w:p>
    <w:p w14:paraId="40C280EB" w14:textId="11857B50" w:rsidR="004F67CE" w:rsidRPr="00AE71C2" w:rsidRDefault="00344769" w:rsidP="006B3DF7">
      <w:pPr>
        <w:shd w:val="clear" w:color="auto" w:fill="FFFFFF"/>
        <w:rPr>
          <w:lang w:eastAsia="ru-RU"/>
        </w:rPr>
      </w:pPr>
      <w:r w:rsidRPr="00AE71C2">
        <w:rPr>
          <w:lang w:eastAsia="ru-RU"/>
        </w:rPr>
        <w:t>3</w:t>
      </w:r>
      <w:r w:rsidR="008A72BD" w:rsidRPr="00AE71C2">
        <w:rPr>
          <w:lang w:eastAsia="ru-RU"/>
        </w:rPr>
        <w:t>6</w:t>
      </w:r>
      <w:r w:rsidRPr="00AE71C2">
        <w:rPr>
          <w:lang w:eastAsia="ru-RU"/>
        </w:rPr>
        <w:t>.</w:t>
      </w:r>
      <w:r w:rsidR="004E05E9" w:rsidRPr="00AE71C2">
        <w:rPr>
          <w:lang w:eastAsia="ru-RU"/>
        </w:rPr>
        <w:t xml:space="preserve"> </w:t>
      </w:r>
      <w:r w:rsidR="00B57CC0" w:rsidRPr="00AE71C2">
        <w:rPr>
          <w:lang w:eastAsia="ru-RU"/>
        </w:rPr>
        <w:t>Реализация плана мероприятий (</w:t>
      </w:r>
      <w:r w:rsidR="006B3DF7" w:rsidRPr="00AE71C2">
        <w:rPr>
          <w:lang w:eastAsia="ru-RU"/>
        </w:rPr>
        <w:t>«</w:t>
      </w:r>
      <w:r w:rsidR="00B57CC0" w:rsidRPr="00AE71C2">
        <w:rPr>
          <w:lang w:eastAsia="ru-RU"/>
        </w:rPr>
        <w:t>дорожная карта</w:t>
      </w:r>
      <w:r w:rsidR="006B3DF7" w:rsidRPr="00AE71C2">
        <w:rPr>
          <w:lang w:eastAsia="ru-RU"/>
        </w:rPr>
        <w:t>»</w:t>
      </w:r>
      <w:r w:rsidR="00B57CC0" w:rsidRPr="00AE71C2">
        <w:rPr>
          <w:lang w:eastAsia="ru-RU"/>
        </w:rPr>
        <w:t>) по погашению (реструктуризации) кредиторской задолженности республиканского бюджета Кабардино-Балкарской Республики и государственных бюджетных и автономных учреждений Кабардино-Балкарской Республики на 2024 – 2026 годы.</w:t>
      </w:r>
    </w:p>
    <w:p w14:paraId="00D87E08" w14:textId="20150A85" w:rsidR="00B57CC0" w:rsidRPr="00AE71C2" w:rsidRDefault="008A72BD" w:rsidP="006B3DF7">
      <w:pPr>
        <w:shd w:val="clear" w:color="auto" w:fill="FFFFFF"/>
        <w:rPr>
          <w:lang w:eastAsia="ru-RU"/>
        </w:rPr>
      </w:pPr>
      <w:r w:rsidRPr="00AE71C2">
        <w:rPr>
          <w:lang w:eastAsia="ru-RU"/>
        </w:rPr>
        <w:t>37</w:t>
      </w:r>
      <w:r w:rsidR="007111DF" w:rsidRPr="00AE71C2">
        <w:rPr>
          <w:lang w:eastAsia="ru-RU"/>
        </w:rPr>
        <w:t xml:space="preserve">. </w:t>
      </w:r>
      <w:r w:rsidR="00B57CC0" w:rsidRPr="00AE71C2">
        <w:rPr>
          <w:lang w:eastAsia="ru-RU"/>
        </w:rPr>
        <w:t>Реализация плана мероприятий (</w:t>
      </w:r>
      <w:r w:rsidR="006B3DF7" w:rsidRPr="00AE71C2">
        <w:rPr>
          <w:lang w:eastAsia="ru-RU"/>
        </w:rPr>
        <w:t>«</w:t>
      </w:r>
      <w:r w:rsidR="00B57CC0" w:rsidRPr="00AE71C2">
        <w:rPr>
          <w:lang w:eastAsia="ru-RU"/>
        </w:rPr>
        <w:t>дорожная карта</w:t>
      </w:r>
      <w:r w:rsidR="006B3DF7" w:rsidRPr="00AE71C2">
        <w:rPr>
          <w:lang w:eastAsia="ru-RU"/>
        </w:rPr>
        <w:t>»</w:t>
      </w:r>
      <w:r w:rsidR="00B57CC0" w:rsidRPr="00AE71C2">
        <w:rPr>
          <w:lang w:eastAsia="ru-RU"/>
        </w:rPr>
        <w:t>) по взысканию дебиторской задолженности по платежам в республиканский бюджет Кабардино-Балкарской Республики, пеням и штрафам по ним</w:t>
      </w:r>
      <w:r w:rsidR="006B3DF7" w:rsidRPr="00AE71C2">
        <w:rPr>
          <w:lang w:eastAsia="ru-RU"/>
        </w:rPr>
        <w:t>»</w:t>
      </w:r>
      <w:r w:rsidR="00B57CC0" w:rsidRPr="00AE71C2">
        <w:rPr>
          <w:lang w:eastAsia="ru-RU"/>
        </w:rPr>
        <w:t xml:space="preserve">. </w:t>
      </w:r>
    </w:p>
    <w:p w14:paraId="0C67B766" w14:textId="2A0DC561" w:rsidR="00241148" w:rsidRPr="00AE71C2" w:rsidRDefault="008A72BD" w:rsidP="006B3DF7">
      <w:pPr>
        <w:shd w:val="clear" w:color="auto" w:fill="FFFFFF"/>
      </w:pPr>
      <w:r w:rsidRPr="00AE71C2">
        <w:rPr>
          <w:lang w:eastAsia="ru-RU"/>
        </w:rPr>
        <w:t>38</w:t>
      </w:r>
      <w:r w:rsidR="00241148" w:rsidRPr="00AE71C2">
        <w:rPr>
          <w:lang w:eastAsia="ru-RU"/>
        </w:rPr>
        <w:t xml:space="preserve">. В рамках реализации Федерального проекта </w:t>
      </w:r>
      <w:r w:rsidR="006B3DF7" w:rsidRPr="00AE71C2">
        <w:rPr>
          <w:lang w:eastAsia="ru-RU"/>
        </w:rPr>
        <w:t>«</w:t>
      </w:r>
      <w:r w:rsidR="00241148" w:rsidRPr="00AE71C2">
        <w:rPr>
          <w:lang w:eastAsia="ru-RU"/>
        </w:rPr>
        <w:t>Государство для людей</w:t>
      </w:r>
      <w:r w:rsidR="006B3DF7" w:rsidRPr="00AE71C2">
        <w:rPr>
          <w:lang w:eastAsia="ru-RU"/>
        </w:rPr>
        <w:t>»</w:t>
      </w:r>
      <w:r w:rsidR="00241148" w:rsidRPr="00AE71C2">
        <w:rPr>
          <w:lang w:eastAsia="ru-RU"/>
        </w:rPr>
        <w:t xml:space="preserve"> и распоряжения Правительства Кабардино-Балкар</w:t>
      </w:r>
      <w:r w:rsidR="00344769" w:rsidRPr="00AE71C2">
        <w:rPr>
          <w:lang w:eastAsia="ru-RU"/>
        </w:rPr>
        <w:t xml:space="preserve">ской Республики от </w:t>
      </w:r>
      <w:r w:rsidR="00344769" w:rsidRPr="00AE71C2">
        <w:rPr>
          <w:lang w:eastAsia="ru-RU"/>
        </w:rPr>
        <w:br/>
        <w:t>26.09.</w:t>
      </w:r>
      <w:r w:rsidR="00241148" w:rsidRPr="00AE71C2">
        <w:rPr>
          <w:lang w:eastAsia="ru-RU"/>
        </w:rPr>
        <w:t xml:space="preserve">2023 года № 468-рп </w:t>
      </w:r>
      <w:r w:rsidR="006B3DF7" w:rsidRPr="00AE71C2">
        <w:rPr>
          <w:lang w:eastAsia="ru-RU"/>
        </w:rPr>
        <w:t>«</w:t>
      </w:r>
      <w:r w:rsidR="00241148" w:rsidRPr="00AE71C2">
        <w:rPr>
          <w:lang w:eastAsia="ru-RU"/>
        </w:rPr>
        <w:t>Об утверждении Плана мероприятий (</w:t>
      </w:r>
      <w:r w:rsidR="006B3DF7" w:rsidRPr="00AE71C2">
        <w:rPr>
          <w:lang w:eastAsia="ru-RU"/>
        </w:rPr>
        <w:t>«</w:t>
      </w:r>
      <w:r w:rsidR="00241148" w:rsidRPr="00AE71C2">
        <w:rPr>
          <w:lang w:eastAsia="ru-RU"/>
        </w:rPr>
        <w:t>Дорожная карта</w:t>
      </w:r>
      <w:r w:rsidR="006B3DF7" w:rsidRPr="00AE71C2">
        <w:rPr>
          <w:lang w:eastAsia="ru-RU"/>
        </w:rPr>
        <w:t>»</w:t>
      </w:r>
      <w:r w:rsidR="00241148" w:rsidRPr="00AE71C2">
        <w:rPr>
          <w:lang w:eastAsia="ru-RU"/>
        </w:rPr>
        <w:t>) по внедрению С</w:t>
      </w:r>
      <w:r w:rsidR="00241148" w:rsidRPr="00AE71C2">
        <w:t xml:space="preserve">тандартов </w:t>
      </w:r>
      <w:proofErr w:type="spellStart"/>
      <w:r w:rsidR="00241148" w:rsidRPr="00AE71C2">
        <w:t>клиентоцентричности</w:t>
      </w:r>
      <w:proofErr w:type="spellEnd"/>
      <w:r w:rsidR="00241148" w:rsidRPr="00AE71C2">
        <w:t xml:space="preserve"> в Кабардино-Балкарской Республике</w:t>
      </w:r>
      <w:r w:rsidR="006B3DF7" w:rsidRPr="00AE71C2">
        <w:t>»</w:t>
      </w:r>
      <w:r w:rsidR="00241148" w:rsidRPr="00AE71C2">
        <w:t xml:space="preserve"> исполнение Плана мероприятий (</w:t>
      </w:r>
      <w:r w:rsidR="006B3DF7" w:rsidRPr="00AE71C2">
        <w:t>«</w:t>
      </w:r>
      <w:r w:rsidR="00241148" w:rsidRPr="00AE71C2">
        <w:t>Дорожная карта</w:t>
      </w:r>
      <w:r w:rsidR="006B3DF7" w:rsidRPr="00AE71C2">
        <w:t>»</w:t>
      </w:r>
      <w:r w:rsidR="00241148" w:rsidRPr="00AE71C2">
        <w:t xml:space="preserve">) Министерства финансов КБР по внедрению Стандартов </w:t>
      </w:r>
      <w:proofErr w:type="spellStart"/>
      <w:r w:rsidR="00241148" w:rsidRPr="00AE71C2">
        <w:t>клиентоцентричности</w:t>
      </w:r>
      <w:proofErr w:type="spellEnd"/>
      <w:r w:rsidR="00241148" w:rsidRPr="00AE71C2">
        <w:t>.</w:t>
      </w:r>
    </w:p>
    <w:p w14:paraId="01F38A45" w14:textId="04CDA0B3" w:rsidR="001433DE" w:rsidRPr="00AE71C2" w:rsidRDefault="008A72BD" w:rsidP="006B3DF7">
      <w:pPr>
        <w:rPr>
          <w:rFonts w:ascii="Times New Roman CYR" w:hAnsi="Times New Roman CYR" w:cs="Times New Roman CYR"/>
        </w:rPr>
      </w:pPr>
      <w:r w:rsidRPr="00AE71C2">
        <w:rPr>
          <w:lang w:eastAsia="ru-RU"/>
        </w:rPr>
        <w:t>39</w:t>
      </w:r>
      <w:r w:rsidR="001433DE" w:rsidRPr="00AE71C2">
        <w:rPr>
          <w:lang w:eastAsia="ru-RU"/>
        </w:rPr>
        <w:t xml:space="preserve">. </w:t>
      </w:r>
      <w:r w:rsidR="001433DE" w:rsidRPr="00AE71C2">
        <w:rPr>
          <w:rFonts w:ascii="Times New Roman CYR" w:hAnsi="Times New Roman CYR" w:cs="Times New Roman CYR"/>
        </w:rPr>
        <w:t>В соответствии с постановлением Правительства РФ от 27</w:t>
      </w:r>
      <w:r w:rsidR="00D10704" w:rsidRPr="00AE71C2">
        <w:rPr>
          <w:rFonts w:ascii="Times New Roman CYR" w:hAnsi="Times New Roman CYR" w:cs="Times New Roman CYR"/>
        </w:rPr>
        <w:t>.01.</w:t>
      </w:r>
      <w:r w:rsidR="001433DE" w:rsidRPr="00AE71C2">
        <w:rPr>
          <w:rFonts w:ascii="Times New Roman CYR" w:hAnsi="Times New Roman CYR" w:cs="Times New Roman CYR"/>
        </w:rPr>
        <w:t xml:space="preserve">2022 </w:t>
      </w:r>
      <w:r w:rsidR="00C314E4" w:rsidRPr="00AE71C2">
        <w:rPr>
          <w:rFonts w:ascii="Times New Roman CYR" w:hAnsi="Times New Roman CYR" w:cs="Times New Roman CYR"/>
        </w:rPr>
        <w:t>года</w:t>
      </w:r>
      <w:r w:rsidR="00D10704" w:rsidRPr="00AE71C2">
        <w:rPr>
          <w:rFonts w:ascii="Times New Roman CYR" w:hAnsi="Times New Roman CYR" w:cs="Times New Roman CYR"/>
        </w:rPr>
        <w:br/>
      </w:r>
      <w:r w:rsidR="001433DE" w:rsidRPr="00AE71C2">
        <w:rPr>
          <w:rFonts w:ascii="Times New Roman CYR" w:hAnsi="Times New Roman CYR" w:cs="Times New Roman CYR"/>
        </w:rPr>
        <w:t xml:space="preserve">№ 60 </w:t>
      </w:r>
      <w:r w:rsidR="006B3DF7" w:rsidRPr="00AE71C2">
        <w:rPr>
          <w:rFonts w:ascii="Times New Roman CYR" w:hAnsi="Times New Roman CYR" w:cs="Times New Roman CYR"/>
        </w:rPr>
        <w:t>«</w:t>
      </w:r>
      <w:r w:rsidR="001433DE" w:rsidRPr="00AE71C2">
        <w:rPr>
          <w:rFonts w:ascii="Times New Roman CYR" w:hAnsi="Times New Roman CYR" w:cs="Times New Roman CYR"/>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006B3DF7" w:rsidRPr="00AE71C2">
        <w:rPr>
          <w:rFonts w:ascii="Times New Roman CYR" w:hAnsi="Times New Roman CYR" w:cs="Times New Roman CYR"/>
        </w:rPr>
        <w:t>»</w:t>
      </w:r>
      <w:r w:rsidR="001433DE" w:rsidRPr="00AE71C2">
        <w:rPr>
          <w:rFonts w:ascii="Times New Roman CYR" w:hAnsi="Times New Roman CYR" w:cs="Times New Roman CYR"/>
        </w:rPr>
        <w:t xml:space="preserve"> осуществлять проверку платежных документов по контрактам на соответствие реестру контрактов.</w:t>
      </w:r>
    </w:p>
    <w:p w14:paraId="5227B934" w14:textId="40AD4955" w:rsidR="00961F66" w:rsidRPr="00AE71C2" w:rsidRDefault="00157218" w:rsidP="006B3DF7">
      <w:pPr>
        <w:rPr>
          <w:rFonts w:ascii="Times New Roman CYR" w:hAnsi="Times New Roman CYR" w:cs="Times New Roman CYR"/>
        </w:rPr>
      </w:pPr>
      <w:r w:rsidRPr="00AE71C2">
        <w:rPr>
          <w:rFonts w:ascii="Times New Roman CYR" w:hAnsi="Times New Roman CYR" w:cs="Times New Roman CYR"/>
        </w:rPr>
        <w:t>4</w:t>
      </w:r>
      <w:r w:rsidR="008A72BD" w:rsidRPr="00AE71C2">
        <w:rPr>
          <w:rFonts w:ascii="Times New Roman CYR" w:hAnsi="Times New Roman CYR" w:cs="Times New Roman CYR"/>
        </w:rPr>
        <w:t>0</w:t>
      </w:r>
      <w:r w:rsidR="00961F66" w:rsidRPr="00AE71C2">
        <w:rPr>
          <w:rFonts w:ascii="Times New Roman CYR" w:hAnsi="Times New Roman CYR" w:cs="Times New Roman CYR"/>
        </w:rPr>
        <w:t xml:space="preserve">. Настройка синхронизации данных из </w:t>
      </w:r>
      <w:r w:rsidR="004F6E81" w:rsidRPr="00AE71C2">
        <w:rPr>
          <w:rFonts w:ascii="Times New Roman CYR" w:hAnsi="Times New Roman CYR" w:cs="Times New Roman CYR"/>
        </w:rPr>
        <w:t>п</w:t>
      </w:r>
      <w:r w:rsidR="00961F66" w:rsidRPr="00AE71C2">
        <w:rPr>
          <w:rFonts w:ascii="Times New Roman CYR" w:hAnsi="Times New Roman CYR" w:cs="Times New Roman CYR"/>
        </w:rPr>
        <w:t>одсистемы нормативно-справочной информации в подсистем</w:t>
      </w:r>
      <w:r w:rsidR="00793CE7" w:rsidRPr="00AE71C2">
        <w:rPr>
          <w:rFonts w:ascii="Times New Roman CYR" w:hAnsi="Times New Roman CYR" w:cs="Times New Roman CYR"/>
        </w:rPr>
        <w:t>е</w:t>
      </w:r>
      <w:r w:rsidR="00961F66" w:rsidRPr="00AE71C2">
        <w:rPr>
          <w:rFonts w:ascii="Times New Roman CYR" w:hAnsi="Times New Roman CYR" w:cs="Times New Roman CYR"/>
        </w:rPr>
        <w:t xml:space="preserve"> управления расходами (каз</w:t>
      </w:r>
      <w:r w:rsidR="00793CE7" w:rsidRPr="00AE71C2">
        <w:rPr>
          <w:rFonts w:ascii="Times New Roman CYR" w:hAnsi="Times New Roman CYR" w:cs="Times New Roman CYR"/>
        </w:rPr>
        <w:t>нач</w:t>
      </w:r>
      <w:r w:rsidR="00961F66" w:rsidRPr="00AE71C2">
        <w:rPr>
          <w:rFonts w:ascii="Times New Roman CYR" w:hAnsi="Times New Roman CYR" w:cs="Times New Roman CYR"/>
        </w:rPr>
        <w:t>ей</w:t>
      </w:r>
      <w:r w:rsidR="00793CE7" w:rsidRPr="00AE71C2">
        <w:rPr>
          <w:rFonts w:ascii="Times New Roman CYR" w:hAnsi="Times New Roman CYR" w:cs="Times New Roman CYR"/>
        </w:rPr>
        <w:t>с</w:t>
      </w:r>
      <w:r w:rsidR="00961F66" w:rsidRPr="00AE71C2">
        <w:rPr>
          <w:rFonts w:ascii="Times New Roman CYR" w:hAnsi="Times New Roman CYR" w:cs="Times New Roman CYR"/>
        </w:rPr>
        <w:t xml:space="preserve">кое сопровождение) в государственную интегрированную информационную систему управления общественными финансами </w:t>
      </w:r>
      <w:r w:rsidR="006B3DF7" w:rsidRPr="00AE71C2">
        <w:rPr>
          <w:rFonts w:ascii="Times New Roman CYR" w:hAnsi="Times New Roman CYR" w:cs="Times New Roman CYR"/>
        </w:rPr>
        <w:t>«</w:t>
      </w:r>
      <w:r w:rsidR="00961F66" w:rsidRPr="00AE71C2">
        <w:rPr>
          <w:rFonts w:ascii="Times New Roman CYR" w:hAnsi="Times New Roman CYR" w:cs="Times New Roman CYR"/>
        </w:rPr>
        <w:t>Электронный бюджет</w:t>
      </w:r>
      <w:r w:rsidR="006B3DF7" w:rsidRPr="00AE71C2">
        <w:rPr>
          <w:rFonts w:ascii="Times New Roman CYR" w:hAnsi="Times New Roman CYR" w:cs="Times New Roman CYR"/>
        </w:rPr>
        <w:t>»</w:t>
      </w:r>
      <w:r w:rsidR="00961F66" w:rsidRPr="00AE71C2">
        <w:rPr>
          <w:rFonts w:ascii="Times New Roman CYR" w:hAnsi="Times New Roman CYR" w:cs="Times New Roman CYR"/>
        </w:rPr>
        <w:t>.</w:t>
      </w:r>
    </w:p>
    <w:p w14:paraId="58F8EE55" w14:textId="55C0640B" w:rsidR="004F6E81" w:rsidRPr="00AE71C2" w:rsidRDefault="00793CE7" w:rsidP="006B3DF7">
      <w:pPr>
        <w:rPr>
          <w:rFonts w:ascii="Times New Roman CYR" w:hAnsi="Times New Roman CYR" w:cs="Times New Roman CYR"/>
        </w:rPr>
      </w:pPr>
      <w:r w:rsidRPr="00AE71C2">
        <w:rPr>
          <w:rFonts w:ascii="Times New Roman CYR" w:hAnsi="Times New Roman CYR" w:cs="Times New Roman CYR"/>
        </w:rPr>
        <w:t>4</w:t>
      </w:r>
      <w:r w:rsidR="008A72BD" w:rsidRPr="00AE71C2">
        <w:rPr>
          <w:rFonts w:ascii="Times New Roman CYR" w:hAnsi="Times New Roman CYR" w:cs="Times New Roman CYR"/>
        </w:rPr>
        <w:t>1</w:t>
      </w:r>
      <w:r w:rsidRPr="00AE71C2">
        <w:rPr>
          <w:rFonts w:ascii="Times New Roman CYR" w:hAnsi="Times New Roman CYR" w:cs="Times New Roman CYR"/>
        </w:rPr>
        <w:t xml:space="preserve">. Доработка автоматического оповещения </w:t>
      </w:r>
      <w:r w:rsidR="002B77FE" w:rsidRPr="00AE71C2">
        <w:rPr>
          <w:rFonts w:ascii="Times New Roman CYR" w:hAnsi="Times New Roman CYR" w:cs="Times New Roman CYR"/>
        </w:rPr>
        <w:t>п</w:t>
      </w:r>
      <w:r w:rsidRPr="00AE71C2">
        <w:rPr>
          <w:rFonts w:ascii="Times New Roman CYR" w:hAnsi="Times New Roman CYR" w:cs="Times New Roman CYR"/>
        </w:rPr>
        <w:t xml:space="preserve">ользователей на их электронную почту о произведенных изменениях в справочнике </w:t>
      </w:r>
      <w:r w:rsidR="006B3DF7" w:rsidRPr="00AE71C2">
        <w:rPr>
          <w:rFonts w:ascii="Times New Roman CYR" w:hAnsi="Times New Roman CYR" w:cs="Times New Roman CYR"/>
        </w:rPr>
        <w:t>«</w:t>
      </w:r>
      <w:r w:rsidRPr="00AE71C2">
        <w:rPr>
          <w:rFonts w:ascii="Times New Roman CYR" w:hAnsi="Times New Roman CYR" w:cs="Times New Roman CYR"/>
        </w:rPr>
        <w:t>Пользователи</w:t>
      </w:r>
      <w:r w:rsidR="006B3DF7" w:rsidRPr="00AE71C2">
        <w:rPr>
          <w:rFonts w:ascii="Times New Roman CYR" w:hAnsi="Times New Roman CYR" w:cs="Times New Roman CYR"/>
        </w:rPr>
        <w:t>»</w:t>
      </w:r>
      <w:r w:rsidRPr="00AE71C2">
        <w:rPr>
          <w:rFonts w:ascii="Times New Roman CYR" w:hAnsi="Times New Roman CYR" w:cs="Times New Roman CYR"/>
        </w:rPr>
        <w:t xml:space="preserve"> в системе </w:t>
      </w:r>
      <w:r w:rsidR="003D4698">
        <w:rPr>
          <w:rFonts w:ascii="Times New Roman CYR" w:hAnsi="Times New Roman CYR" w:cs="Times New Roman CYR"/>
        </w:rPr>
        <w:br/>
      </w:r>
      <w:r w:rsidR="006B3DF7" w:rsidRPr="00AE71C2">
        <w:rPr>
          <w:rFonts w:ascii="Times New Roman CYR" w:hAnsi="Times New Roman CYR" w:cs="Times New Roman CYR"/>
        </w:rPr>
        <w:t>«</w:t>
      </w:r>
      <w:r w:rsidRPr="00AE71C2">
        <w:rPr>
          <w:rFonts w:ascii="Times New Roman CYR" w:hAnsi="Times New Roman CYR" w:cs="Times New Roman CYR"/>
        </w:rPr>
        <w:t>АЦК-Финансы</w:t>
      </w:r>
      <w:r w:rsidR="006B3DF7" w:rsidRPr="00AE71C2">
        <w:rPr>
          <w:rFonts w:ascii="Times New Roman CYR" w:hAnsi="Times New Roman CYR" w:cs="Times New Roman CYR"/>
        </w:rPr>
        <w:t>»</w:t>
      </w:r>
      <w:r w:rsidR="004F6E81" w:rsidRPr="00AE71C2">
        <w:rPr>
          <w:rFonts w:ascii="Times New Roman CYR" w:hAnsi="Times New Roman CYR" w:cs="Times New Roman CYR"/>
        </w:rPr>
        <w:t>.</w:t>
      </w:r>
    </w:p>
    <w:p w14:paraId="60DC290A" w14:textId="3D46E365" w:rsidR="004F6E81" w:rsidRPr="00AE71C2" w:rsidRDefault="004F6E81" w:rsidP="006B3DF7">
      <w:pPr>
        <w:rPr>
          <w:rFonts w:ascii="Times New Roman CYR" w:hAnsi="Times New Roman CYR" w:cs="Times New Roman CYR"/>
        </w:rPr>
      </w:pPr>
      <w:r w:rsidRPr="00AE71C2">
        <w:rPr>
          <w:rFonts w:ascii="Times New Roman CYR" w:hAnsi="Times New Roman CYR" w:cs="Times New Roman CYR"/>
        </w:rPr>
        <w:t>4</w:t>
      </w:r>
      <w:r w:rsidR="008A72BD" w:rsidRPr="00AE71C2">
        <w:rPr>
          <w:rFonts w:ascii="Times New Roman CYR" w:hAnsi="Times New Roman CYR" w:cs="Times New Roman CYR"/>
        </w:rPr>
        <w:t>2</w:t>
      </w:r>
      <w:r w:rsidRPr="00AE71C2">
        <w:rPr>
          <w:rFonts w:ascii="Times New Roman CYR" w:hAnsi="Times New Roman CYR" w:cs="Times New Roman CYR"/>
        </w:rPr>
        <w:t xml:space="preserve">. </w:t>
      </w:r>
      <w:r w:rsidR="006A29E8" w:rsidRPr="00AE71C2">
        <w:rPr>
          <w:rFonts w:ascii="Times New Roman CYR" w:hAnsi="Times New Roman CYR" w:cs="Times New Roman CYR"/>
        </w:rPr>
        <w:t>Настройка взаимодействия (обмен данными) с</w:t>
      </w:r>
      <w:r w:rsidRPr="00AE71C2">
        <w:rPr>
          <w:rFonts w:ascii="Times New Roman CYR" w:hAnsi="Times New Roman CYR" w:cs="Times New Roman CYR"/>
        </w:rPr>
        <w:t>истем</w:t>
      </w:r>
      <w:r w:rsidR="006A29E8" w:rsidRPr="00AE71C2">
        <w:rPr>
          <w:rFonts w:ascii="Times New Roman CYR" w:hAnsi="Times New Roman CYR" w:cs="Times New Roman CYR"/>
        </w:rPr>
        <w:t>ы</w:t>
      </w:r>
      <w:r w:rsidRPr="00AE71C2">
        <w:rPr>
          <w:rFonts w:ascii="Times New Roman CYR" w:hAnsi="Times New Roman CYR" w:cs="Times New Roman CYR"/>
        </w:rPr>
        <w:t xml:space="preserve"> </w:t>
      </w:r>
      <w:r w:rsidR="006B3DF7" w:rsidRPr="00AE71C2">
        <w:rPr>
          <w:rFonts w:ascii="Times New Roman CYR" w:hAnsi="Times New Roman CYR" w:cs="Times New Roman CYR"/>
        </w:rPr>
        <w:t>«</w:t>
      </w:r>
      <w:r w:rsidRPr="00AE71C2">
        <w:rPr>
          <w:rFonts w:ascii="Times New Roman CYR" w:hAnsi="Times New Roman CYR" w:cs="Times New Roman CYR"/>
        </w:rPr>
        <w:t>АЦК-Финансы</w:t>
      </w:r>
      <w:r w:rsidR="006B3DF7" w:rsidRPr="00AE71C2">
        <w:rPr>
          <w:rFonts w:ascii="Times New Roman CYR" w:hAnsi="Times New Roman CYR" w:cs="Times New Roman CYR"/>
        </w:rPr>
        <w:t>»</w:t>
      </w:r>
      <w:r w:rsidRPr="00AE71C2">
        <w:rPr>
          <w:rFonts w:ascii="Times New Roman CYR" w:hAnsi="Times New Roman CYR" w:cs="Times New Roman CYR"/>
        </w:rPr>
        <w:t xml:space="preserve"> </w:t>
      </w:r>
      <w:r w:rsidR="006A29E8" w:rsidRPr="00AE71C2">
        <w:rPr>
          <w:rFonts w:ascii="Times New Roman CYR" w:hAnsi="Times New Roman CYR" w:cs="Times New Roman CYR"/>
        </w:rPr>
        <w:t xml:space="preserve">и государственной интегрированной информационной системы управления общественными финансами </w:t>
      </w:r>
      <w:r w:rsidR="006B3DF7" w:rsidRPr="00AE71C2">
        <w:rPr>
          <w:rFonts w:ascii="Times New Roman CYR" w:hAnsi="Times New Roman CYR" w:cs="Times New Roman CYR"/>
        </w:rPr>
        <w:t>«</w:t>
      </w:r>
      <w:r w:rsidR="006A29E8" w:rsidRPr="00AE71C2">
        <w:rPr>
          <w:rFonts w:ascii="Times New Roman CYR" w:hAnsi="Times New Roman CYR" w:cs="Times New Roman CYR"/>
        </w:rPr>
        <w:t>Электронный бюджет</w:t>
      </w:r>
      <w:r w:rsidR="006B3DF7" w:rsidRPr="00AE71C2">
        <w:rPr>
          <w:rFonts w:ascii="Times New Roman CYR" w:hAnsi="Times New Roman CYR" w:cs="Times New Roman CYR"/>
        </w:rPr>
        <w:t>»</w:t>
      </w:r>
      <w:r w:rsidR="006A29E8" w:rsidRPr="00AE71C2">
        <w:rPr>
          <w:rFonts w:ascii="Times New Roman CYR" w:hAnsi="Times New Roman CYR" w:cs="Times New Roman CYR"/>
        </w:rPr>
        <w:t>.</w:t>
      </w:r>
    </w:p>
    <w:p w14:paraId="791F4FA1" w14:textId="03E3F796" w:rsidR="004F6E81" w:rsidRPr="00AE71C2" w:rsidRDefault="004F6E81" w:rsidP="006B3DF7">
      <w:pPr>
        <w:rPr>
          <w:rFonts w:ascii="Times New Roman CYR" w:hAnsi="Times New Roman CYR" w:cs="Times New Roman CYR"/>
        </w:rPr>
      </w:pPr>
      <w:r w:rsidRPr="00AE71C2">
        <w:rPr>
          <w:rFonts w:ascii="Times New Roman CYR" w:hAnsi="Times New Roman CYR" w:cs="Times New Roman CYR"/>
        </w:rPr>
        <w:t>4</w:t>
      </w:r>
      <w:r w:rsidR="008A72BD" w:rsidRPr="00AE71C2">
        <w:rPr>
          <w:rFonts w:ascii="Times New Roman CYR" w:hAnsi="Times New Roman CYR" w:cs="Times New Roman CYR"/>
        </w:rPr>
        <w:t>3</w:t>
      </w:r>
      <w:r w:rsidRPr="00AE71C2">
        <w:rPr>
          <w:rFonts w:ascii="Times New Roman CYR" w:hAnsi="Times New Roman CYR" w:cs="Times New Roman CYR"/>
        </w:rPr>
        <w:t xml:space="preserve">. Настройка синхронизации данных из сводного реестра участников и </w:t>
      </w:r>
      <w:proofErr w:type="spellStart"/>
      <w:r w:rsidRPr="00AE71C2">
        <w:rPr>
          <w:rFonts w:ascii="Times New Roman CYR" w:hAnsi="Times New Roman CYR" w:cs="Times New Roman CYR"/>
        </w:rPr>
        <w:t>неучастников</w:t>
      </w:r>
      <w:proofErr w:type="spellEnd"/>
      <w:r w:rsidRPr="00AE71C2">
        <w:rPr>
          <w:rFonts w:ascii="Times New Roman CYR" w:hAnsi="Times New Roman CYR" w:cs="Times New Roman CYR"/>
        </w:rPr>
        <w:t xml:space="preserve"> бюджетного процесса в подсистему </w:t>
      </w:r>
      <w:r w:rsidR="006B3DF7" w:rsidRPr="00AE71C2">
        <w:rPr>
          <w:rFonts w:ascii="Times New Roman CYR" w:hAnsi="Times New Roman CYR" w:cs="Times New Roman CYR"/>
        </w:rPr>
        <w:t>«</w:t>
      </w:r>
      <w:r w:rsidRPr="00AE71C2">
        <w:rPr>
          <w:rFonts w:ascii="Times New Roman CYR" w:hAnsi="Times New Roman CYR" w:cs="Times New Roman CYR"/>
        </w:rPr>
        <w:t>Бюджетное планирование</w:t>
      </w:r>
      <w:r w:rsidR="006B3DF7" w:rsidRPr="00AE71C2">
        <w:rPr>
          <w:rFonts w:ascii="Times New Roman CYR" w:hAnsi="Times New Roman CYR" w:cs="Times New Roman CYR"/>
        </w:rPr>
        <w:t>»</w:t>
      </w:r>
      <w:r w:rsidRPr="00AE71C2">
        <w:rPr>
          <w:rFonts w:ascii="Times New Roman CYR" w:hAnsi="Times New Roman CYR" w:cs="Times New Roman CYR"/>
        </w:rPr>
        <w:t xml:space="preserve"> в государственной интегрированной информационной системы управления общественными финансами </w:t>
      </w:r>
      <w:r w:rsidR="006B3DF7" w:rsidRPr="00AE71C2">
        <w:rPr>
          <w:rFonts w:ascii="Times New Roman CYR" w:hAnsi="Times New Roman CYR" w:cs="Times New Roman CYR"/>
        </w:rPr>
        <w:t>«</w:t>
      </w:r>
      <w:r w:rsidRPr="00AE71C2">
        <w:rPr>
          <w:rFonts w:ascii="Times New Roman CYR" w:hAnsi="Times New Roman CYR" w:cs="Times New Roman CYR"/>
        </w:rPr>
        <w:t>Электронный бюджет</w:t>
      </w:r>
      <w:r w:rsidR="006B3DF7" w:rsidRPr="00AE71C2">
        <w:rPr>
          <w:rFonts w:ascii="Times New Roman CYR" w:hAnsi="Times New Roman CYR" w:cs="Times New Roman CYR"/>
        </w:rPr>
        <w:t>»</w:t>
      </w:r>
      <w:r w:rsidRPr="00AE71C2">
        <w:rPr>
          <w:rFonts w:ascii="Times New Roman CYR" w:hAnsi="Times New Roman CYR" w:cs="Times New Roman CYR"/>
        </w:rPr>
        <w:t>.</w:t>
      </w:r>
    </w:p>
    <w:p w14:paraId="63B02CCD" w14:textId="19DF1F96" w:rsidR="005540F5" w:rsidRPr="00AE71C2" w:rsidRDefault="00583E34" w:rsidP="006B3DF7">
      <w:r w:rsidRPr="00AE71C2">
        <w:rPr>
          <w:rFonts w:ascii="Times New Roman CYR" w:hAnsi="Times New Roman CYR" w:cs="Times New Roman CYR"/>
        </w:rPr>
        <w:t>4</w:t>
      </w:r>
      <w:r w:rsidR="008A72BD" w:rsidRPr="00AE71C2">
        <w:rPr>
          <w:rFonts w:ascii="Times New Roman CYR" w:hAnsi="Times New Roman CYR" w:cs="Times New Roman CYR"/>
        </w:rPr>
        <w:t>4</w:t>
      </w:r>
      <w:r w:rsidRPr="00AE71C2">
        <w:rPr>
          <w:rFonts w:ascii="Times New Roman CYR" w:hAnsi="Times New Roman CYR" w:cs="Times New Roman CYR"/>
        </w:rPr>
        <w:t>.</w:t>
      </w:r>
      <w:r w:rsidR="006B5158" w:rsidRPr="00AE71C2">
        <w:t xml:space="preserve"> С целью автоматизации процесса представления и проверки необходимых для поступления на государственную муниципальную службу сведений с 2026 г</w:t>
      </w:r>
      <w:r w:rsidR="00B20549" w:rsidRPr="00AE71C2">
        <w:t>ода</w:t>
      </w:r>
      <w:r w:rsidR="006B5158" w:rsidRPr="00AE71C2">
        <w:t xml:space="preserve"> планируется переход на заполнение новой анкеты и сообщения об изменении сведений, содержащихся в ней, исключительно в электронном виде с помощью: специального программного обеспечения </w:t>
      </w:r>
      <w:r w:rsidR="006B3DF7" w:rsidRPr="00AE71C2">
        <w:t>«</w:t>
      </w:r>
      <w:r w:rsidR="006B5158" w:rsidRPr="00AE71C2">
        <w:t>Анкета ГС (МС)</w:t>
      </w:r>
      <w:r w:rsidR="006B3DF7" w:rsidRPr="00AE71C2">
        <w:t>»</w:t>
      </w:r>
      <w:r w:rsidR="006B5158" w:rsidRPr="00AE71C2">
        <w:t xml:space="preserve">, размещенного на официальном сайте федеральной государственной информационной системы в области государственной службы в информационно– телекоммуникационной сети </w:t>
      </w:r>
      <w:r w:rsidR="006B3DF7" w:rsidRPr="00AE71C2">
        <w:t>«</w:t>
      </w:r>
      <w:r w:rsidR="006B5158" w:rsidRPr="00AE71C2">
        <w:t>Интернет</w:t>
      </w:r>
      <w:r w:rsidR="006B3DF7" w:rsidRPr="00AE71C2">
        <w:t>»</w:t>
      </w:r>
      <w:r w:rsidR="006B5158" w:rsidRPr="00AE71C2">
        <w:t>; функциональных возможностей Единой системы (личного кабинета гражданина на портале Госслужбы); информационных систем, используемых органами публичной власти в кадровой работе и адаптированных в соответствии с форматом хранения таких сведений в электронном виде.</w:t>
      </w:r>
    </w:p>
    <w:p w14:paraId="78B396A0" w14:textId="6210A5EA" w:rsidR="00E919A9" w:rsidRPr="00AE71C2" w:rsidRDefault="00583E34" w:rsidP="006B3DF7">
      <w:pPr>
        <w:widowControl/>
        <w:autoSpaceDE w:val="0"/>
        <w:autoSpaceDN w:val="0"/>
        <w:adjustRightInd w:val="0"/>
        <w:rPr>
          <w:rFonts w:eastAsiaTheme="minorHAnsi"/>
        </w:rPr>
      </w:pPr>
      <w:r w:rsidRPr="00AE71C2">
        <w:rPr>
          <w:rFonts w:eastAsiaTheme="minorHAnsi"/>
        </w:rPr>
        <w:t>4</w:t>
      </w:r>
      <w:r w:rsidR="008A72BD" w:rsidRPr="00AE71C2">
        <w:rPr>
          <w:rFonts w:eastAsiaTheme="minorHAnsi"/>
        </w:rPr>
        <w:t>5</w:t>
      </w:r>
      <w:r w:rsidR="00E919A9" w:rsidRPr="00AE71C2">
        <w:rPr>
          <w:rFonts w:eastAsiaTheme="minorHAnsi"/>
        </w:rPr>
        <w:t xml:space="preserve">. </w:t>
      </w:r>
      <w:r w:rsidR="00734F84" w:rsidRPr="00AE71C2">
        <w:rPr>
          <w:rFonts w:eastAsiaTheme="minorHAnsi"/>
        </w:rPr>
        <w:t>У</w:t>
      </w:r>
      <w:r w:rsidR="00E919A9" w:rsidRPr="00AE71C2">
        <w:rPr>
          <w:rFonts w:eastAsiaTheme="minorHAnsi"/>
        </w:rPr>
        <w:t>частие в формировании системы подбора, развития и ротации кадров в органах государственной власти и органах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14:paraId="391843A0" w14:textId="77A2CF1D" w:rsidR="00F909D5" w:rsidRPr="00AE71C2" w:rsidRDefault="00583E34" w:rsidP="006B3DF7">
      <w:pPr>
        <w:rPr>
          <w:lang w:eastAsia="ru-RU"/>
        </w:rPr>
      </w:pPr>
      <w:r w:rsidRPr="00AE71C2">
        <w:rPr>
          <w:lang w:eastAsia="ru-RU"/>
        </w:rPr>
        <w:t>4</w:t>
      </w:r>
      <w:r w:rsidR="008A72BD" w:rsidRPr="00AE71C2">
        <w:rPr>
          <w:lang w:eastAsia="ru-RU"/>
        </w:rPr>
        <w:t>6</w:t>
      </w:r>
      <w:r w:rsidR="00F909D5" w:rsidRPr="00AE71C2">
        <w:rPr>
          <w:lang w:eastAsia="ru-RU"/>
        </w:rPr>
        <w:t xml:space="preserve">.  В </w:t>
      </w:r>
      <w:r w:rsidR="008836A7" w:rsidRPr="00AE71C2">
        <w:rPr>
          <w:lang w:eastAsia="ru-RU"/>
        </w:rPr>
        <w:t>целях</w:t>
      </w:r>
      <w:r w:rsidR="002F7FB1" w:rsidRPr="00AE71C2">
        <w:rPr>
          <w:lang w:eastAsia="ru-RU"/>
        </w:rPr>
        <w:t xml:space="preserve"> </w:t>
      </w:r>
      <w:r w:rsidR="00692542" w:rsidRPr="00AE71C2">
        <w:rPr>
          <w:lang w:eastAsia="ru-RU"/>
        </w:rPr>
        <w:t xml:space="preserve">обеспечения </w:t>
      </w:r>
      <w:r w:rsidR="00F909D5" w:rsidRPr="00AE71C2">
        <w:rPr>
          <w:lang w:eastAsia="ru-RU"/>
        </w:rPr>
        <w:t>дополнительного профессионального образования и профессионально</w:t>
      </w:r>
      <w:r w:rsidR="00692542" w:rsidRPr="00AE71C2">
        <w:rPr>
          <w:lang w:eastAsia="ru-RU"/>
        </w:rPr>
        <w:t>го</w:t>
      </w:r>
      <w:r w:rsidR="00F909D5" w:rsidRPr="00AE71C2">
        <w:rPr>
          <w:lang w:eastAsia="ru-RU"/>
        </w:rPr>
        <w:t xml:space="preserve"> развити</w:t>
      </w:r>
      <w:r w:rsidR="00692542" w:rsidRPr="00AE71C2">
        <w:rPr>
          <w:lang w:eastAsia="ru-RU"/>
        </w:rPr>
        <w:t>я</w:t>
      </w:r>
      <w:r w:rsidR="00F909D5" w:rsidRPr="00AE71C2">
        <w:rPr>
          <w:lang w:eastAsia="ru-RU"/>
        </w:rPr>
        <w:t xml:space="preserve"> государственных служащих министерства </w:t>
      </w:r>
      <w:r w:rsidR="00692542" w:rsidRPr="00AE71C2">
        <w:rPr>
          <w:lang w:eastAsia="ru-RU"/>
        </w:rPr>
        <w:t xml:space="preserve">в </w:t>
      </w:r>
      <w:r w:rsidR="00506CBF">
        <w:rPr>
          <w:lang w:eastAsia="ru-RU"/>
        </w:rPr>
        <w:br/>
      </w:r>
      <w:r w:rsidR="00692542" w:rsidRPr="00AE71C2">
        <w:rPr>
          <w:lang w:eastAsia="ru-RU"/>
        </w:rPr>
        <w:t xml:space="preserve">2026 году </w:t>
      </w:r>
      <w:r w:rsidR="00F909D5" w:rsidRPr="00AE71C2">
        <w:rPr>
          <w:lang w:eastAsia="ru-RU"/>
        </w:rPr>
        <w:t>планир</w:t>
      </w:r>
      <w:r w:rsidR="00692542" w:rsidRPr="00AE71C2">
        <w:rPr>
          <w:lang w:eastAsia="ru-RU"/>
        </w:rPr>
        <w:t xml:space="preserve">уется направить на обучение в рамках государственного заказа </w:t>
      </w:r>
      <w:r w:rsidR="00506CBF">
        <w:rPr>
          <w:lang w:eastAsia="ru-RU"/>
        </w:rPr>
        <w:br/>
      </w:r>
      <w:r w:rsidR="00AE1BCB" w:rsidRPr="00AE71C2">
        <w:rPr>
          <w:lang w:eastAsia="ru-RU"/>
        </w:rPr>
        <w:t>4</w:t>
      </w:r>
      <w:r w:rsidR="00692542" w:rsidRPr="00AE71C2">
        <w:rPr>
          <w:lang w:eastAsia="ru-RU"/>
        </w:rPr>
        <w:t xml:space="preserve"> чел</w:t>
      </w:r>
      <w:r w:rsidR="00AE1BCB" w:rsidRPr="00AE71C2">
        <w:rPr>
          <w:lang w:eastAsia="ru-RU"/>
        </w:rPr>
        <w:t>овека</w:t>
      </w:r>
      <w:r w:rsidR="00692542" w:rsidRPr="00AE71C2">
        <w:rPr>
          <w:lang w:eastAsia="ru-RU"/>
        </w:rPr>
        <w:t>,</w:t>
      </w:r>
      <w:r w:rsidR="002F7FB1" w:rsidRPr="00AE71C2">
        <w:rPr>
          <w:lang w:eastAsia="ru-RU"/>
        </w:rPr>
        <w:t xml:space="preserve"> </w:t>
      </w:r>
      <w:r w:rsidR="00692542" w:rsidRPr="00AE71C2">
        <w:rPr>
          <w:lang w:eastAsia="ru-RU"/>
        </w:rPr>
        <w:t>в том числе поступивших на го</w:t>
      </w:r>
      <w:r w:rsidR="00AE1BCB" w:rsidRPr="00AE71C2">
        <w:rPr>
          <w:lang w:eastAsia="ru-RU"/>
        </w:rPr>
        <w:t xml:space="preserve">сударственную службу впервые </w:t>
      </w:r>
      <w:r w:rsidR="00506CBF">
        <w:rPr>
          <w:lang w:eastAsia="ru-RU"/>
        </w:rPr>
        <w:br/>
      </w:r>
      <w:r w:rsidR="00AE1BCB" w:rsidRPr="00AE71C2">
        <w:rPr>
          <w:lang w:eastAsia="ru-RU"/>
        </w:rPr>
        <w:t xml:space="preserve">1 </w:t>
      </w:r>
      <w:r w:rsidR="00692542" w:rsidRPr="00AE71C2">
        <w:rPr>
          <w:lang w:eastAsia="ru-RU"/>
        </w:rPr>
        <w:t>чел</w:t>
      </w:r>
      <w:r w:rsidR="00AE1BCB" w:rsidRPr="00AE71C2">
        <w:rPr>
          <w:lang w:eastAsia="ru-RU"/>
        </w:rPr>
        <w:t>овек</w:t>
      </w:r>
      <w:r w:rsidR="00692542" w:rsidRPr="00AE71C2">
        <w:rPr>
          <w:lang w:eastAsia="ru-RU"/>
        </w:rPr>
        <w:t xml:space="preserve">, с целью повышения профессионального уровня </w:t>
      </w:r>
      <w:r w:rsidR="00AE1BCB" w:rsidRPr="00AE71C2">
        <w:rPr>
          <w:lang w:eastAsia="ru-RU"/>
        </w:rPr>
        <w:t>5</w:t>
      </w:r>
      <w:r w:rsidR="00692542" w:rsidRPr="00AE71C2">
        <w:rPr>
          <w:lang w:eastAsia="ru-RU"/>
        </w:rPr>
        <w:t xml:space="preserve"> чел</w:t>
      </w:r>
      <w:r w:rsidR="00AE1BCB" w:rsidRPr="00AE71C2">
        <w:rPr>
          <w:lang w:eastAsia="ru-RU"/>
        </w:rPr>
        <w:t>овек</w:t>
      </w:r>
      <w:r w:rsidR="00692542" w:rsidRPr="00AE71C2">
        <w:rPr>
          <w:lang w:eastAsia="ru-RU"/>
        </w:rPr>
        <w:t>.</w:t>
      </w:r>
    </w:p>
    <w:sectPr w:rsidR="00F909D5" w:rsidRPr="00AE71C2" w:rsidSect="00352B5D">
      <w:type w:val="continuous"/>
      <w:pgSz w:w="11906" w:h="16838"/>
      <w:pgMar w:top="1134" w:right="707" w:bottom="1134" w:left="709" w:header="708" w:footer="708" w:gutter="0"/>
      <w:pgBorders w:offsetFrom="page">
        <w:top w:val="thickThinMediumGap" w:sz="24" w:space="24" w:color="568D11" w:themeColor="accent3" w:themeShade="80"/>
        <w:left w:val="thickThinMediumGap" w:sz="24" w:space="24" w:color="568D11" w:themeColor="accent3" w:themeShade="80"/>
        <w:bottom w:val="thickThinMediumGap" w:sz="24" w:space="24" w:color="568D11" w:themeColor="accent3" w:themeShade="80"/>
        <w:right w:val="thickThinMediumGap" w:sz="24" w:space="24" w:color="568D11"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A9B3B" w14:textId="77777777" w:rsidR="008B3339" w:rsidRDefault="008B3339">
      <w:r>
        <w:separator/>
      </w:r>
    </w:p>
  </w:endnote>
  <w:endnote w:type="continuationSeparator" w:id="0">
    <w:p w14:paraId="5F865C8D" w14:textId="77777777" w:rsidR="008B3339" w:rsidRDefault="008B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926E9" w14:textId="77777777" w:rsidR="008B3339" w:rsidRDefault="008B3339">
      <w:r>
        <w:separator/>
      </w:r>
    </w:p>
  </w:footnote>
  <w:footnote w:type="continuationSeparator" w:id="0">
    <w:p w14:paraId="1C8BDB91" w14:textId="77777777" w:rsidR="008B3339" w:rsidRDefault="008B33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172382"/>
      <w:docPartObj>
        <w:docPartGallery w:val="Page Numbers (Top of Page)"/>
        <w:docPartUnique/>
      </w:docPartObj>
    </w:sdtPr>
    <w:sdtContent>
      <w:p w14:paraId="62D96BA5" w14:textId="7E19B567" w:rsidR="008B3339" w:rsidRDefault="008B3339">
        <w:pPr>
          <w:pStyle w:val="a4"/>
          <w:jc w:val="center"/>
        </w:pPr>
        <w:r>
          <w:fldChar w:fldCharType="begin"/>
        </w:r>
        <w:r>
          <w:instrText>PAGE   \* MERGEFORMAT</w:instrText>
        </w:r>
        <w:r>
          <w:fldChar w:fldCharType="separate"/>
        </w:r>
        <w:r w:rsidR="000D27DE">
          <w:rPr>
            <w:noProof/>
          </w:rPr>
          <w:t>21</w:t>
        </w:r>
        <w:r>
          <w:fldChar w:fldCharType="end"/>
        </w:r>
      </w:p>
    </w:sdtContent>
  </w:sdt>
  <w:p w14:paraId="55C33042" w14:textId="77777777" w:rsidR="008B3339" w:rsidRDefault="008B333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6353" w14:textId="78C9CA20" w:rsidR="008B3339" w:rsidRDefault="008B3339">
    <w:pPr>
      <w:pStyle w:val="a4"/>
      <w:jc w:val="center"/>
    </w:pPr>
  </w:p>
  <w:p w14:paraId="0E257E7B" w14:textId="77777777" w:rsidR="008B3339" w:rsidRDefault="008B333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273584"/>
      <w:docPartObj>
        <w:docPartGallery w:val="Page Numbers (Top of Page)"/>
        <w:docPartUnique/>
      </w:docPartObj>
    </w:sdtPr>
    <w:sdtContent>
      <w:p w14:paraId="6E6CCC79" w14:textId="1B87E684" w:rsidR="008B3339" w:rsidRDefault="008B3339">
        <w:pPr>
          <w:pStyle w:val="a4"/>
          <w:jc w:val="center"/>
        </w:pPr>
        <w:r>
          <w:fldChar w:fldCharType="begin"/>
        </w:r>
        <w:r>
          <w:instrText>PAGE   \* MERGEFORMAT</w:instrText>
        </w:r>
        <w:r>
          <w:fldChar w:fldCharType="separate"/>
        </w:r>
        <w:r w:rsidR="000D27DE">
          <w:rPr>
            <w:noProof/>
          </w:rPr>
          <w:t>63</w:t>
        </w:r>
        <w:r>
          <w:fldChar w:fldCharType="end"/>
        </w:r>
      </w:p>
    </w:sdtContent>
  </w:sdt>
  <w:p w14:paraId="56DB3378" w14:textId="77777777" w:rsidR="008B3339" w:rsidRDefault="008B333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EFD"/>
    <w:multiLevelType w:val="hybridMultilevel"/>
    <w:tmpl w:val="64767FD4"/>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CC36DE4"/>
    <w:multiLevelType w:val="hybridMultilevel"/>
    <w:tmpl w:val="1E3C39FA"/>
    <w:lvl w:ilvl="0" w:tplc="679E86E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47473D"/>
    <w:multiLevelType w:val="hybridMultilevel"/>
    <w:tmpl w:val="AFE4526A"/>
    <w:lvl w:ilvl="0" w:tplc="13B208C4">
      <w:start w:val="1"/>
      <w:numFmt w:val="bullet"/>
      <w:pStyle w:val="1"/>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3492D43"/>
    <w:multiLevelType w:val="hybridMultilevel"/>
    <w:tmpl w:val="5CE0980C"/>
    <w:lvl w:ilvl="0" w:tplc="3C94806E">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1F17DCF"/>
    <w:multiLevelType w:val="hybridMultilevel"/>
    <w:tmpl w:val="D23867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37C31ED"/>
    <w:multiLevelType w:val="hybridMultilevel"/>
    <w:tmpl w:val="DDB64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C120AB3"/>
    <w:multiLevelType w:val="hybridMultilevel"/>
    <w:tmpl w:val="3B267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2670E28"/>
    <w:multiLevelType w:val="multilevel"/>
    <w:tmpl w:val="18D4F55A"/>
    <w:lvl w:ilvl="0">
      <w:start w:val="1"/>
      <w:numFmt w:val="decimal"/>
      <w:pStyle w:val="10"/>
      <w:lvlText w:val="%1."/>
      <w:lvlJc w:val="left"/>
      <w:pPr>
        <w:ind w:left="1284" w:hanging="432"/>
      </w:pPr>
      <w:rPr>
        <w:rFonts w:hint="default"/>
        <w:color w:val="568D11" w:themeColor="accent3" w:themeShade="80"/>
      </w:rPr>
    </w:lvl>
    <w:lvl w:ilvl="1">
      <w:start w:val="1"/>
      <w:numFmt w:val="decimal"/>
      <w:lvlRestart w:val="0"/>
      <w:pStyle w:val="2"/>
      <w:lvlText w:val="%2."/>
      <w:lvlJc w:val="left"/>
      <w:pPr>
        <w:ind w:left="-3392" w:hanging="576"/>
      </w:pPr>
      <w:rPr>
        <w:rFonts w:hint="default"/>
      </w:rPr>
    </w:lvl>
    <w:lvl w:ilvl="2">
      <w:start w:val="1"/>
      <w:numFmt w:val="decimal"/>
      <w:lvlText w:val="%2.%3"/>
      <w:lvlJc w:val="left"/>
      <w:pPr>
        <w:ind w:left="-3248" w:hanging="720"/>
      </w:pPr>
      <w:rPr>
        <w:rFonts w:hint="default"/>
      </w:rPr>
    </w:lvl>
    <w:lvl w:ilvl="3">
      <w:start w:val="1"/>
      <w:numFmt w:val="decimal"/>
      <w:lvlText w:val="%1.%2.%3.%4"/>
      <w:lvlJc w:val="left"/>
      <w:pPr>
        <w:ind w:left="-3104" w:hanging="864"/>
      </w:pPr>
      <w:rPr>
        <w:rFonts w:hint="default"/>
      </w:rPr>
    </w:lvl>
    <w:lvl w:ilvl="4">
      <w:start w:val="1"/>
      <w:numFmt w:val="decimal"/>
      <w:lvlText w:val="%1.%2.%3.%4.%5"/>
      <w:lvlJc w:val="left"/>
      <w:pPr>
        <w:ind w:left="-2960" w:hanging="1008"/>
      </w:pPr>
      <w:rPr>
        <w:rFonts w:hint="default"/>
      </w:rPr>
    </w:lvl>
    <w:lvl w:ilvl="5">
      <w:start w:val="1"/>
      <w:numFmt w:val="decimal"/>
      <w:lvlText w:val="%1.%2.%3.%4.%5.%6"/>
      <w:lvlJc w:val="left"/>
      <w:pPr>
        <w:ind w:left="-2816" w:hanging="1152"/>
      </w:pPr>
      <w:rPr>
        <w:rFonts w:hint="default"/>
      </w:rPr>
    </w:lvl>
    <w:lvl w:ilvl="6">
      <w:start w:val="1"/>
      <w:numFmt w:val="decimal"/>
      <w:lvlText w:val="%1.%2.%3.%4.%5.%6.%7"/>
      <w:lvlJc w:val="left"/>
      <w:pPr>
        <w:ind w:left="-2672" w:hanging="1296"/>
      </w:pPr>
      <w:rPr>
        <w:rFonts w:hint="default"/>
      </w:rPr>
    </w:lvl>
    <w:lvl w:ilvl="7">
      <w:start w:val="1"/>
      <w:numFmt w:val="decimal"/>
      <w:lvlText w:val="%1.%2.%3.%4.%5.%6.%7.%8"/>
      <w:lvlJc w:val="left"/>
      <w:pPr>
        <w:ind w:left="-2528" w:hanging="1440"/>
      </w:pPr>
      <w:rPr>
        <w:rFonts w:hint="default"/>
      </w:rPr>
    </w:lvl>
    <w:lvl w:ilvl="8">
      <w:start w:val="1"/>
      <w:numFmt w:val="decimal"/>
      <w:lvlText w:val="%1.%2.%3.%4.%5.%6.%7.%8.%9"/>
      <w:lvlJc w:val="left"/>
      <w:pPr>
        <w:ind w:left="-2384" w:hanging="1584"/>
      </w:pPr>
      <w:rPr>
        <w:rFonts w:hint="default"/>
      </w:rPr>
    </w:lvl>
  </w:abstractNum>
  <w:abstractNum w:abstractNumId="8" w15:restartNumberingAfterBreak="0">
    <w:nsid w:val="67365A67"/>
    <w:multiLevelType w:val="hybridMultilevel"/>
    <w:tmpl w:val="C57C97F2"/>
    <w:lvl w:ilvl="0" w:tplc="A1C0A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3853DB"/>
    <w:multiLevelType w:val="hybridMultilevel"/>
    <w:tmpl w:val="D2C6A000"/>
    <w:lvl w:ilvl="0" w:tplc="441A1332">
      <w:start w:val="1"/>
      <w:numFmt w:val="bullet"/>
      <w:lvlText w:val="•"/>
      <w:lvlJc w:val="left"/>
      <w:pPr>
        <w:tabs>
          <w:tab w:val="num" w:pos="720"/>
        </w:tabs>
        <w:ind w:left="720" w:hanging="360"/>
      </w:pPr>
      <w:rPr>
        <w:rFonts w:ascii="Times New Roman" w:hAnsi="Times New Roman" w:hint="default"/>
      </w:rPr>
    </w:lvl>
    <w:lvl w:ilvl="1" w:tplc="D270B09A" w:tentative="1">
      <w:start w:val="1"/>
      <w:numFmt w:val="bullet"/>
      <w:lvlText w:val="•"/>
      <w:lvlJc w:val="left"/>
      <w:pPr>
        <w:tabs>
          <w:tab w:val="num" w:pos="1440"/>
        </w:tabs>
        <w:ind w:left="1440" w:hanging="360"/>
      </w:pPr>
      <w:rPr>
        <w:rFonts w:ascii="Times New Roman" w:hAnsi="Times New Roman" w:hint="default"/>
      </w:rPr>
    </w:lvl>
    <w:lvl w:ilvl="2" w:tplc="774E87C6" w:tentative="1">
      <w:start w:val="1"/>
      <w:numFmt w:val="bullet"/>
      <w:lvlText w:val="•"/>
      <w:lvlJc w:val="left"/>
      <w:pPr>
        <w:tabs>
          <w:tab w:val="num" w:pos="2160"/>
        </w:tabs>
        <w:ind w:left="2160" w:hanging="360"/>
      </w:pPr>
      <w:rPr>
        <w:rFonts w:ascii="Times New Roman" w:hAnsi="Times New Roman" w:hint="default"/>
      </w:rPr>
    </w:lvl>
    <w:lvl w:ilvl="3" w:tplc="3C28454E" w:tentative="1">
      <w:start w:val="1"/>
      <w:numFmt w:val="bullet"/>
      <w:lvlText w:val="•"/>
      <w:lvlJc w:val="left"/>
      <w:pPr>
        <w:tabs>
          <w:tab w:val="num" w:pos="2880"/>
        </w:tabs>
        <w:ind w:left="2880" w:hanging="360"/>
      </w:pPr>
      <w:rPr>
        <w:rFonts w:ascii="Times New Roman" w:hAnsi="Times New Roman" w:hint="default"/>
      </w:rPr>
    </w:lvl>
    <w:lvl w:ilvl="4" w:tplc="5288966C" w:tentative="1">
      <w:start w:val="1"/>
      <w:numFmt w:val="bullet"/>
      <w:lvlText w:val="•"/>
      <w:lvlJc w:val="left"/>
      <w:pPr>
        <w:tabs>
          <w:tab w:val="num" w:pos="3600"/>
        </w:tabs>
        <w:ind w:left="3600" w:hanging="360"/>
      </w:pPr>
      <w:rPr>
        <w:rFonts w:ascii="Times New Roman" w:hAnsi="Times New Roman" w:hint="default"/>
      </w:rPr>
    </w:lvl>
    <w:lvl w:ilvl="5" w:tplc="35324074" w:tentative="1">
      <w:start w:val="1"/>
      <w:numFmt w:val="bullet"/>
      <w:lvlText w:val="•"/>
      <w:lvlJc w:val="left"/>
      <w:pPr>
        <w:tabs>
          <w:tab w:val="num" w:pos="4320"/>
        </w:tabs>
        <w:ind w:left="4320" w:hanging="360"/>
      </w:pPr>
      <w:rPr>
        <w:rFonts w:ascii="Times New Roman" w:hAnsi="Times New Roman" w:hint="default"/>
      </w:rPr>
    </w:lvl>
    <w:lvl w:ilvl="6" w:tplc="FA3085E4" w:tentative="1">
      <w:start w:val="1"/>
      <w:numFmt w:val="bullet"/>
      <w:lvlText w:val="•"/>
      <w:lvlJc w:val="left"/>
      <w:pPr>
        <w:tabs>
          <w:tab w:val="num" w:pos="5040"/>
        </w:tabs>
        <w:ind w:left="5040" w:hanging="360"/>
      </w:pPr>
      <w:rPr>
        <w:rFonts w:ascii="Times New Roman" w:hAnsi="Times New Roman" w:hint="default"/>
      </w:rPr>
    </w:lvl>
    <w:lvl w:ilvl="7" w:tplc="E74A8F12" w:tentative="1">
      <w:start w:val="1"/>
      <w:numFmt w:val="bullet"/>
      <w:lvlText w:val="•"/>
      <w:lvlJc w:val="left"/>
      <w:pPr>
        <w:tabs>
          <w:tab w:val="num" w:pos="5760"/>
        </w:tabs>
        <w:ind w:left="5760" w:hanging="360"/>
      </w:pPr>
      <w:rPr>
        <w:rFonts w:ascii="Times New Roman" w:hAnsi="Times New Roman" w:hint="default"/>
      </w:rPr>
    </w:lvl>
    <w:lvl w:ilvl="8" w:tplc="3078D45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9D25AF6"/>
    <w:multiLevelType w:val="multilevel"/>
    <w:tmpl w:val="B71E7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98244D"/>
    <w:multiLevelType w:val="hybridMultilevel"/>
    <w:tmpl w:val="4D32D7D8"/>
    <w:lvl w:ilvl="0" w:tplc="18640D5E">
      <w:start w:val="1"/>
      <w:numFmt w:val="bullet"/>
      <w:pStyle w:val="a"/>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6F9D37A3"/>
    <w:multiLevelType w:val="hybridMultilevel"/>
    <w:tmpl w:val="F53A5282"/>
    <w:lvl w:ilvl="0" w:tplc="679E86E4">
      <w:start w:val="1"/>
      <w:numFmt w:val="bullet"/>
      <w:lvlText w:val="•"/>
      <w:lvlJc w:val="left"/>
      <w:pPr>
        <w:tabs>
          <w:tab w:val="num" w:pos="720"/>
        </w:tabs>
        <w:ind w:left="720" w:hanging="360"/>
      </w:pPr>
      <w:rPr>
        <w:rFonts w:ascii="Times New Roman" w:hAnsi="Times New Roman" w:hint="default"/>
      </w:rPr>
    </w:lvl>
    <w:lvl w:ilvl="1" w:tplc="723CEC1E" w:tentative="1">
      <w:start w:val="1"/>
      <w:numFmt w:val="bullet"/>
      <w:lvlText w:val="•"/>
      <w:lvlJc w:val="left"/>
      <w:pPr>
        <w:tabs>
          <w:tab w:val="num" w:pos="1440"/>
        </w:tabs>
        <w:ind w:left="1440" w:hanging="360"/>
      </w:pPr>
      <w:rPr>
        <w:rFonts w:ascii="Times New Roman" w:hAnsi="Times New Roman" w:hint="default"/>
      </w:rPr>
    </w:lvl>
    <w:lvl w:ilvl="2" w:tplc="F576602A" w:tentative="1">
      <w:start w:val="1"/>
      <w:numFmt w:val="bullet"/>
      <w:lvlText w:val="•"/>
      <w:lvlJc w:val="left"/>
      <w:pPr>
        <w:tabs>
          <w:tab w:val="num" w:pos="2160"/>
        </w:tabs>
        <w:ind w:left="2160" w:hanging="360"/>
      </w:pPr>
      <w:rPr>
        <w:rFonts w:ascii="Times New Roman" w:hAnsi="Times New Roman" w:hint="default"/>
      </w:rPr>
    </w:lvl>
    <w:lvl w:ilvl="3" w:tplc="C9F8C290" w:tentative="1">
      <w:start w:val="1"/>
      <w:numFmt w:val="bullet"/>
      <w:lvlText w:val="•"/>
      <w:lvlJc w:val="left"/>
      <w:pPr>
        <w:tabs>
          <w:tab w:val="num" w:pos="2880"/>
        </w:tabs>
        <w:ind w:left="2880" w:hanging="360"/>
      </w:pPr>
      <w:rPr>
        <w:rFonts w:ascii="Times New Roman" w:hAnsi="Times New Roman" w:hint="default"/>
      </w:rPr>
    </w:lvl>
    <w:lvl w:ilvl="4" w:tplc="9F540842" w:tentative="1">
      <w:start w:val="1"/>
      <w:numFmt w:val="bullet"/>
      <w:lvlText w:val="•"/>
      <w:lvlJc w:val="left"/>
      <w:pPr>
        <w:tabs>
          <w:tab w:val="num" w:pos="3600"/>
        </w:tabs>
        <w:ind w:left="3600" w:hanging="360"/>
      </w:pPr>
      <w:rPr>
        <w:rFonts w:ascii="Times New Roman" w:hAnsi="Times New Roman" w:hint="default"/>
      </w:rPr>
    </w:lvl>
    <w:lvl w:ilvl="5" w:tplc="4E220112" w:tentative="1">
      <w:start w:val="1"/>
      <w:numFmt w:val="bullet"/>
      <w:lvlText w:val="•"/>
      <w:lvlJc w:val="left"/>
      <w:pPr>
        <w:tabs>
          <w:tab w:val="num" w:pos="4320"/>
        </w:tabs>
        <w:ind w:left="4320" w:hanging="360"/>
      </w:pPr>
      <w:rPr>
        <w:rFonts w:ascii="Times New Roman" w:hAnsi="Times New Roman" w:hint="default"/>
      </w:rPr>
    </w:lvl>
    <w:lvl w:ilvl="6" w:tplc="5622AE62" w:tentative="1">
      <w:start w:val="1"/>
      <w:numFmt w:val="bullet"/>
      <w:lvlText w:val="•"/>
      <w:lvlJc w:val="left"/>
      <w:pPr>
        <w:tabs>
          <w:tab w:val="num" w:pos="5040"/>
        </w:tabs>
        <w:ind w:left="5040" w:hanging="360"/>
      </w:pPr>
      <w:rPr>
        <w:rFonts w:ascii="Times New Roman" w:hAnsi="Times New Roman" w:hint="default"/>
      </w:rPr>
    </w:lvl>
    <w:lvl w:ilvl="7" w:tplc="7D64EEDC" w:tentative="1">
      <w:start w:val="1"/>
      <w:numFmt w:val="bullet"/>
      <w:lvlText w:val="•"/>
      <w:lvlJc w:val="left"/>
      <w:pPr>
        <w:tabs>
          <w:tab w:val="num" w:pos="5760"/>
        </w:tabs>
        <w:ind w:left="5760" w:hanging="360"/>
      </w:pPr>
      <w:rPr>
        <w:rFonts w:ascii="Times New Roman" w:hAnsi="Times New Roman" w:hint="default"/>
      </w:rPr>
    </w:lvl>
    <w:lvl w:ilvl="8" w:tplc="ED2648E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55C1356"/>
    <w:multiLevelType w:val="hybridMultilevel"/>
    <w:tmpl w:val="20082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7"/>
  </w:num>
  <w:num w:numId="5">
    <w:abstractNumId w:val="11"/>
  </w:num>
  <w:num w:numId="6">
    <w:abstractNumId w:val="2"/>
  </w:num>
  <w:num w:numId="7">
    <w:abstractNumId w:val="2"/>
  </w:num>
  <w:num w:numId="8">
    <w:abstractNumId w:val="13"/>
  </w:num>
  <w:num w:numId="9">
    <w:abstractNumId w:val="0"/>
  </w:num>
  <w:num w:numId="10">
    <w:abstractNumId w:val="9"/>
  </w:num>
  <w:num w:numId="11">
    <w:abstractNumId w:val="12"/>
  </w:num>
  <w:num w:numId="12">
    <w:abstractNumId w:val="11"/>
  </w:num>
  <w:num w:numId="13">
    <w:abstractNumId w:val="8"/>
  </w:num>
  <w:num w:numId="14">
    <w:abstractNumId w:val="11"/>
  </w:num>
  <w:num w:numId="15">
    <w:abstractNumId w:val="5"/>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11"/>
  </w:num>
  <w:num w:numId="31">
    <w:abstractNumId w:val="10"/>
  </w:num>
  <w:num w:numId="32">
    <w:abstractNumId w:val="11"/>
  </w:num>
  <w:num w:numId="33">
    <w:abstractNumId w:val="11"/>
  </w:num>
  <w:num w:numId="34">
    <w:abstractNumId w:val="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819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61"/>
    <w:rsid w:val="000024E6"/>
    <w:rsid w:val="000036E5"/>
    <w:rsid w:val="00003B69"/>
    <w:rsid w:val="000061E8"/>
    <w:rsid w:val="00007F93"/>
    <w:rsid w:val="00010F8F"/>
    <w:rsid w:val="00011253"/>
    <w:rsid w:val="00011717"/>
    <w:rsid w:val="000118A0"/>
    <w:rsid w:val="00013565"/>
    <w:rsid w:val="00013BDE"/>
    <w:rsid w:val="00014125"/>
    <w:rsid w:val="0001480D"/>
    <w:rsid w:val="00015E28"/>
    <w:rsid w:val="00016750"/>
    <w:rsid w:val="00016E54"/>
    <w:rsid w:val="00021A4D"/>
    <w:rsid w:val="00021AD6"/>
    <w:rsid w:val="0002307F"/>
    <w:rsid w:val="000252C1"/>
    <w:rsid w:val="0002532A"/>
    <w:rsid w:val="00030385"/>
    <w:rsid w:val="00030F2D"/>
    <w:rsid w:val="00032019"/>
    <w:rsid w:val="00034CD9"/>
    <w:rsid w:val="000352D0"/>
    <w:rsid w:val="0003664C"/>
    <w:rsid w:val="00036662"/>
    <w:rsid w:val="0003797D"/>
    <w:rsid w:val="0004000B"/>
    <w:rsid w:val="000405CC"/>
    <w:rsid w:val="000409D4"/>
    <w:rsid w:val="00040E96"/>
    <w:rsid w:val="00041A85"/>
    <w:rsid w:val="00044858"/>
    <w:rsid w:val="00047BAD"/>
    <w:rsid w:val="00055C84"/>
    <w:rsid w:val="00055DF8"/>
    <w:rsid w:val="000602B5"/>
    <w:rsid w:val="000603C4"/>
    <w:rsid w:val="0006050A"/>
    <w:rsid w:val="00062F19"/>
    <w:rsid w:val="00063D6C"/>
    <w:rsid w:val="00064E4F"/>
    <w:rsid w:val="00064EF0"/>
    <w:rsid w:val="000652E7"/>
    <w:rsid w:val="00067A58"/>
    <w:rsid w:val="000703AC"/>
    <w:rsid w:val="00070DE1"/>
    <w:rsid w:val="000734D9"/>
    <w:rsid w:val="000755B0"/>
    <w:rsid w:val="00075E2D"/>
    <w:rsid w:val="000766D9"/>
    <w:rsid w:val="00076B0E"/>
    <w:rsid w:val="00077F8D"/>
    <w:rsid w:val="0008072D"/>
    <w:rsid w:val="000817C2"/>
    <w:rsid w:val="0008218C"/>
    <w:rsid w:val="00082D2D"/>
    <w:rsid w:val="00084D6E"/>
    <w:rsid w:val="0008799B"/>
    <w:rsid w:val="00087D52"/>
    <w:rsid w:val="00090CEC"/>
    <w:rsid w:val="00093297"/>
    <w:rsid w:val="00094215"/>
    <w:rsid w:val="00096ED8"/>
    <w:rsid w:val="0009721B"/>
    <w:rsid w:val="000A1F44"/>
    <w:rsid w:val="000A2162"/>
    <w:rsid w:val="000A5338"/>
    <w:rsid w:val="000A5415"/>
    <w:rsid w:val="000A7B9D"/>
    <w:rsid w:val="000B0406"/>
    <w:rsid w:val="000B0844"/>
    <w:rsid w:val="000B0C16"/>
    <w:rsid w:val="000B3732"/>
    <w:rsid w:val="000B3EF2"/>
    <w:rsid w:val="000B4D71"/>
    <w:rsid w:val="000B6ED4"/>
    <w:rsid w:val="000C03D2"/>
    <w:rsid w:val="000C0DCC"/>
    <w:rsid w:val="000C1C7B"/>
    <w:rsid w:val="000C2C42"/>
    <w:rsid w:val="000C70FC"/>
    <w:rsid w:val="000C726A"/>
    <w:rsid w:val="000C770D"/>
    <w:rsid w:val="000D00DD"/>
    <w:rsid w:val="000D1BFE"/>
    <w:rsid w:val="000D2467"/>
    <w:rsid w:val="000D27DE"/>
    <w:rsid w:val="000D2C7B"/>
    <w:rsid w:val="000D5D02"/>
    <w:rsid w:val="000D6F25"/>
    <w:rsid w:val="000D7822"/>
    <w:rsid w:val="000D7D68"/>
    <w:rsid w:val="000E0705"/>
    <w:rsid w:val="000E1A87"/>
    <w:rsid w:val="000E1B8C"/>
    <w:rsid w:val="000E38E3"/>
    <w:rsid w:val="000E3F31"/>
    <w:rsid w:val="000E43AF"/>
    <w:rsid w:val="000E7FB8"/>
    <w:rsid w:val="000F1834"/>
    <w:rsid w:val="000F19CE"/>
    <w:rsid w:val="000F1DB0"/>
    <w:rsid w:val="000F3548"/>
    <w:rsid w:val="000F3760"/>
    <w:rsid w:val="000F438D"/>
    <w:rsid w:val="000F5201"/>
    <w:rsid w:val="000F6980"/>
    <w:rsid w:val="000F72A7"/>
    <w:rsid w:val="000F72B3"/>
    <w:rsid w:val="000F7D97"/>
    <w:rsid w:val="000F7EBE"/>
    <w:rsid w:val="0010003D"/>
    <w:rsid w:val="00100A1E"/>
    <w:rsid w:val="00103E7C"/>
    <w:rsid w:val="00105602"/>
    <w:rsid w:val="00105AB1"/>
    <w:rsid w:val="00105C4A"/>
    <w:rsid w:val="00105C97"/>
    <w:rsid w:val="0010667A"/>
    <w:rsid w:val="001076A9"/>
    <w:rsid w:val="00107A4E"/>
    <w:rsid w:val="00107F0F"/>
    <w:rsid w:val="00111AA1"/>
    <w:rsid w:val="00111CE8"/>
    <w:rsid w:val="00113BFA"/>
    <w:rsid w:val="00114549"/>
    <w:rsid w:val="00114FA2"/>
    <w:rsid w:val="00115041"/>
    <w:rsid w:val="00116DCB"/>
    <w:rsid w:val="0012006B"/>
    <w:rsid w:val="001209FE"/>
    <w:rsid w:val="001246E0"/>
    <w:rsid w:val="001269EC"/>
    <w:rsid w:val="00126A2A"/>
    <w:rsid w:val="00127A77"/>
    <w:rsid w:val="001313F5"/>
    <w:rsid w:val="0013140B"/>
    <w:rsid w:val="001327A7"/>
    <w:rsid w:val="00133195"/>
    <w:rsid w:val="001332E9"/>
    <w:rsid w:val="00133486"/>
    <w:rsid w:val="00133E0F"/>
    <w:rsid w:val="00134C4E"/>
    <w:rsid w:val="00135B3F"/>
    <w:rsid w:val="00140050"/>
    <w:rsid w:val="00142900"/>
    <w:rsid w:val="0014310B"/>
    <w:rsid w:val="001433DE"/>
    <w:rsid w:val="00143E70"/>
    <w:rsid w:val="00144A85"/>
    <w:rsid w:val="00144BCF"/>
    <w:rsid w:val="00145ECE"/>
    <w:rsid w:val="00146CC5"/>
    <w:rsid w:val="00150757"/>
    <w:rsid w:val="0015079A"/>
    <w:rsid w:val="00151E91"/>
    <w:rsid w:val="00152983"/>
    <w:rsid w:val="00154379"/>
    <w:rsid w:val="00154DC4"/>
    <w:rsid w:val="00156021"/>
    <w:rsid w:val="00156084"/>
    <w:rsid w:val="00156881"/>
    <w:rsid w:val="00157218"/>
    <w:rsid w:val="001621EF"/>
    <w:rsid w:val="00162A16"/>
    <w:rsid w:val="00163BF0"/>
    <w:rsid w:val="001646F1"/>
    <w:rsid w:val="001662C3"/>
    <w:rsid w:val="00167B91"/>
    <w:rsid w:val="001700F2"/>
    <w:rsid w:val="00172432"/>
    <w:rsid w:val="00172986"/>
    <w:rsid w:val="00174822"/>
    <w:rsid w:val="00174A39"/>
    <w:rsid w:val="001758BB"/>
    <w:rsid w:val="00181C7F"/>
    <w:rsid w:val="001829C1"/>
    <w:rsid w:val="001836C3"/>
    <w:rsid w:val="001851BE"/>
    <w:rsid w:val="00191FD9"/>
    <w:rsid w:val="001923FE"/>
    <w:rsid w:val="00194BC0"/>
    <w:rsid w:val="00195317"/>
    <w:rsid w:val="00195E61"/>
    <w:rsid w:val="001979D0"/>
    <w:rsid w:val="001A4B12"/>
    <w:rsid w:val="001A560D"/>
    <w:rsid w:val="001A56F8"/>
    <w:rsid w:val="001A5D67"/>
    <w:rsid w:val="001A7139"/>
    <w:rsid w:val="001B0886"/>
    <w:rsid w:val="001B1534"/>
    <w:rsid w:val="001B1CDB"/>
    <w:rsid w:val="001B2BA1"/>
    <w:rsid w:val="001B49AF"/>
    <w:rsid w:val="001B68C0"/>
    <w:rsid w:val="001B69A7"/>
    <w:rsid w:val="001B73D6"/>
    <w:rsid w:val="001B7B52"/>
    <w:rsid w:val="001C25E0"/>
    <w:rsid w:val="001C472A"/>
    <w:rsid w:val="001C6791"/>
    <w:rsid w:val="001C68BF"/>
    <w:rsid w:val="001C75A5"/>
    <w:rsid w:val="001D2580"/>
    <w:rsid w:val="001D28E5"/>
    <w:rsid w:val="001D2950"/>
    <w:rsid w:val="001D3EA8"/>
    <w:rsid w:val="001D41BF"/>
    <w:rsid w:val="001D5813"/>
    <w:rsid w:val="001D6D53"/>
    <w:rsid w:val="001D7C0B"/>
    <w:rsid w:val="001E062E"/>
    <w:rsid w:val="001E2242"/>
    <w:rsid w:val="001E2EB3"/>
    <w:rsid w:val="001E40F3"/>
    <w:rsid w:val="001E4A7B"/>
    <w:rsid w:val="001E6150"/>
    <w:rsid w:val="001F14BB"/>
    <w:rsid w:val="001F1BE9"/>
    <w:rsid w:val="001F1DD2"/>
    <w:rsid w:val="001F51D4"/>
    <w:rsid w:val="001F5C29"/>
    <w:rsid w:val="001F7923"/>
    <w:rsid w:val="00200178"/>
    <w:rsid w:val="00200204"/>
    <w:rsid w:val="0020074C"/>
    <w:rsid w:val="002008A2"/>
    <w:rsid w:val="00201379"/>
    <w:rsid w:val="00201E00"/>
    <w:rsid w:val="00201EF8"/>
    <w:rsid w:val="002032B4"/>
    <w:rsid w:val="00203429"/>
    <w:rsid w:val="002064F9"/>
    <w:rsid w:val="00210D3B"/>
    <w:rsid w:val="002114AB"/>
    <w:rsid w:val="002119DE"/>
    <w:rsid w:val="002134BF"/>
    <w:rsid w:val="00214508"/>
    <w:rsid w:val="00214752"/>
    <w:rsid w:val="00214A8F"/>
    <w:rsid w:val="00214E51"/>
    <w:rsid w:val="00216892"/>
    <w:rsid w:val="00216D72"/>
    <w:rsid w:val="0022093A"/>
    <w:rsid w:val="00221640"/>
    <w:rsid w:val="002225FA"/>
    <w:rsid w:val="0022270D"/>
    <w:rsid w:val="002252F1"/>
    <w:rsid w:val="00227775"/>
    <w:rsid w:val="00230924"/>
    <w:rsid w:val="0023125A"/>
    <w:rsid w:val="00232561"/>
    <w:rsid w:val="002344F5"/>
    <w:rsid w:val="00235783"/>
    <w:rsid w:val="00235924"/>
    <w:rsid w:val="00235E90"/>
    <w:rsid w:val="002363D5"/>
    <w:rsid w:val="002371F3"/>
    <w:rsid w:val="00237A48"/>
    <w:rsid w:val="00241148"/>
    <w:rsid w:val="0024139C"/>
    <w:rsid w:val="00241606"/>
    <w:rsid w:val="002433B4"/>
    <w:rsid w:val="002436ED"/>
    <w:rsid w:val="00244952"/>
    <w:rsid w:val="00246ADC"/>
    <w:rsid w:val="00246F87"/>
    <w:rsid w:val="00252587"/>
    <w:rsid w:val="00252BEE"/>
    <w:rsid w:val="002566E0"/>
    <w:rsid w:val="0026055D"/>
    <w:rsid w:val="00260DDB"/>
    <w:rsid w:val="0026167E"/>
    <w:rsid w:val="002649A8"/>
    <w:rsid w:val="002649FC"/>
    <w:rsid w:val="00270616"/>
    <w:rsid w:val="00270890"/>
    <w:rsid w:val="002711B6"/>
    <w:rsid w:val="00271A01"/>
    <w:rsid w:val="002724E6"/>
    <w:rsid w:val="00272DF6"/>
    <w:rsid w:val="00274422"/>
    <w:rsid w:val="0027553F"/>
    <w:rsid w:val="00281A72"/>
    <w:rsid w:val="00283AA7"/>
    <w:rsid w:val="00286BD6"/>
    <w:rsid w:val="00291D21"/>
    <w:rsid w:val="002922CE"/>
    <w:rsid w:val="002927DB"/>
    <w:rsid w:val="00292C48"/>
    <w:rsid w:val="00294442"/>
    <w:rsid w:val="0029445F"/>
    <w:rsid w:val="00295C4D"/>
    <w:rsid w:val="0029748A"/>
    <w:rsid w:val="002A20EC"/>
    <w:rsid w:val="002A2289"/>
    <w:rsid w:val="002A2AA5"/>
    <w:rsid w:val="002A709E"/>
    <w:rsid w:val="002A71D5"/>
    <w:rsid w:val="002A725A"/>
    <w:rsid w:val="002B01B7"/>
    <w:rsid w:val="002B3ABD"/>
    <w:rsid w:val="002B3ABF"/>
    <w:rsid w:val="002B449F"/>
    <w:rsid w:val="002B4B98"/>
    <w:rsid w:val="002B5BB5"/>
    <w:rsid w:val="002B77FE"/>
    <w:rsid w:val="002C0947"/>
    <w:rsid w:val="002C1D47"/>
    <w:rsid w:val="002C24EA"/>
    <w:rsid w:val="002C30EB"/>
    <w:rsid w:val="002C5489"/>
    <w:rsid w:val="002C54CC"/>
    <w:rsid w:val="002C65EB"/>
    <w:rsid w:val="002C664E"/>
    <w:rsid w:val="002D1A9E"/>
    <w:rsid w:val="002D3C28"/>
    <w:rsid w:val="002D576D"/>
    <w:rsid w:val="002D6041"/>
    <w:rsid w:val="002D72B4"/>
    <w:rsid w:val="002D7DB3"/>
    <w:rsid w:val="002E0D37"/>
    <w:rsid w:val="002E2883"/>
    <w:rsid w:val="002E3AA7"/>
    <w:rsid w:val="002E4211"/>
    <w:rsid w:val="002E4CF1"/>
    <w:rsid w:val="002E58C6"/>
    <w:rsid w:val="002E6A75"/>
    <w:rsid w:val="002F00C2"/>
    <w:rsid w:val="002F0CD8"/>
    <w:rsid w:val="002F2B74"/>
    <w:rsid w:val="002F4887"/>
    <w:rsid w:val="002F6426"/>
    <w:rsid w:val="002F769C"/>
    <w:rsid w:val="002F7FB1"/>
    <w:rsid w:val="00300294"/>
    <w:rsid w:val="0030193C"/>
    <w:rsid w:val="00301C07"/>
    <w:rsid w:val="00302DFE"/>
    <w:rsid w:val="00303362"/>
    <w:rsid w:val="003069E7"/>
    <w:rsid w:val="00306F93"/>
    <w:rsid w:val="00307372"/>
    <w:rsid w:val="00307DF7"/>
    <w:rsid w:val="00310142"/>
    <w:rsid w:val="003109FF"/>
    <w:rsid w:val="0031144A"/>
    <w:rsid w:val="003120DC"/>
    <w:rsid w:val="00312865"/>
    <w:rsid w:val="00312D50"/>
    <w:rsid w:val="00315313"/>
    <w:rsid w:val="00315A57"/>
    <w:rsid w:val="00315A7D"/>
    <w:rsid w:val="003160D0"/>
    <w:rsid w:val="00316127"/>
    <w:rsid w:val="00316216"/>
    <w:rsid w:val="00317822"/>
    <w:rsid w:val="00322AEB"/>
    <w:rsid w:val="00323EBA"/>
    <w:rsid w:val="00325EE1"/>
    <w:rsid w:val="003261B0"/>
    <w:rsid w:val="00326D6E"/>
    <w:rsid w:val="003270E8"/>
    <w:rsid w:val="003271A8"/>
    <w:rsid w:val="00327D0F"/>
    <w:rsid w:val="003310AC"/>
    <w:rsid w:val="003314AD"/>
    <w:rsid w:val="0033161C"/>
    <w:rsid w:val="00333C74"/>
    <w:rsid w:val="0033602F"/>
    <w:rsid w:val="00336714"/>
    <w:rsid w:val="003400BF"/>
    <w:rsid w:val="00340ECF"/>
    <w:rsid w:val="00342013"/>
    <w:rsid w:val="00342389"/>
    <w:rsid w:val="0034248E"/>
    <w:rsid w:val="00342AB3"/>
    <w:rsid w:val="0034315A"/>
    <w:rsid w:val="00344769"/>
    <w:rsid w:val="003450AF"/>
    <w:rsid w:val="00350057"/>
    <w:rsid w:val="00352B5D"/>
    <w:rsid w:val="003548E6"/>
    <w:rsid w:val="00354FA9"/>
    <w:rsid w:val="00356162"/>
    <w:rsid w:val="00360493"/>
    <w:rsid w:val="00365991"/>
    <w:rsid w:val="00365BD2"/>
    <w:rsid w:val="00366ABF"/>
    <w:rsid w:val="00370B39"/>
    <w:rsid w:val="003715B1"/>
    <w:rsid w:val="00371C1E"/>
    <w:rsid w:val="0037264D"/>
    <w:rsid w:val="00373717"/>
    <w:rsid w:val="00374A42"/>
    <w:rsid w:val="00374ED4"/>
    <w:rsid w:val="00376128"/>
    <w:rsid w:val="00377325"/>
    <w:rsid w:val="00380B5A"/>
    <w:rsid w:val="00381B3F"/>
    <w:rsid w:val="003837A7"/>
    <w:rsid w:val="00383A9E"/>
    <w:rsid w:val="00384885"/>
    <w:rsid w:val="003854A4"/>
    <w:rsid w:val="00385F9A"/>
    <w:rsid w:val="003867CE"/>
    <w:rsid w:val="00386ED6"/>
    <w:rsid w:val="00386FDE"/>
    <w:rsid w:val="00387BC4"/>
    <w:rsid w:val="0039088E"/>
    <w:rsid w:val="00392482"/>
    <w:rsid w:val="00392D60"/>
    <w:rsid w:val="00393A46"/>
    <w:rsid w:val="0039575E"/>
    <w:rsid w:val="0039587E"/>
    <w:rsid w:val="00395FC1"/>
    <w:rsid w:val="00397C74"/>
    <w:rsid w:val="003A0F61"/>
    <w:rsid w:val="003A30EA"/>
    <w:rsid w:val="003A5D74"/>
    <w:rsid w:val="003A6F72"/>
    <w:rsid w:val="003A78A2"/>
    <w:rsid w:val="003B0D19"/>
    <w:rsid w:val="003B1881"/>
    <w:rsid w:val="003B2097"/>
    <w:rsid w:val="003B3138"/>
    <w:rsid w:val="003B4C11"/>
    <w:rsid w:val="003B5D8D"/>
    <w:rsid w:val="003B6A76"/>
    <w:rsid w:val="003B6F5E"/>
    <w:rsid w:val="003B7752"/>
    <w:rsid w:val="003B7FC1"/>
    <w:rsid w:val="003C4EA0"/>
    <w:rsid w:val="003C556D"/>
    <w:rsid w:val="003C5CD9"/>
    <w:rsid w:val="003C62FD"/>
    <w:rsid w:val="003D034B"/>
    <w:rsid w:val="003D0604"/>
    <w:rsid w:val="003D2257"/>
    <w:rsid w:val="003D33F7"/>
    <w:rsid w:val="003D3B16"/>
    <w:rsid w:val="003D4698"/>
    <w:rsid w:val="003D7BE4"/>
    <w:rsid w:val="003E0D11"/>
    <w:rsid w:val="003E2D6A"/>
    <w:rsid w:val="003E5EF4"/>
    <w:rsid w:val="003F1141"/>
    <w:rsid w:val="003F1193"/>
    <w:rsid w:val="003F360A"/>
    <w:rsid w:val="003F3CFB"/>
    <w:rsid w:val="003F54B6"/>
    <w:rsid w:val="003F61C3"/>
    <w:rsid w:val="003F6F40"/>
    <w:rsid w:val="003F6F78"/>
    <w:rsid w:val="003F79D7"/>
    <w:rsid w:val="00400665"/>
    <w:rsid w:val="00402F39"/>
    <w:rsid w:val="00403272"/>
    <w:rsid w:val="00403DE5"/>
    <w:rsid w:val="00403EB7"/>
    <w:rsid w:val="0040590A"/>
    <w:rsid w:val="00406520"/>
    <w:rsid w:val="00410FD3"/>
    <w:rsid w:val="00412A97"/>
    <w:rsid w:val="00415B14"/>
    <w:rsid w:val="00416BDC"/>
    <w:rsid w:val="00421B32"/>
    <w:rsid w:val="00421C7F"/>
    <w:rsid w:val="00422103"/>
    <w:rsid w:val="0042290C"/>
    <w:rsid w:val="00423699"/>
    <w:rsid w:val="00426210"/>
    <w:rsid w:val="00426726"/>
    <w:rsid w:val="00426BBD"/>
    <w:rsid w:val="00431180"/>
    <w:rsid w:val="00431D2F"/>
    <w:rsid w:val="00432755"/>
    <w:rsid w:val="00432CF5"/>
    <w:rsid w:val="004346C1"/>
    <w:rsid w:val="00435FDC"/>
    <w:rsid w:val="0043606F"/>
    <w:rsid w:val="004372CA"/>
    <w:rsid w:val="004415A0"/>
    <w:rsid w:val="00443364"/>
    <w:rsid w:val="00445CC7"/>
    <w:rsid w:val="00446A84"/>
    <w:rsid w:val="00446DF2"/>
    <w:rsid w:val="004473E9"/>
    <w:rsid w:val="00447BE5"/>
    <w:rsid w:val="00447C9F"/>
    <w:rsid w:val="00450132"/>
    <w:rsid w:val="00451C31"/>
    <w:rsid w:val="004533C4"/>
    <w:rsid w:val="00454A9D"/>
    <w:rsid w:val="004550AD"/>
    <w:rsid w:val="00456709"/>
    <w:rsid w:val="0045677B"/>
    <w:rsid w:val="00456AA6"/>
    <w:rsid w:val="00456B2A"/>
    <w:rsid w:val="00456F67"/>
    <w:rsid w:val="0045726E"/>
    <w:rsid w:val="004572F8"/>
    <w:rsid w:val="00465EE0"/>
    <w:rsid w:val="00465F94"/>
    <w:rsid w:val="00466B8C"/>
    <w:rsid w:val="00467671"/>
    <w:rsid w:val="00470DEF"/>
    <w:rsid w:val="004718CF"/>
    <w:rsid w:val="00472E50"/>
    <w:rsid w:val="0047372C"/>
    <w:rsid w:val="004749EE"/>
    <w:rsid w:val="00475B06"/>
    <w:rsid w:val="00475FC0"/>
    <w:rsid w:val="004761B3"/>
    <w:rsid w:val="00480521"/>
    <w:rsid w:val="00483C19"/>
    <w:rsid w:val="00486EC1"/>
    <w:rsid w:val="00493184"/>
    <w:rsid w:val="00495B66"/>
    <w:rsid w:val="004967BD"/>
    <w:rsid w:val="004A37E2"/>
    <w:rsid w:val="004A3D2A"/>
    <w:rsid w:val="004A5495"/>
    <w:rsid w:val="004A62DA"/>
    <w:rsid w:val="004A6B74"/>
    <w:rsid w:val="004A7347"/>
    <w:rsid w:val="004B0879"/>
    <w:rsid w:val="004B13FE"/>
    <w:rsid w:val="004B5082"/>
    <w:rsid w:val="004B5886"/>
    <w:rsid w:val="004C0A24"/>
    <w:rsid w:val="004C1333"/>
    <w:rsid w:val="004C3600"/>
    <w:rsid w:val="004C3927"/>
    <w:rsid w:val="004C49D3"/>
    <w:rsid w:val="004C4B16"/>
    <w:rsid w:val="004C5918"/>
    <w:rsid w:val="004C5AF2"/>
    <w:rsid w:val="004C72C8"/>
    <w:rsid w:val="004C7541"/>
    <w:rsid w:val="004C7CD6"/>
    <w:rsid w:val="004D08F4"/>
    <w:rsid w:val="004D4377"/>
    <w:rsid w:val="004D4CC4"/>
    <w:rsid w:val="004D59AE"/>
    <w:rsid w:val="004D6A62"/>
    <w:rsid w:val="004E05E9"/>
    <w:rsid w:val="004E1553"/>
    <w:rsid w:val="004E1E5D"/>
    <w:rsid w:val="004E228F"/>
    <w:rsid w:val="004E2D2B"/>
    <w:rsid w:val="004E3D1B"/>
    <w:rsid w:val="004E6CF2"/>
    <w:rsid w:val="004E7696"/>
    <w:rsid w:val="004E772B"/>
    <w:rsid w:val="004F0760"/>
    <w:rsid w:val="004F0B44"/>
    <w:rsid w:val="004F1AAC"/>
    <w:rsid w:val="004F2163"/>
    <w:rsid w:val="004F58D2"/>
    <w:rsid w:val="004F62F7"/>
    <w:rsid w:val="004F65CE"/>
    <w:rsid w:val="004F67CE"/>
    <w:rsid w:val="004F6E81"/>
    <w:rsid w:val="004F75DC"/>
    <w:rsid w:val="0050063D"/>
    <w:rsid w:val="00500769"/>
    <w:rsid w:val="005017CB"/>
    <w:rsid w:val="005018B7"/>
    <w:rsid w:val="0050220F"/>
    <w:rsid w:val="005022B4"/>
    <w:rsid w:val="00503766"/>
    <w:rsid w:val="0050397C"/>
    <w:rsid w:val="005043B2"/>
    <w:rsid w:val="005050C3"/>
    <w:rsid w:val="00506CBF"/>
    <w:rsid w:val="00507556"/>
    <w:rsid w:val="005103FE"/>
    <w:rsid w:val="00510708"/>
    <w:rsid w:val="005126AE"/>
    <w:rsid w:val="0051447E"/>
    <w:rsid w:val="0051479F"/>
    <w:rsid w:val="00514A1D"/>
    <w:rsid w:val="00515643"/>
    <w:rsid w:val="005163B9"/>
    <w:rsid w:val="005171F3"/>
    <w:rsid w:val="00520BB2"/>
    <w:rsid w:val="00521D36"/>
    <w:rsid w:val="0052263B"/>
    <w:rsid w:val="00522C27"/>
    <w:rsid w:val="0052335B"/>
    <w:rsid w:val="0052511A"/>
    <w:rsid w:val="005259DC"/>
    <w:rsid w:val="00525B52"/>
    <w:rsid w:val="00525C64"/>
    <w:rsid w:val="0052712F"/>
    <w:rsid w:val="00533A71"/>
    <w:rsid w:val="00534004"/>
    <w:rsid w:val="005358EB"/>
    <w:rsid w:val="00535C6C"/>
    <w:rsid w:val="00540F64"/>
    <w:rsid w:val="00542B65"/>
    <w:rsid w:val="005430AE"/>
    <w:rsid w:val="005438DF"/>
    <w:rsid w:val="00544A9D"/>
    <w:rsid w:val="0054583A"/>
    <w:rsid w:val="005458CA"/>
    <w:rsid w:val="00545990"/>
    <w:rsid w:val="0054625F"/>
    <w:rsid w:val="005476CB"/>
    <w:rsid w:val="00547D71"/>
    <w:rsid w:val="00550DA2"/>
    <w:rsid w:val="005524F6"/>
    <w:rsid w:val="005540F5"/>
    <w:rsid w:val="005555AD"/>
    <w:rsid w:val="00556164"/>
    <w:rsid w:val="00556A52"/>
    <w:rsid w:val="00557276"/>
    <w:rsid w:val="005616CC"/>
    <w:rsid w:val="00561BF5"/>
    <w:rsid w:val="0056225B"/>
    <w:rsid w:val="0056229D"/>
    <w:rsid w:val="00564292"/>
    <w:rsid w:val="00564ECB"/>
    <w:rsid w:val="00566BD5"/>
    <w:rsid w:val="00572CF7"/>
    <w:rsid w:val="0057344D"/>
    <w:rsid w:val="00573C97"/>
    <w:rsid w:val="00576335"/>
    <w:rsid w:val="00580F5F"/>
    <w:rsid w:val="00583E34"/>
    <w:rsid w:val="0058453A"/>
    <w:rsid w:val="00585092"/>
    <w:rsid w:val="005877A6"/>
    <w:rsid w:val="00587AA1"/>
    <w:rsid w:val="00587B66"/>
    <w:rsid w:val="00590FC4"/>
    <w:rsid w:val="00594742"/>
    <w:rsid w:val="00594959"/>
    <w:rsid w:val="00594ED2"/>
    <w:rsid w:val="00594FA4"/>
    <w:rsid w:val="00597721"/>
    <w:rsid w:val="005A01A7"/>
    <w:rsid w:val="005A01BF"/>
    <w:rsid w:val="005A10B7"/>
    <w:rsid w:val="005A29EB"/>
    <w:rsid w:val="005A3BFA"/>
    <w:rsid w:val="005A3E1D"/>
    <w:rsid w:val="005A3FCE"/>
    <w:rsid w:val="005A4001"/>
    <w:rsid w:val="005A633C"/>
    <w:rsid w:val="005B0829"/>
    <w:rsid w:val="005B121F"/>
    <w:rsid w:val="005B1771"/>
    <w:rsid w:val="005B1E83"/>
    <w:rsid w:val="005B204D"/>
    <w:rsid w:val="005B226F"/>
    <w:rsid w:val="005B2BE1"/>
    <w:rsid w:val="005B66DF"/>
    <w:rsid w:val="005B6B26"/>
    <w:rsid w:val="005C17C9"/>
    <w:rsid w:val="005C27A8"/>
    <w:rsid w:val="005C3E07"/>
    <w:rsid w:val="005C4ED5"/>
    <w:rsid w:val="005C7397"/>
    <w:rsid w:val="005D00C6"/>
    <w:rsid w:val="005D159C"/>
    <w:rsid w:val="005D2B42"/>
    <w:rsid w:val="005D4A64"/>
    <w:rsid w:val="005D5513"/>
    <w:rsid w:val="005D6088"/>
    <w:rsid w:val="005E01B1"/>
    <w:rsid w:val="005E11DB"/>
    <w:rsid w:val="005E1E95"/>
    <w:rsid w:val="005E2D2E"/>
    <w:rsid w:val="005E3C9B"/>
    <w:rsid w:val="005E4079"/>
    <w:rsid w:val="005E5622"/>
    <w:rsid w:val="005E66BA"/>
    <w:rsid w:val="005E6A03"/>
    <w:rsid w:val="005F02E3"/>
    <w:rsid w:val="005F082D"/>
    <w:rsid w:val="005F0B91"/>
    <w:rsid w:val="005F1CD3"/>
    <w:rsid w:val="005F3104"/>
    <w:rsid w:val="005F39C7"/>
    <w:rsid w:val="005F5619"/>
    <w:rsid w:val="005F66BB"/>
    <w:rsid w:val="00601DE9"/>
    <w:rsid w:val="00602FC9"/>
    <w:rsid w:val="00603C18"/>
    <w:rsid w:val="00604587"/>
    <w:rsid w:val="00604F31"/>
    <w:rsid w:val="006055E5"/>
    <w:rsid w:val="00605D25"/>
    <w:rsid w:val="00606498"/>
    <w:rsid w:val="006066E5"/>
    <w:rsid w:val="00606E72"/>
    <w:rsid w:val="0061119C"/>
    <w:rsid w:val="006111F6"/>
    <w:rsid w:val="00611587"/>
    <w:rsid w:val="006117F6"/>
    <w:rsid w:val="006119F5"/>
    <w:rsid w:val="00611D59"/>
    <w:rsid w:val="006122C9"/>
    <w:rsid w:val="00613F47"/>
    <w:rsid w:val="00613F9A"/>
    <w:rsid w:val="00616B7E"/>
    <w:rsid w:val="00616FCC"/>
    <w:rsid w:val="00617228"/>
    <w:rsid w:val="00617305"/>
    <w:rsid w:val="00617CC7"/>
    <w:rsid w:val="00621FB5"/>
    <w:rsid w:val="00623F23"/>
    <w:rsid w:val="00625A7C"/>
    <w:rsid w:val="00627FC7"/>
    <w:rsid w:val="006315C7"/>
    <w:rsid w:val="00631AA2"/>
    <w:rsid w:val="00631ECB"/>
    <w:rsid w:val="006321D5"/>
    <w:rsid w:val="00634F1B"/>
    <w:rsid w:val="006357BA"/>
    <w:rsid w:val="006404CC"/>
    <w:rsid w:val="00642A89"/>
    <w:rsid w:val="006440A5"/>
    <w:rsid w:val="006457C7"/>
    <w:rsid w:val="00645E0D"/>
    <w:rsid w:val="00651D69"/>
    <w:rsid w:val="006534E9"/>
    <w:rsid w:val="0065503E"/>
    <w:rsid w:val="00655059"/>
    <w:rsid w:val="0065510E"/>
    <w:rsid w:val="006554B8"/>
    <w:rsid w:val="00656872"/>
    <w:rsid w:val="00656EEB"/>
    <w:rsid w:val="00657C0C"/>
    <w:rsid w:val="006620B4"/>
    <w:rsid w:val="0066296F"/>
    <w:rsid w:val="00662D90"/>
    <w:rsid w:val="00663017"/>
    <w:rsid w:val="00664438"/>
    <w:rsid w:val="00665125"/>
    <w:rsid w:val="0066515D"/>
    <w:rsid w:val="00665FF8"/>
    <w:rsid w:val="006669FE"/>
    <w:rsid w:val="00666B83"/>
    <w:rsid w:val="00670F0F"/>
    <w:rsid w:val="00671154"/>
    <w:rsid w:val="0067315C"/>
    <w:rsid w:val="0067388E"/>
    <w:rsid w:val="00673F51"/>
    <w:rsid w:val="00674934"/>
    <w:rsid w:val="00676189"/>
    <w:rsid w:val="00676763"/>
    <w:rsid w:val="0068365E"/>
    <w:rsid w:val="00683969"/>
    <w:rsid w:val="006842E2"/>
    <w:rsid w:val="00686AE2"/>
    <w:rsid w:val="00687402"/>
    <w:rsid w:val="00692542"/>
    <w:rsid w:val="006933E4"/>
    <w:rsid w:val="006949CF"/>
    <w:rsid w:val="00695DF0"/>
    <w:rsid w:val="00696197"/>
    <w:rsid w:val="00696C58"/>
    <w:rsid w:val="006A0C4C"/>
    <w:rsid w:val="006A1370"/>
    <w:rsid w:val="006A241A"/>
    <w:rsid w:val="006A29E8"/>
    <w:rsid w:val="006A4604"/>
    <w:rsid w:val="006B0826"/>
    <w:rsid w:val="006B0A80"/>
    <w:rsid w:val="006B0CB1"/>
    <w:rsid w:val="006B187A"/>
    <w:rsid w:val="006B3DF7"/>
    <w:rsid w:val="006B50B1"/>
    <w:rsid w:val="006B5158"/>
    <w:rsid w:val="006B59AF"/>
    <w:rsid w:val="006B6C69"/>
    <w:rsid w:val="006C4B50"/>
    <w:rsid w:val="006C4BFC"/>
    <w:rsid w:val="006C56AE"/>
    <w:rsid w:val="006C7407"/>
    <w:rsid w:val="006D072C"/>
    <w:rsid w:val="006D0A4E"/>
    <w:rsid w:val="006D10B6"/>
    <w:rsid w:val="006D25F9"/>
    <w:rsid w:val="006D2D6E"/>
    <w:rsid w:val="006D31B1"/>
    <w:rsid w:val="006D38A1"/>
    <w:rsid w:val="006D3D5A"/>
    <w:rsid w:val="006D3F19"/>
    <w:rsid w:val="006D5682"/>
    <w:rsid w:val="006D5AE5"/>
    <w:rsid w:val="006D5EE0"/>
    <w:rsid w:val="006D6FC6"/>
    <w:rsid w:val="006E042B"/>
    <w:rsid w:val="006E113B"/>
    <w:rsid w:val="006E3F8C"/>
    <w:rsid w:val="006E410C"/>
    <w:rsid w:val="006E4BDF"/>
    <w:rsid w:val="006E4E7C"/>
    <w:rsid w:val="006E4FE3"/>
    <w:rsid w:val="006E5CF1"/>
    <w:rsid w:val="006E631B"/>
    <w:rsid w:val="006E6413"/>
    <w:rsid w:val="006F1914"/>
    <w:rsid w:val="006F197F"/>
    <w:rsid w:val="006F3AED"/>
    <w:rsid w:val="006F556F"/>
    <w:rsid w:val="006F5FEF"/>
    <w:rsid w:val="006F76C9"/>
    <w:rsid w:val="00701D6B"/>
    <w:rsid w:val="00703EBE"/>
    <w:rsid w:val="00705CBC"/>
    <w:rsid w:val="00705EF6"/>
    <w:rsid w:val="00706082"/>
    <w:rsid w:val="007074CC"/>
    <w:rsid w:val="007078FA"/>
    <w:rsid w:val="00707A62"/>
    <w:rsid w:val="007111DF"/>
    <w:rsid w:val="00711E7A"/>
    <w:rsid w:val="00712A1F"/>
    <w:rsid w:val="0071549A"/>
    <w:rsid w:val="00715E21"/>
    <w:rsid w:val="007161F2"/>
    <w:rsid w:val="007162BE"/>
    <w:rsid w:val="0071631A"/>
    <w:rsid w:val="00717083"/>
    <w:rsid w:val="007212E0"/>
    <w:rsid w:val="007212FB"/>
    <w:rsid w:val="0072320B"/>
    <w:rsid w:val="00723344"/>
    <w:rsid w:val="007240FD"/>
    <w:rsid w:val="00725A75"/>
    <w:rsid w:val="00726F5B"/>
    <w:rsid w:val="00726F80"/>
    <w:rsid w:val="00732011"/>
    <w:rsid w:val="00732BEC"/>
    <w:rsid w:val="00734A49"/>
    <w:rsid w:val="00734C65"/>
    <w:rsid w:val="00734F84"/>
    <w:rsid w:val="007377A2"/>
    <w:rsid w:val="00741FEE"/>
    <w:rsid w:val="00743088"/>
    <w:rsid w:val="00744B37"/>
    <w:rsid w:val="00746380"/>
    <w:rsid w:val="00746FF7"/>
    <w:rsid w:val="007472CC"/>
    <w:rsid w:val="00747361"/>
    <w:rsid w:val="00747CA3"/>
    <w:rsid w:val="00747DF5"/>
    <w:rsid w:val="00750091"/>
    <w:rsid w:val="00750118"/>
    <w:rsid w:val="0075089A"/>
    <w:rsid w:val="00752F95"/>
    <w:rsid w:val="00753386"/>
    <w:rsid w:val="00754B1D"/>
    <w:rsid w:val="00755222"/>
    <w:rsid w:val="00755988"/>
    <w:rsid w:val="00756B2F"/>
    <w:rsid w:val="007571C2"/>
    <w:rsid w:val="0075795F"/>
    <w:rsid w:val="00757B64"/>
    <w:rsid w:val="007609AB"/>
    <w:rsid w:val="00761021"/>
    <w:rsid w:val="00761261"/>
    <w:rsid w:val="00765023"/>
    <w:rsid w:val="00767F21"/>
    <w:rsid w:val="007718C8"/>
    <w:rsid w:val="0077318E"/>
    <w:rsid w:val="00773DAC"/>
    <w:rsid w:val="0077474D"/>
    <w:rsid w:val="00774860"/>
    <w:rsid w:val="0077688C"/>
    <w:rsid w:val="007779DE"/>
    <w:rsid w:val="00784FEF"/>
    <w:rsid w:val="007854F3"/>
    <w:rsid w:val="00786ECC"/>
    <w:rsid w:val="0078706D"/>
    <w:rsid w:val="00790A72"/>
    <w:rsid w:val="00791E69"/>
    <w:rsid w:val="007930AF"/>
    <w:rsid w:val="00793168"/>
    <w:rsid w:val="00793CE7"/>
    <w:rsid w:val="007945AA"/>
    <w:rsid w:val="00795B40"/>
    <w:rsid w:val="007A0467"/>
    <w:rsid w:val="007A0573"/>
    <w:rsid w:val="007A1C32"/>
    <w:rsid w:val="007A1F8E"/>
    <w:rsid w:val="007A2CD5"/>
    <w:rsid w:val="007A50ED"/>
    <w:rsid w:val="007A66B6"/>
    <w:rsid w:val="007A6A83"/>
    <w:rsid w:val="007B06D9"/>
    <w:rsid w:val="007B0ED5"/>
    <w:rsid w:val="007B134C"/>
    <w:rsid w:val="007B16D1"/>
    <w:rsid w:val="007B2B35"/>
    <w:rsid w:val="007B32BB"/>
    <w:rsid w:val="007B333E"/>
    <w:rsid w:val="007B4A23"/>
    <w:rsid w:val="007B5380"/>
    <w:rsid w:val="007B6763"/>
    <w:rsid w:val="007B679C"/>
    <w:rsid w:val="007B68CF"/>
    <w:rsid w:val="007C034D"/>
    <w:rsid w:val="007C2473"/>
    <w:rsid w:val="007C32C3"/>
    <w:rsid w:val="007C331C"/>
    <w:rsid w:val="007C4014"/>
    <w:rsid w:val="007C627F"/>
    <w:rsid w:val="007C62F8"/>
    <w:rsid w:val="007C6E51"/>
    <w:rsid w:val="007D01ED"/>
    <w:rsid w:val="007D104C"/>
    <w:rsid w:val="007D3CD3"/>
    <w:rsid w:val="007E1089"/>
    <w:rsid w:val="007E1AE4"/>
    <w:rsid w:val="007E1D68"/>
    <w:rsid w:val="007E2C2A"/>
    <w:rsid w:val="007E3743"/>
    <w:rsid w:val="007E4D2F"/>
    <w:rsid w:val="007E4DC4"/>
    <w:rsid w:val="007E660C"/>
    <w:rsid w:val="007F1E42"/>
    <w:rsid w:val="007F1F06"/>
    <w:rsid w:val="007F2A28"/>
    <w:rsid w:val="007F306F"/>
    <w:rsid w:val="007F34FD"/>
    <w:rsid w:val="007F47EE"/>
    <w:rsid w:val="007F56B8"/>
    <w:rsid w:val="007F56E4"/>
    <w:rsid w:val="007F6CB8"/>
    <w:rsid w:val="007F6E65"/>
    <w:rsid w:val="007F6F64"/>
    <w:rsid w:val="007F7B52"/>
    <w:rsid w:val="008015A2"/>
    <w:rsid w:val="0080206D"/>
    <w:rsid w:val="008025CF"/>
    <w:rsid w:val="008027C9"/>
    <w:rsid w:val="008030C0"/>
    <w:rsid w:val="0080394C"/>
    <w:rsid w:val="008042A0"/>
    <w:rsid w:val="00806403"/>
    <w:rsid w:val="00806624"/>
    <w:rsid w:val="00807E41"/>
    <w:rsid w:val="008101BD"/>
    <w:rsid w:val="008105CB"/>
    <w:rsid w:val="00812A46"/>
    <w:rsid w:val="0081516C"/>
    <w:rsid w:val="0081539F"/>
    <w:rsid w:val="00815EF8"/>
    <w:rsid w:val="00816B5A"/>
    <w:rsid w:val="00817BF2"/>
    <w:rsid w:val="00821BF8"/>
    <w:rsid w:val="00823EFB"/>
    <w:rsid w:val="0082617E"/>
    <w:rsid w:val="008264A0"/>
    <w:rsid w:val="00826EF6"/>
    <w:rsid w:val="008276EF"/>
    <w:rsid w:val="008313C4"/>
    <w:rsid w:val="0083351F"/>
    <w:rsid w:val="0083430B"/>
    <w:rsid w:val="00834C70"/>
    <w:rsid w:val="008368DE"/>
    <w:rsid w:val="0084072B"/>
    <w:rsid w:val="00840C6F"/>
    <w:rsid w:val="00840FA6"/>
    <w:rsid w:val="00841B76"/>
    <w:rsid w:val="00844F0A"/>
    <w:rsid w:val="00846F0E"/>
    <w:rsid w:val="00847980"/>
    <w:rsid w:val="0085036B"/>
    <w:rsid w:val="00855A5A"/>
    <w:rsid w:val="00856646"/>
    <w:rsid w:val="00860D45"/>
    <w:rsid w:val="00862636"/>
    <w:rsid w:val="00862E99"/>
    <w:rsid w:val="0086490D"/>
    <w:rsid w:val="008652CA"/>
    <w:rsid w:val="00865805"/>
    <w:rsid w:val="00870204"/>
    <w:rsid w:val="008715D3"/>
    <w:rsid w:val="008729C0"/>
    <w:rsid w:val="00873B0E"/>
    <w:rsid w:val="008748A1"/>
    <w:rsid w:val="00874FDD"/>
    <w:rsid w:val="008750B3"/>
    <w:rsid w:val="0087588F"/>
    <w:rsid w:val="00875DE4"/>
    <w:rsid w:val="008800E0"/>
    <w:rsid w:val="008815A7"/>
    <w:rsid w:val="00881D86"/>
    <w:rsid w:val="00882B62"/>
    <w:rsid w:val="008836A7"/>
    <w:rsid w:val="00885F27"/>
    <w:rsid w:val="008860FC"/>
    <w:rsid w:val="00886F03"/>
    <w:rsid w:val="00890D36"/>
    <w:rsid w:val="0089113C"/>
    <w:rsid w:val="00892826"/>
    <w:rsid w:val="00893750"/>
    <w:rsid w:val="00894602"/>
    <w:rsid w:val="00894620"/>
    <w:rsid w:val="00894B42"/>
    <w:rsid w:val="00895693"/>
    <w:rsid w:val="008A3C33"/>
    <w:rsid w:val="008A44F3"/>
    <w:rsid w:val="008A685E"/>
    <w:rsid w:val="008A6C7B"/>
    <w:rsid w:val="008A72BD"/>
    <w:rsid w:val="008A7AF9"/>
    <w:rsid w:val="008B0068"/>
    <w:rsid w:val="008B0508"/>
    <w:rsid w:val="008B0C90"/>
    <w:rsid w:val="008B2EFA"/>
    <w:rsid w:val="008B3339"/>
    <w:rsid w:val="008B4869"/>
    <w:rsid w:val="008B4A04"/>
    <w:rsid w:val="008B52DD"/>
    <w:rsid w:val="008B5AE0"/>
    <w:rsid w:val="008B5AFC"/>
    <w:rsid w:val="008B72CB"/>
    <w:rsid w:val="008B7505"/>
    <w:rsid w:val="008C0B91"/>
    <w:rsid w:val="008C3D56"/>
    <w:rsid w:val="008C6718"/>
    <w:rsid w:val="008C751C"/>
    <w:rsid w:val="008D06E3"/>
    <w:rsid w:val="008D0B19"/>
    <w:rsid w:val="008D108B"/>
    <w:rsid w:val="008D1244"/>
    <w:rsid w:val="008D3586"/>
    <w:rsid w:val="008D689C"/>
    <w:rsid w:val="008D7E9A"/>
    <w:rsid w:val="008E2333"/>
    <w:rsid w:val="008E25D9"/>
    <w:rsid w:val="008E2961"/>
    <w:rsid w:val="008E319F"/>
    <w:rsid w:val="008E44D8"/>
    <w:rsid w:val="008E68AB"/>
    <w:rsid w:val="008E782A"/>
    <w:rsid w:val="008F0B93"/>
    <w:rsid w:val="008F1568"/>
    <w:rsid w:val="008F4D79"/>
    <w:rsid w:val="008F565E"/>
    <w:rsid w:val="008F5AEA"/>
    <w:rsid w:val="008F5DE8"/>
    <w:rsid w:val="008F6EA3"/>
    <w:rsid w:val="008F7442"/>
    <w:rsid w:val="008F7898"/>
    <w:rsid w:val="009007F9"/>
    <w:rsid w:val="00901158"/>
    <w:rsid w:val="00902F56"/>
    <w:rsid w:val="00903180"/>
    <w:rsid w:val="009054AC"/>
    <w:rsid w:val="0090591A"/>
    <w:rsid w:val="00906390"/>
    <w:rsid w:val="00910929"/>
    <w:rsid w:val="009113F2"/>
    <w:rsid w:val="00912183"/>
    <w:rsid w:val="00912D8C"/>
    <w:rsid w:val="00912EEE"/>
    <w:rsid w:val="00914B95"/>
    <w:rsid w:val="00916939"/>
    <w:rsid w:val="00922F70"/>
    <w:rsid w:val="00923A8C"/>
    <w:rsid w:val="009242B2"/>
    <w:rsid w:val="00927083"/>
    <w:rsid w:val="009279B7"/>
    <w:rsid w:val="00930BC0"/>
    <w:rsid w:val="00931D7B"/>
    <w:rsid w:val="00932D33"/>
    <w:rsid w:val="00933AD4"/>
    <w:rsid w:val="009355B3"/>
    <w:rsid w:val="00935907"/>
    <w:rsid w:val="009376BD"/>
    <w:rsid w:val="009377CF"/>
    <w:rsid w:val="00940E56"/>
    <w:rsid w:val="00940EE4"/>
    <w:rsid w:val="00941006"/>
    <w:rsid w:val="0094227E"/>
    <w:rsid w:val="0094292E"/>
    <w:rsid w:val="009438EF"/>
    <w:rsid w:val="00944F5F"/>
    <w:rsid w:val="00945144"/>
    <w:rsid w:val="00946570"/>
    <w:rsid w:val="00946BD4"/>
    <w:rsid w:val="00950A44"/>
    <w:rsid w:val="00950FA1"/>
    <w:rsid w:val="00951247"/>
    <w:rsid w:val="009527F0"/>
    <w:rsid w:val="00952BA8"/>
    <w:rsid w:val="00954DAD"/>
    <w:rsid w:val="00954F59"/>
    <w:rsid w:val="00955AD4"/>
    <w:rsid w:val="00957C56"/>
    <w:rsid w:val="00957E2A"/>
    <w:rsid w:val="00961557"/>
    <w:rsid w:val="00961F66"/>
    <w:rsid w:val="009635C3"/>
    <w:rsid w:val="00963A76"/>
    <w:rsid w:val="009643DA"/>
    <w:rsid w:val="00965378"/>
    <w:rsid w:val="00965519"/>
    <w:rsid w:val="00965E3A"/>
    <w:rsid w:val="009702F7"/>
    <w:rsid w:val="009707B1"/>
    <w:rsid w:val="009709AE"/>
    <w:rsid w:val="009709C3"/>
    <w:rsid w:val="00971CFB"/>
    <w:rsid w:val="00974177"/>
    <w:rsid w:val="009744D4"/>
    <w:rsid w:val="00980BE8"/>
    <w:rsid w:val="00983745"/>
    <w:rsid w:val="00983C57"/>
    <w:rsid w:val="00983F2E"/>
    <w:rsid w:val="00983F7D"/>
    <w:rsid w:val="00984BA9"/>
    <w:rsid w:val="00984BB3"/>
    <w:rsid w:val="00986274"/>
    <w:rsid w:val="00987159"/>
    <w:rsid w:val="0099149E"/>
    <w:rsid w:val="00991B5B"/>
    <w:rsid w:val="009922FC"/>
    <w:rsid w:val="009933E0"/>
    <w:rsid w:val="00994E61"/>
    <w:rsid w:val="00994FE7"/>
    <w:rsid w:val="009951A3"/>
    <w:rsid w:val="009968E8"/>
    <w:rsid w:val="00996A7C"/>
    <w:rsid w:val="00997693"/>
    <w:rsid w:val="0099789F"/>
    <w:rsid w:val="00997CA7"/>
    <w:rsid w:val="00997F56"/>
    <w:rsid w:val="009A26BC"/>
    <w:rsid w:val="009A3C64"/>
    <w:rsid w:val="009A56C1"/>
    <w:rsid w:val="009B0E97"/>
    <w:rsid w:val="009B1A69"/>
    <w:rsid w:val="009B2788"/>
    <w:rsid w:val="009B299D"/>
    <w:rsid w:val="009B3196"/>
    <w:rsid w:val="009B3DF4"/>
    <w:rsid w:val="009B4E24"/>
    <w:rsid w:val="009C0ADA"/>
    <w:rsid w:val="009C3FC8"/>
    <w:rsid w:val="009C425D"/>
    <w:rsid w:val="009C5055"/>
    <w:rsid w:val="009C6B8E"/>
    <w:rsid w:val="009C6DD2"/>
    <w:rsid w:val="009C73E9"/>
    <w:rsid w:val="009C74A5"/>
    <w:rsid w:val="009C7631"/>
    <w:rsid w:val="009D0E66"/>
    <w:rsid w:val="009D3036"/>
    <w:rsid w:val="009D331D"/>
    <w:rsid w:val="009D6332"/>
    <w:rsid w:val="009D6422"/>
    <w:rsid w:val="009D65BF"/>
    <w:rsid w:val="009D6A20"/>
    <w:rsid w:val="009D6C25"/>
    <w:rsid w:val="009E0AB8"/>
    <w:rsid w:val="009E13A4"/>
    <w:rsid w:val="009E2B83"/>
    <w:rsid w:val="009E3056"/>
    <w:rsid w:val="009E583B"/>
    <w:rsid w:val="009E6222"/>
    <w:rsid w:val="009E6C8F"/>
    <w:rsid w:val="009E6EAE"/>
    <w:rsid w:val="009E7035"/>
    <w:rsid w:val="009E70C6"/>
    <w:rsid w:val="009F184F"/>
    <w:rsid w:val="009F2265"/>
    <w:rsid w:val="009F3E30"/>
    <w:rsid w:val="009F45BF"/>
    <w:rsid w:val="009F4F19"/>
    <w:rsid w:val="009F554C"/>
    <w:rsid w:val="009F78EE"/>
    <w:rsid w:val="00A00169"/>
    <w:rsid w:val="00A0055B"/>
    <w:rsid w:val="00A02F01"/>
    <w:rsid w:val="00A03E34"/>
    <w:rsid w:val="00A04645"/>
    <w:rsid w:val="00A048FA"/>
    <w:rsid w:val="00A06AFC"/>
    <w:rsid w:val="00A07993"/>
    <w:rsid w:val="00A1047C"/>
    <w:rsid w:val="00A12FFA"/>
    <w:rsid w:val="00A1338A"/>
    <w:rsid w:val="00A1430D"/>
    <w:rsid w:val="00A14B86"/>
    <w:rsid w:val="00A15158"/>
    <w:rsid w:val="00A2245F"/>
    <w:rsid w:val="00A22BAD"/>
    <w:rsid w:val="00A23C5D"/>
    <w:rsid w:val="00A24332"/>
    <w:rsid w:val="00A25021"/>
    <w:rsid w:val="00A27F29"/>
    <w:rsid w:val="00A30A30"/>
    <w:rsid w:val="00A31729"/>
    <w:rsid w:val="00A32071"/>
    <w:rsid w:val="00A35B91"/>
    <w:rsid w:val="00A35CE5"/>
    <w:rsid w:val="00A36921"/>
    <w:rsid w:val="00A379DF"/>
    <w:rsid w:val="00A43F70"/>
    <w:rsid w:val="00A444AD"/>
    <w:rsid w:val="00A452AA"/>
    <w:rsid w:val="00A46795"/>
    <w:rsid w:val="00A46D27"/>
    <w:rsid w:val="00A522A5"/>
    <w:rsid w:val="00A52728"/>
    <w:rsid w:val="00A546A8"/>
    <w:rsid w:val="00A54A55"/>
    <w:rsid w:val="00A54C1B"/>
    <w:rsid w:val="00A54F4E"/>
    <w:rsid w:val="00A6373F"/>
    <w:rsid w:val="00A63BD2"/>
    <w:rsid w:val="00A64D92"/>
    <w:rsid w:val="00A662D2"/>
    <w:rsid w:val="00A66E3D"/>
    <w:rsid w:val="00A7058C"/>
    <w:rsid w:val="00A723DD"/>
    <w:rsid w:val="00A73495"/>
    <w:rsid w:val="00A74BF9"/>
    <w:rsid w:val="00A755AD"/>
    <w:rsid w:val="00A7563B"/>
    <w:rsid w:val="00A77BA1"/>
    <w:rsid w:val="00A81EAE"/>
    <w:rsid w:val="00A82C6D"/>
    <w:rsid w:val="00A8608F"/>
    <w:rsid w:val="00A861AE"/>
    <w:rsid w:val="00A87635"/>
    <w:rsid w:val="00A900FC"/>
    <w:rsid w:val="00A90622"/>
    <w:rsid w:val="00A92C4C"/>
    <w:rsid w:val="00A93DF2"/>
    <w:rsid w:val="00A94788"/>
    <w:rsid w:val="00A94C78"/>
    <w:rsid w:val="00A95CD5"/>
    <w:rsid w:val="00A971F2"/>
    <w:rsid w:val="00A97698"/>
    <w:rsid w:val="00AA0DE8"/>
    <w:rsid w:val="00AA1359"/>
    <w:rsid w:val="00AA1B9F"/>
    <w:rsid w:val="00AA2FAC"/>
    <w:rsid w:val="00AA41DA"/>
    <w:rsid w:val="00AA47BC"/>
    <w:rsid w:val="00AB37A9"/>
    <w:rsid w:val="00AB3C14"/>
    <w:rsid w:val="00AB4391"/>
    <w:rsid w:val="00AB5CB6"/>
    <w:rsid w:val="00AB65CF"/>
    <w:rsid w:val="00AB79CA"/>
    <w:rsid w:val="00AC06FC"/>
    <w:rsid w:val="00AC075D"/>
    <w:rsid w:val="00AC1A19"/>
    <w:rsid w:val="00AC1D87"/>
    <w:rsid w:val="00AC33BE"/>
    <w:rsid w:val="00AC3800"/>
    <w:rsid w:val="00AC4FD9"/>
    <w:rsid w:val="00AC54E2"/>
    <w:rsid w:val="00AC5F51"/>
    <w:rsid w:val="00AC627F"/>
    <w:rsid w:val="00AC78F2"/>
    <w:rsid w:val="00AC7CC2"/>
    <w:rsid w:val="00AD23E1"/>
    <w:rsid w:val="00AD4EB0"/>
    <w:rsid w:val="00AD65F3"/>
    <w:rsid w:val="00AD7D00"/>
    <w:rsid w:val="00AD7FC2"/>
    <w:rsid w:val="00AE1B17"/>
    <w:rsid w:val="00AE1BCB"/>
    <w:rsid w:val="00AE1D94"/>
    <w:rsid w:val="00AE2D72"/>
    <w:rsid w:val="00AE2DB7"/>
    <w:rsid w:val="00AE43B3"/>
    <w:rsid w:val="00AE4E53"/>
    <w:rsid w:val="00AE56CB"/>
    <w:rsid w:val="00AE71C2"/>
    <w:rsid w:val="00AF0925"/>
    <w:rsid w:val="00AF15CE"/>
    <w:rsid w:val="00AF22A1"/>
    <w:rsid w:val="00AF3022"/>
    <w:rsid w:val="00AF3130"/>
    <w:rsid w:val="00AF3400"/>
    <w:rsid w:val="00AF3AA4"/>
    <w:rsid w:val="00AF524E"/>
    <w:rsid w:val="00AF6AF0"/>
    <w:rsid w:val="00B00B57"/>
    <w:rsid w:val="00B029F5"/>
    <w:rsid w:val="00B03C62"/>
    <w:rsid w:val="00B04D25"/>
    <w:rsid w:val="00B05CD0"/>
    <w:rsid w:val="00B05E5D"/>
    <w:rsid w:val="00B104A6"/>
    <w:rsid w:val="00B1176E"/>
    <w:rsid w:val="00B11DB7"/>
    <w:rsid w:val="00B126C5"/>
    <w:rsid w:val="00B12D6C"/>
    <w:rsid w:val="00B12F63"/>
    <w:rsid w:val="00B13A04"/>
    <w:rsid w:val="00B148E2"/>
    <w:rsid w:val="00B16032"/>
    <w:rsid w:val="00B16B06"/>
    <w:rsid w:val="00B16FC5"/>
    <w:rsid w:val="00B17745"/>
    <w:rsid w:val="00B2021D"/>
    <w:rsid w:val="00B20549"/>
    <w:rsid w:val="00B209F8"/>
    <w:rsid w:val="00B21573"/>
    <w:rsid w:val="00B21FF9"/>
    <w:rsid w:val="00B224C3"/>
    <w:rsid w:val="00B23EBE"/>
    <w:rsid w:val="00B267F5"/>
    <w:rsid w:val="00B31270"/>
    <w:rsid w:val="00B32A1F"/>
    <w:rsid w:val="00B33D75"/>
    <w:rsid w:val="00B33DFC"/>
    <w:rsid w:val="00B34F5F"/>
    <w:rsid w:val="00B35468"/>
    <w:rsid w:val="00B35CCF"/>
    <w:rsid w:val="00B41008"/>
    <w:rsid w:val="00B44689"/>
    <w:rsid w:val="00B44865"/>
    <w:rsid w:val="00B449FF"/>
    <w:rsid w:val="00B4638C"/>
    <w:rsid w:val="00B50A62"/>
    <w:rsid w:val="00B50BE1"/>
    <w:rsid w:val="00B5190B"/>
    <w:rsid w:val="00B51985"/>
    <w:rsid w:val="00B51F7D"/>
    <w:rsid w:val="00B526CB"/>
    <w:rsid w:val="00B54578"/>
    <w:rsid w:val="00B55159"/>
    <w:rsid w:val="00B551D9"/>
    <w:rsid w:val="00B56A5F"/>
    <w:rsid w:val="00B57180"/>
    <w:rsid w:val="00B57542"/>
    <w:rsid w:val="00B57CC0"/>
    <w:rsid w:val="00B61689"/>
    <w:rsid w:val="00B623CD"/>
    <w:rsid w:val="00B64217"/>
    <w:rsid w:val="00B65A0D"/>
    <w:rsid w:val="00B66FEF"/>
    <w:rsid w:val="00B67943"/>
    <w:rsid w:val="00B73D29"/>
    <w:rsid w:val="00B74050"/>
    <w:rsid w:val="00B749B3"/>
    <w:rsid w:val="00B75510"/>
    <w:rsid w:val="00B76F2F"/>
    <w:rsid w:val="00B77980"/>
    <w:rsid w:val="00B80158"/>
    <w:rsid w:val="00B801C2"/>
    <w:rsid w:val="00B80A90"/>
    <w:rsid w:val="00B81F85"/>
    <w:rsid w:val="00B82AEF"/>
    <w:rsid w:val="00B831F0"/>
    <w:rsid w:val="00B83874"/>
    <w:rsid w:val="00B839F1"/>
    <w:rsid w:val="00B854E5"/>
    <w:rsid w:val="00B8613C"/>
    <w:rsid w:val="00B86390"/>
    <w:rsid w:val="00B91522"/>
    <w:rsid w:val="00B923E1"/>
    <w:rsid w:val="00B94000"/>
    <w:rsid w:val="00B943B5"/>
    <w:rsid w:val="00B95331"/>
    <w:rsid w:val="00B955E5"/>
    <w:rsid w:val="00B95671"/>
    <w:rsid w:val="00B96A95"/>
    <w:rsid w:val="00B96D63"/>
    <w:rsid w:val="00BA0635"/>
    <w:rsid w:val="00BA0A5C"/>
    <w:rsid w:val="00BA1135"/>
    <w:rsid w:val="00BA20E7"/>
    <w:rsid w:val="00BA22AE"/>
    <w:rsid w:val="00BA3DBB"/>
    <w:rsid w:val="00BA400E"/>
    <w:rsid w:val="00BA5ACE"/>
    <w:rsid w:val="00BA6E03"/>
    <w:rsid w:val="00BB17A2"/>
    <w:rsid w:val="00BB2445"/>
    <w:rsid w:val="00BB3023"/>
    <w:rsid w:val="00BB329B"/>
    <w:rsid w:val="00BB60D6"/>
    <w:rsid w:val="00BB6AC0"/>
    <w:rsid w:val="00BB6D35"/>
    <w:rsid w:val="00BC01AE"/>
    <w:rsid w:val="00BC17C5"/>
    <w:rsid w:val="00BC1BC5"/>
    <w:rsid w:val="00BC1FBE"/>
    <w:rsid w:val="00BC260C"/>
    <w:rsid w:val="00BC2EA4"/>
    <w:rsid w:val="00BC3C07"/>
    <w:rsid w:val="00BC66EB"/>
    <w:rsid w:val="00BC694D"/>
    <w:rsid w:val="00BC70EC"/>
    <w:rsid w:val="00BC75DB"/>
    <w:rsid w:val="00BD0018"/>
    <w:rsid w:val="00BD0B4B"/>
    <w:rsid w:val="00BD2537"/>
    <w:rsid w:val="00BD5780"/>
    <w:rsid w:val="00BD60F4"/>
    <w:rsid w:val="00BD6461"/>
    <w:rsid w:val="00BD72DC"/>
    <w:rsid w:val="00BE0644"/>
    <w:rsid w:val="00BE0FC6"/>
    <w:rsid w:val="00BF31DC"/>
    <w:rsid w:val="00BF3E78"/>
    <w:rsid w:val="00BF3E7D"/>
    <w:rsid w:val="00BF571C"/>
    <w:rsid w:val="00BF6DD0"/>
    <w:rsid w:val="00C014DC"/>
    <w:rsid w:val="00C032E6"/>
    <w:rsid w:val="00C03520"/>
    <w:rsid w:val="00C04632"/>
    <w:rsid w:val="00C0601D"/>
    <w:rsid w:val="00C07938"/>
    <w:rsid w:val="00C1159C"/>
    <w:rsid w:val="00C116E6"/>
    <w:rsid w:val="00C11918"/>
    <w:rsid w:val="00C123F7"/>
    <w:rsid w:val="00C13E32"/>
    <w:rsid w:val="00C1579D"/>
    <w:rsid w:val="00C15841"/>
    <w:rsid w:val="00C15A84"/>
    <w:rsid w:val="00C174FE"/>
    <w:rsid w:val="00C2018A"/>
    <w:rsid w:val="00C20335"/>
    <w:rsid w:val="00C22CE2"/>
    <w:rsid w:val="00C2650D"/>
    <w:rsid w:val="00C2740C"/>
    <w:rsid w:val="00C314E4"/>
    <w:rsid w:val="00C323DC"/>
    <w:rsid w:val="00C32F32"/>
    <w:rsid w:val="00C33D95"/>
    <w:rsid w:val="00C35B4B"/>
    <w:rsid w:val="00C365DD"/>
    <w:rsid w:val="00C3664F"/>
    <w:rsid w:val="00C37D4F"/>
    <w:rsid w:val="00C40FDF"/>
    <w:rsid w:val="00C4209F"/>
    <w:rsid w:val="00C42BA9"/>
    <w:rsid w:val="00C433A5"/>
    <w:rsid w:val="00C4344E"/>
    <w:rsid w:val="00C43F18"/>
    <w:rsid w:val="00C45F14"/>
    <w:rsid w:val="00C467B5"/>
    <w:rsid w:val="00C47C18"/>
    <w:rsid w:val="00C50BD5"/>
    <w:rsid w:val="00C51668"/>
    <w:rsid w:val="00C518BD"/>
    <w:rsid w:val="00C51E4B"/>
    <w:rsid w:val="00C52300"/>
    <w:rsid w:val="00C52EBA"/>
    <w:rsid w:val="00C53EF7"/>
    <w:rsid w:val="00C55CE0"/>
    <w:rsid w:val="00C56E61"/>
    <w:rsid w:val="00C60922"/>
    <w:rsid w:val="00C639A9"/>
    <w:rsid w:val="00C63A4A"/>
    <w:rsid w:val="00C65150"/>
    <w:rsid w:val="00C66219"/>
    <w:rsid w:val="00C6695D"/>
    <w:rsid w:val="00C6779E"/>
    <w:rsid w:val="00C70F41"/>
    <w:rsid w:val="00C718F9"/>
    <w:rsid w:val="00C74294"/>
    <w:rsid w:val="00C74B20"/>
    <w:rsid w:val="00C7597B"/>
    <w:rsid w:val="00C75D89"/>
    <w:rsid w:val="00C766B7"/>
    <w:rsid w:val="00C80C58"/>
    <w:rsid w:val="00C81E0A"/>
    <w:rsid w:val="00C86221"/>
    <w:rsid w:val="00C86F3B"/>
    <w:rsid w:val="00C87B19"/>
    <w:rsid w:val="00C9074B"/>
    <w:rsid w:val="00C91351"/>
    <w:rsid w:val="00C94803"/>
    <w:rsid w:val="00C94A46"/>
    <w:rsid w:val="00C94DEE"/>
    <w:rsid w:val="00C95889"/>
    <w:rsid w:val="00CA0B2B"/>
    <w:rsid w:val="00CA5453"/>
    <w:rsid w:val="00CA553A"/>
    <w:rsid w:val="00CB1BA2"/>
    <w:rsid w:val="00CB25D6"/>
    <w:rsid w:val="00CB2D2E"/>
    <w:rsid w:val="00CB2E75"/>
    <w:rsid w:val="00CB432D"/>
    <w:rsid w:val="00CB4A25"/>
    <w:rsid w:val="00CB5310"/>
    <w:rsid w:val="00CB5ED9"/>
    <w:rsid w:val="00CB7225"/>
    <w:rsid w:val="00CB72C5"/>
    <w:rsid w:val="00CB7862"/>
    <w:rsid w:val="00CB7F08"/>
    <w:rsid w:val="00CC0B04"/>
    <w:rsid w:val="00CC12D3"/>
    <w:rsid w:val="00CC1CDD"/>
    <w:rsid w:val="00CC1E80"/>
    <w:rsid w:val="00CC32EA"/>
    <w:rsid w:val="00CC3D53"/>
    <w:rsid w:val="00CC4824"/>
    <w:rsid w:val="00CC6D1A"/>
    <w:rsid w:val="00CC7CE6"/>
    <w:rsid w:val="00CD03A6"/>
    <w:rsid w:val="00CD0645"/>
    <w:rsid w:val="00CD0836"/>
    <w:rsid w:val="00CD115F"/>
    <w:rsid w:val="00CD25F1"/>
    <w:rsid w:val="00CD2941"/>
    <w:rsid w:val="00CD41A8"/>
    <w:rsid w:val="00CD5859"/>
    <w:rsid w:val="00CD5A1B"/>
    <w:rsid w:val="00CD6D10"/>
    <w:rsid w:val="00CD757F"/>
    <w:rsid w:val="00CE0038"/>
    <w:rsid w:val="00CE19B3"/>
    <w:rsid w:val="00CE26DE"/>
    <w:rsid w:val="00CE3425"/>
    <w:rsid w:val="00CE41E1"/>
    <w:rsid w:val="00CE53E3"/>
    <w:rsid w:val="00CE5B9E"/>
    <w:rsid w:val="00CF02A4"/>
    <w:rsid w:val="00CF0D8A"/>
    <w:rsid w:val="00CF1154"/>
    <w:rsid w:val="00CF1D4B"/>
    <w:rsid w:val="00CF282E"/>
    <w:rsid w:val="00CF36A4"/>
    <w:rsid w:val="00CF388C"/>
    <w:rsid w:val="00CF3B18"/>
    <w:rsid w:val="00CF42A9"/>
    <w:rsid w:val="00CF47A2"/>
    <w:rsid w:val="00CF50B9"/>
    <w:rsid w:val="00CF651C"/>
    <w:rsid w:val="00D01076"/>
    <w:rsid w:val="00D0143E"/>
    <w:rsid w:val="00D03212"/>
    <w:rsid w:val="00D03FC9"/>
    <w:rsid w:val="00D04A66"/>
    <w:rsid w:val="00D05A3D"/>
    <w:rsid w:val="00D05DA2"/>
    <w:rsid w:val="00D05E60"/>
    <w:rsid w:val="00D10704"/>
    <w:rsid w:val="00D10ADB"/>
    <w:rsid w:val="00D11F6D"/>
    <w:rsid w:val="00D1295D"/>
    <w:rsid w:val="00D13D4C"/>
    <w:rsid w:val="00D14ECE"/>
    <w:rsid w:val="00D16819"/>
    <w:rsid w:val="00D172AE"/>
    <w:rsid w:val="00D20468"/>
    <w:rsid w:val="00D2074C"/>
    <w:rsid w:val="00D216DB"/>
    <w:rsid w:val="00D22E5A"/>
    <w:rsid w:val="00D2473B"/>
    <w:rsid w:val="00D27498"/>
    <w:rsid w:val="00D30D6B"/>
    <w:rsid w:val="00D31BDB"/>
    <w:rsid w:val="00D3598D"/>
    <w:rsid w:val="00D37F7E"/>
    <w:rsid w:val="00D41088"/>
    <w:rsid w:val="00D4307B"/>
    <w:rsid w:val="00D43454"/>
    <w:rsid w:val="00D451B0"/>
    <w:rsid w:val="00D4620F"/>
    <w:rsid w:val="00D4627A"/>
    <w:rsid w:val="00D5167C"/>
    <w:rsid w:val="00D51C8B"/>
    <w:rsid w:val="00D51CF4"/>
    <w:rsid w:val="00D52075"/>
    <w:rsid w:val="00D54826"/>
    <w:rsid w:val="00D54BB6"/>
    <w:rsid w:val="00D5799E"/>
    <w:rsid w:val="00D6112B"/>
    <w:rsid w:val="00D6208C"/>
    <w:rsid w:val="00D62DEE"/>
    <w:rsid w:val="00D665F2"/>
    <w:rsid w:val="00D70405"/>
    <w:rsid w:val="00D726A2"/>
    <w:rsid w:val="00D72ED7"/>
    <w:rsid w:val="00D73306"/>
    <w:rsid w:val="00D73D2B"/>
    <w:rsid w:val="00D766D0"/>
    <w:rsid w:val="00D766F2"/>
    <w:rsid w:val="00D76C33"/>
    <w:rsid w:val="00D772D3"/>
    <w:rsid w:val="00D77CF2"/>
    <w:rsid w:val="00D8042B"/>
    <w:rsid w:val="00D812A1"/>
    <w:rsid w:val="00D815D5"/>
    <w:rsid w:val="00D8213D"/>
    <w:rsid w:val="00D833AD"/>
    <w:rsid w:val="00D83917"/>
    <w:rsid w:val="00D86054"/>
    <w:rsid w:val="00D90CE1"/>
    <w:rsid w:val="00D942A1"/>
    <w:rsid w:val="00D946A4"/>
    <w:rsid w:val="00D94D8B"/>
    <w:rsid w:val="00D950B0"/>
    <w:rsid w:val="00D95440"/>
    <w:rsid w:val="00D95A1B"/>
    <w:rsid w:val="00D9608E"/>
    <w:rsid w:val="00D963F4"/>
    <w:rsid w:val="00D978FD"/>
    <w:rsid w:val="00D97BE2"/>
    <w:rsid w:val="00DA02DF"/>
    <w:rsid w:val="00DA1B84"/>
    <w:rsid w:val="00DA247E"/>
    <w:rsid w:val="00DA58C1"/>
    <w:rsid w:val="00DA5C6A"/>
    <w:rsid w:val="00DA66D8"/>
    <w:rsid w:val="00DA68E1"/>
    <w:rsid w:val="00DB0B8B"/>
    <w:rsid w:val="00DB127B"/>
    <w:rsid w:val="00DB2052"/>
    <w:rsid w:val="00DB299D"/>
    <w:rsid w:val="00DB2B26"/>
    <w:rsid w:val="00DB3153"/>
    <w:rsid w:val="00DB3FBB"/>
    <w:rsid w:val="00DC1280"/>
    <w:rsid w:val="00DC1388"/>
    <w:rsid w:val="00DC1415"/>
    <w:rsid w:val="00DC1F00"/>
    <w:rsid w:val="00DC2A3C"/>
    <w:rsid w:val="00DC30E3"/>
    <w:rsid w:val="00DC47C3"/>
    <w:rsid w:val="00DC5476"/>
    <w:rsid w:val="00DC6DEC"/>
    <w:rsid w:val="00DD02D9"/>
    <w:rsid w:val="00DD1595"/>
    <w:rsid w:val="00DD3C61"/>
    <w:rsid w:val="00DD4AA5"/>
    <w:rsid w:val="00DD66FA"/>
    <w:rsid w:val="00DD788A"/>
    <w:rsid w:val="00DE0600"/>
    <w:rsid w:val="00DE313D"/>
    <w:rsid w:val="00DE349C"/>
    <w:rsid w:val="00DE4060"/>
    <w:rsid w:val="00DE40FD"/>
    <w:rsid w:val="00DE5A42"/>
    <w:rsid w:val="00DE7C89"/>
    <w:rsid w:val="00DF030F"/>
    <w:rsid w:val="00DF05D6"/>
    <w:rsid w:val="00DF1D3A"/>
    <w:rsid w:val="00DF4DF9"/>
    <w:rsid w:val="00DF5C46"/>
    <w:rsid w:val="00DF7E3B"/>
    <w:rsid w:val="00E015B1"/>
    <w:rsid w:val="00E02F78"/>
    <w:rsid w:val="00E03B6D"/>
    <w:rsid w:val="00E03CD6"/>
    <w:rsid w:val="00E05A27"/>
    <w:rsid w:val="00E07002"/>
    <w:rsid w:val="00E10F22"/>
    <w:rsid w:val="00E1160C"/>
    <w:rsid w:val="00E1243C"/>
    <w:rsid w:val="00E14031"/>
    <w:rsid w:val="00E146F0"/>
    <w:rsid w:val="00E155DD"/>
    <w:rsid w:val="00E16D83"/>
    <w:rsid w:val="00E17F8A"/>
    <w:rsid w:val="00E20D04"/>
    <w:rsid w:val="00E20EE4"/>
    <w:rsid w:val="00E22763"/>
    <w:rsid w:val="00E23011"/>
    <w:rsid w:val="00E2350E"/>
    <w:rsid w:val="00E24888"/>
    <w:rsid w:val="00E25030"/>
    <w:rsid w:val="00E25449"/>
    <w:rsid w:val="00E26504"/>
    <w:rsid w:val="00E26801"/>
    <w:rsid w:val="00E318CB"/>
    <w:rsid w:val="00E32F1F"/>
    <w:rsid w:val="00E33B9D"/>
    <w:rsid w:val="00E34A72"/>
    <w:rsid w:val="00E35DC3"/>
    <w:rsid w:val="00E3689C"/>
    <w:rsid w:val="00E36A15"/>
    <w:rsid w:val="00E41CCE"/>
    <w:rsid w:val="00E42E7A"/>
    <w:rsid w:val="00E4713B"/>
    <w:rsid w:val="00E51D28"/>
    <w:rsid w:val="00E56767"/>
    <w:rsid w:val="00E601CC"/>
    <w:rsid w:val="00E602F5"/>
    <w:rsid w:val="00E6115D"/>
    <w:rsid w:val="00E61C10"/>
    <w:rsid w:val="00E61EC7"/>
    <w:rsid w:val="00E61FF2"/>
    <w:rsid w:val="00E622D4"/>
    <w:rsid w:val="00E62A72"/>
    <w:rsid w:val="00E62B93"/>
    <w:rsid w:val="00E634E0"/>
    <w:rsid w:val="00E64F24"/>
    <w:rsid w:val="00E657E5"/>
    <w:rsid w:val="00E66CF6"/>
    <w:rsid w:val="00E67DB8"/>
    <w:rsid w:val="00E70B22"/>
    <w:rsid w:val="00E722DA"/>
    <w:rsid w:val="00E728AC"/>
    <w:rsid w:val="00E73C8C"/>
    <w:rsid w:val="00E83865"/>
    <w:rsid w:val="00E83B48"/>
    <w:rsid w:val="00E83F05"/>
    <w:rsid w:val="00E84DC3"/>
    <w:rsid w:val="00E851C6"/>
    <w:rsid w:val="00E8679C"/>
    <w:rsid w:val="00E869A7"/>
    <w:rsid w:val="00E90E97"/>
    <w:rsid w:val="00E91961"/>
    <w:rsid w:val="00E919A9"/>
    <w:rsid w:val="00E92894"/>
    <w:rsid w:val="00E92B3B"/>
    <w:rsid w:val="00E92E9B"/>
    <w:rsid w:val="00E92FBB"/>
    <w:rsid w:val="00E94E60"/>
    <w:rsid w:val="00E96DD4"/>
    <w:rsid w:val="00E975FC"/>
    <w:rsid w:val="00E97E83"/>
    <w:rsid w:val="00EA492D"/>
    <w:rsid w:val="00EA4BE7"/>
    <w:rsid w:val="00EA6071"/>
    <w:rsid w:val="00EA6296"/>
    <w:rsid w:val="00EA6717"/>
    <w:rsid w:val="00EB2CE0"/>
    <w:rsid w:val="00EB2D9D"/>
    <w:rsid w:val="00EB2F94"/>
    <w:rsid w:val="00EB3511"/>
    <w:rsid w:val="00EB3FE3"/>
    <w:rsid w:val="00EB5A46"/>
    <w:rsid w:val="00EB6629"/>
    <w:rsid w:val="00EB66E6"/>
    <w:rsid w:val="00EB6B39"/>
    <w:rsid w:val="00EB6B64"/>
    <w:rsid w:val="00EB7458"/>
    <w:rsid w:val="00EC032D"/>
    <w:rsid w:val="00EC0E82"/>
    <w:rsid w:val="00EC1E7D"/>
    <w:rsid w:val="00EC24AE"/>
    <w:rsid w:val="00EC2828"/>
    <w:rsid w:val="00EC40E1"/>
    <w:rsid w:val="00EC45DE"/>
    <w:rsid w:val="00EC55D7"/>
    <w:rsid w:val="00EC5FD7"/>
    <w:rsid w:val="00EC6735"/>
    <w:rsid w:val="00EC6EFC"/>
    <w:rsid w:val="00EC7BF0"/>
    <w:rsid w:val="00ED0862"/>
    <w:rsid w:val="00ED3A3F"/>
    <w:rsid w:val="00ED3AF4"/>
    <w:rsid w:val="00ED49E2"/>
    <w:rsid w:val="00ED5F38"/>
    <w:rsid w:val="00ED7AEA"/>
    <w:rsid w:val="00EE00B8"/>
    <w:rsid w:val="00EE3846"/>
    <w:rsid w:val="00EE3BA1"/>
    <w:rsid w:val="00EE6840"/>
    <w:rsid w:val="00EE74C1"/>
    <w:rsid w:val="00EF03F6"/>
    <w:rsid w:val="00EF1387"/>
    <w:rsid w:val="00EF278A"/>
    <w:rsid w:val="00EF2A0C"/>
    <w:rsid w:val="00EF2D5B"/>
    <w:rsid w:val="00EF35A2"/>
    <w:rsid w:val="00EF3EF0"/>
    <w:rsid w:val="00EF6067"/>
    <w:rsid w:val="00EF635E"/>
    <w:rsid w:val="00F00940"/>
    <w:rsid w:val="00F01978"/>
    <w:rsid w:val="00F0268C"/>
    <w:rsid w:val="00F02BF0"/>
    <w:rsid w:val="00F0795C"/>
    <w:rsid w:val="00F11271"/>
    <w:rsid w:val="00F1221F"/>
    <w:rsid w:val="00F148D8"/>
    <w:rsid w:val="00F171CB"/>
    <w:rsid w:val="00F174DB"/>
    <w:rsid w:val="00F2013F"/>
    <w:rsid w:val="00F2054D"/>
    <w:rsid w:val="00F21B03"/>
    <w:rsid w:val="00F22DD3"/>
    <w:rsid w:val="00F23CDE"/>
    <w:rsid w:val="00F2577E"/>
    <w:rsid w:val="00F26502"/>
    <w:rsid w:val="00F26742"/>
    <w:rsid w:val="00F26961"/>
    <w:rsid w:val="00F31787"/>
    <w:rsid w:val="00F336AD"/>
    <w:rsid w:val="00F34477"/>
    <w:rsid w:val="00F349CC"/>
    <w:rsid w:val="00F34E79"/>
    <w:rsid w:val="00F36373"/>
    <w:rsid w:val="00F377CC"/>
    <w:rsid w:val="00F40A58"/>
    <w:rsid w:val="00F44D7C"/>
    <w:rsid w:val="00F44DEC"/>
    <w:rsid w:val="00F463A0"/>
    <w:rsid w:val="00F46464"/>
    <w:rsid w:val="00F47A08"/>
    <w:rsid w:val="00F47CE4"/>
    <w:rsid w:val="00F50920"/>
    <w:rsid w:val="00F530C9"/>
    <w:rsid w:val="00F5329C"/>
    <w:rsid w:val="00F565F5"/>
    <w:rsid w:val="00F64435"/>
    <w:rsid w:val="00F667D5"/>
    <w:rsid w:val="00F66ADE"/>
    <w:rsid w:val="00F674E6"/>
    <w:rsid w:val="00F67747"/>
    <w:rsid w:val="00F71B71"/>
    <w:rsid w:val="00F722A1"/>
    <w:rsid w:val="00F7409F"/>
    <w:rsid w:val="00F74D64"/>
    <w:rsid w:val="00F7569C"/>
    <w:rsid w:val="00F76991"/>
    <w:rsid w:val="00F811F4"/>
    <w:rsid w:val="00F81EA3"/>
    <w:rsid w:val="00F8254E"/>
    <w:rsid w:val="00F834B3"/>
    <w:rsid w:val="00F85D06"/>
    <w:rsid w:val="00F86884"/>
    <w:rsid w:val="00F909D5"/>
    <w:rsid w:val="00F92B91"/>
    <w:rsid w:val="00F93BBC"/>
    <w:rsid w:val="00F93D88"/>
    <w:rsid w:val="00F943A2"/>
    <w:rsid w:val="00F94EEB"/>
    <w:rsid w:val="00F959CF"/>
    <w:rsid w:val="00F9794C"/>
    <w:rsid w:val="00FA0443"/>
    <w:rsid w:val="00FA0C2F"/>
    <w:rsid w:val="00FA3FC9"/>
    <w:rsid w:val="00FA75CA"/>
    <w:rsid w:val="00FB0473"/>
    <w:rsid w:val="00FB0C4F"/>
    <w:rsid w:val="00FB1709"/>
    <w:rsid w:val="00FB284D"/>
    <w:rsid w:val="00FB414B"/>
    <w:rsid w:val="00FB5668"/>
    <w:rsid w:val="00FB56AC"/>
    <w:rsid w:val="00FB75D1"/>
    <w:rsid w:val="00FB760E"/>
    <w:rsid w:val="00FB79EA"/>
    <w:rsid w:val="00FC30B3"/>
    <w:rsid w:val="00FC3331"/>
    <w:rsid w:val="00FC5592"/>
    <w:rsid w:val="00FC56C6"/>
    <w:rsid w:val="00FC642F"/>
    <w:rsid w:val="00FC6BF7"/>
    <w:rsid w:val="00FD047D"/>
    <w:rsid w:val="00FD21FA"/>
    <w:rsid w:val="00FD2436"/>
    <w:rsid w:val="00FD4D1F"/>
    <w:rsid w:val="00FD5A42"/>
    <w:rsid w:val="00FE089B"/>
    <w:rsid w:val="00FE091F"/>
    <w:rsid w:val="00FE3197"/>
    <w:rsid w:val="00FE32E2"/>
    <w:rsid w:val="00FE51F8"/>
    <w:rsid w:val="00FE6F91"/>
    <w:rsid w:val="00FE75F0"/>
    <w:rsid w:val="00FE7808"/>
    <w:rsid w:val="00FF0A87"/>
    <w:rsid w:val="00FF48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3212]"/>
    </o:shapedefaults>
    <o:shapelayout v:ext="edit">
      <o:idmap v:ext="edit" data="1"/>
    </o:shapelayout>
  </w:shapeDefaults>
  <w:decimalSymbol w:val=","/>
  <w:listSeparator w:val=";"/>
  <w14:docId w14:val="2CDF8704"/>
  <w15:docId w15:val="{D256425B-539F-4EAD-A470-3C04604C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31BDB"/>
    <w:pPr>
      <w:widowControl w:val="0"/>
      <w:spacing w:after="0" w:line="240" w:lineRule="auto"/>
      <w:ind w:firstLine="709"/>
      <w:jc w:val="both"/>
    </w:pPr>
    <w:rPr>
      <w:rFonts w:ascii="Times New Roman" w:eastAsia="Times New Roman" w:hAnsi="Times New Roman" w:cs="Times New Roman"/>
      <w:color w:val="000000" w:themeColor="text1"/>
      <w:sz w:val="28"/>
      <w:szCs w:val="28"/>
    </w:rPr>
  </w:style>
  <w:style w:type="paragraph" w:styleId="10">
    <w:name w:val="heading 1"/>
    <w:basedOn w:val="a0"/>
    <w:next w:val="a0"/>
    <w:link w:val="11"/>
    <w:uiPriority w:val="9"/>
    <w:qFormat/>
    <w:rsid w:val="00F811F4"/>
    <w:pPr>
      <w:keepNext/>
      <w:keepLines/>
      <w:numPr>
        <w:numId w:val="4"/>
      </w:numPr>
      <w:spacing w:before="240" w:after="240"/>
      <w:ind w:left="2701"/>
      <w:outlineLvl w:val="0"/>
    </w:pPr>
    <w:rPr>
      <w:b/>
      <w:bCs/>
      <w:color w:val="auto"/>
      <w:sz w:val="32"/>
      <w:szCs w:val="32"/>
    </w:rPr>
  </w:style>
  <w:style w:type="paragraph" w:styleId="20">
    <w:name w:val="heading 2"/>
    <w:basedOn w:val="10"/>
    <w:next w:val="a0"/>
    <w:link w:val="21"/>
    <w:unhideWhenUsed/>
    <w:qFormat/>
    <w:rsid w:val="00F811F4"/>
    <w:pPr>
      <w:numPr>
        <w:numId w:val="0"/>
      </w:numPr>
      <w:jc w:val="center"/>
      <w:outlineLvl w:val="1"/>
    </w:pPr>
  </w:style>
  <w:style w:type="paragraph" w:styleId="3">
    <w:name w:val="heading 3"/>
    <w:basedOn w:val="a0"/>
    <w:next w:val="a0"/>
    <w:link w:val="30"/>
    <w:uiPriority w:val="9"/>
    <w:unhideWhenUsed/>
    <w:qFormat/>
    <w:rsid w:val="00F811F4"/>
    <w:pPr>
      <w:keepNext/>
      <w:keepLines/>
      <w:spacing w:before="200"/>
      <w:outlineLvl w:val="2"/>
    </w:pPr>
    <w:rPr>
      <w:rFonts w:asciiTheme="majorHAnsi" w:eastAsiaTheme="majorEastAsia" w:hAnsiTheme="majorHAnsi" w:cstheme="majorBidi"/>
      <w:b/>
      <w:bCs/>
      <w:color w:val="4E67C8" w:themeColor="accent1"/>
    </w:rPr>
  </w:style>
  <w:style w:type="paragraph" w:styleId="4">
    <w:name w:val="heading 4"/>
    <w:basedOn w:val="a0"/>
    <w:next w:val="a0"/>
    <w:link w:val="40"/>
    <w:uiPriority w:val="9"/>
    <w:unhideWhenUsed/>
    <w:qFormat/>
    <w:rsid w:val="00F811F4"/>
    <w:pPr>
      <w:keepNext/>
      <w:keepLines/>
      <w:spacing w:before="40"/>
      <w:outlineLvl w:val="3"/>
    </w:pPr>
    <w:rPr>
      <w:rFonts w:asciiTheme="majorHAnsi" w:eastAsiaTheme="majorEastAsia" w:hAnsiTheme="majorHAnsi" w:cstheme="majorBidi"/>
      <w:i/>
      <w:iCs/>
      <w:color w:val="31479E"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F811F4"/>
    <w:rPr>
      <w:rFonts w:ascii="Times New Roman" w:eastAsia="Times New Roman" w:hAnsi="Times New Roman" w:cs="Times New Roman"/>
      <w:b/>
      <w:bCs/>
      <w:sz w:val="32"/>
      <w:szCs w:val="32"/>
    </w:rPr>
  </w:style>
  <w:style w:type="character" w:customStyle="1" w:styleId="21">
    <w:name w:val="Заголовок 2 Знак"/>
    <w:basedOn w:val="a1"/>
    <w:link w:val="20"/>
    <w:rsid w:val="00F811F4"/>
    <w:rPr>
      <w:rFonts w:ascii="Times New Roman" w:eastAsia="Times New Roman" w:hAnsi="Times New Roman" w:cs="Times New Roman"/>
      <w:b/>
      <w:bCs/>
      <w:sz w:val="32"/>
      <w:szCs w:val="32"/>
    </w:rPr>
  </w:style>
  <w:style w:type="character" w:customStyle="1" w:styleId="30">
    <w:name w:val="Заголовок 3 Знак"/>
    <w:basedOn w:val="a1"/>
    <w:link w:val="3"/>
    <w:uiPriority w:val="9"/>
    <w:rsid w:val="00F811F4"/>
    <w:rPr>
      <w:rFonts w:asciiTheme="majorHAnsi" w:eastAsiaTheme="majorEastAsia" w:hAnsiTheme="majorHAnsi" w:cstheme="majorBidi"/>
      <w:b/>
      <w:bCs/>
      <w:color w:val="4E67C8" w:themeColor="accent1"/>
      <w:sz w:val="28"/>
      <w:szCs w:val="28"/>
    </w:rPr>
  </w:style>
  <w:style w:type="character" w:customStyle="1" w:styleId="40">
    <w:name w:val="Заголовок 4 Знак"/>
    <w:basedOn w:val="a1"/>
    <w:link w:val="4"/>
    <w:uiPriority w:val="9"/>
    <w:rsid w:val="00F811F4"/>
    <w:rPr>
      <w:rFonts w:asciiTheme="majorHAnsi" w:eastAsiaTheme="majorEastAsia" w:hAnsiTheme="majorHAnsi" w:cstheme="majorBidi"/>
      <w:i/>
      <w:iCs/>
      <w:color w:val="31479E" w:themeColor="accent1" w:themeShade="BF"/>
      <w:sz w:val="28"/>
      <w:szCs w:val="28"/>
    </w:rPr>
  </w:style>
  <w:style w:type="paragraph" w:styleId="a4">
    <w:name w:val="header"/>
    <w:basedOn w:val="a0"/>
    <w:link w:val="a5"/>
    <w:uiPriority w:val="99"/>
    <w:unhideWhenUsed/>
    <w:rsid w:val="00F811F4"/>
    <w:pPr>
      <w:tabs>
        <w:tab w:val="center" w:pos="4677"/>
        <w:tab w:val="right" w:pos="9355"/>
      </w:tabs>
    </w:pPr>
    <w:rPr>
      <w:sz w:val="20"/>
      <w:szCs w:val="20"/>
    </w:rPr>
  </w:style>
  <w:style w:type="character" w:customStyle="1" w:styleId="a5">
    <w:name w:val="Верхний колонтитул Знак"/>
    <w:basedOn w:val="a1"/>
    <w:link w:val="a4"/>
    <w:uiPriority w:val="99"/>
    <w:rsid w:val="00F811F4"/>
    <w:rPr>
      <w:rFonts w:ascii="Times New Roman" w:eastAsia="Times New Roman" w:hAnsi="Times New Roman" w:cs="Times New Roman"/>
      <w:color w:val="000000" w:themeColor="text1"/>
      <w:sz w:val="20"/>
      <w:szCs w:val="20"/>
    </w:rPr>
  </w:style>
  <w:style w:type="paragraph" w:styleId="a6">
    <w:name w:val="footer"/>
    <w:basedOn w:val="a0"/>
    <w:link w:val="a7"/>
    <w:uiPriority w:val="99"/>
    <w:unhideWhenUsed/>
    <w:rsid w:val="00F811F4"/>
    <w:pPr>
      <w:tabs>
        <w:tab w:val="center" w:pos="4677"/>
        <w:tab w:val="right" w:pos="9355"/>
      </w:tabs>
    </w:pPr>
    <w:rPr>
      <w:sz w:val="20"/>
      <w:szCs w:val="20"/>
    </w:rPr>
  </w:style>
  <w:style w:type="character" w:customStyle="1" w:styleId="a7">
    <w:name w:val="Нижний колонтитул Знак"/>
    <w:basedOn w:val="a1"/>
    <w:link w:val="a6"/>
    <w:uiPriority w:val="99"/>
    <w:rsid w:val="00F811F4"/>
    <w:rPr>
      <w:rFonts w:ascii="Times New Roman" w:eastAsia="Times New Roman" w:hAnsi="Times New Roman" w:cs="Times New Roman"/>
      <w:color w:val="000000" w:themeColor="text1"/>
      <w:sz w:val="20"/>
      <w:szCs w:val="20"/>
    </w:rPr>
  </w:style>
  <w:style w:type="paragraph" w:styleId="a8">
    <w:name w:val="Balloon Text"/>
    <w:basedOn w:val="a0"/>
    <w:link w:val="a9"/>
    <w:uiPriority w:val="99"/>
    <w:semiHidden/>
    <w:unhideWhenUsed/>
    <w:rsid w:val="00F811F4"/>
    <w:rPr>
      <w:rFonts w:ascii="Tahoma" w:hAnsi="Tahoma"/>
      <w:sz w:val="16"/>
      <w:szCs w:val="16"/>
    </w:rPr>
  </w:style>
  <w:style w:type="character" w:customStyle="1" w:styleId="a9">
    <w:name w:val="Текст выноски Знак"/>
    <w:basedOn w:val="a1"/>
    <w:link w:val="a8"/>
    <w:uiPriority w:val="99"/>
    <w:semiHidden/>
    <w:rsid w:val="00F811F4"/>
    <w:rPr>
      <w:rFonts w:ascii="Tahoma" w:eastAsia="Times New Roman" w:hAnsi="Tahoma" w:cs="Times New Roman"/>
      <w:color w:val="000000" w:themeColor="text1"/>
      <w:sz w:val="16"/>
      <w:szCs w:val="16"/>
    </w:rPr>
  </w:style>
  <w:style w:type="paragraph" w:styleId="a">
    <w:name w:val="List Paragraph"/>
    <w:aliases w:val="текст документа,ПАРАГРАФ,Bullet List,FooterText,numbered,Подпись рисунка,Маркированный список_уровень1,Абзац списка3,Цветной список - Акцент 11,СПИСОК,Второй абзац списка,Абзац списка11,Абзац списка для документа,Нумерация,lp1"/>
    <w:link w:val="aa"/>
    <w:uiPriority w:val="34"/>
    <w:qFormat/>
    <w:rsid w:val="00F811F4"/>
    <w:pPr>
      <w:numPr>
        <w:numId w:val="5"/>
      </w:numPr>
      <w:spacing w:before="120" w:after="120" w:line="240" w:lineRule="auto"/>
      <w:contextualSpacing/>
    </w:pPr>
    <w:rPr>
      <w:rFonts w:ascii="Times New Roman" w:eastAsia="Times New Roman" w:hAnsi="Times New Roman" w:cs="Times New Roman"/>
      <w:color w:val="000000" w:themeColor="text1"/>
      <w:sz w:val="28"/>
      <w:szCs w:val="28"/>
    </w:rPr>
  </w:style>
  <w:style w:type="character" w:customStyle="1" w:styleId="aa">
    <w:name w:val="Абзац списка Знак"/>
    <w:aliases w:val="текст документа Знак,ПАРАГРАФ Знак,Bullet List Знак,FooterText Знак,numbered Знак,Подпись рисунка Знак,Маркированный список_уровень1 Знак,Абзац списка3 Знак,Цветной список - Акцент 11 Знак,СПИСОК Знак,Второй абзац списка Знак,lp1 Знак"/>
    <w:link w:val="a"/>
    <w:uiPriority w:val="34"/>
    <w:qFormat/>
    <w:locked/>
    <w:rsid w:val="00F811F4"/>
    <w:rPr>
      <w:rFonts w:ascii="Times New Roman" w:eastAsia="Times New Roman" w:hAnsi="Times New Roman" w:cs="Times New Roman"/>
      <w:color w:val="000000" w:themeColor="text1"/>
      <w:sz w:val="28"/>
      <w:szCs w:val="28"/>
    </w:rPr>
  </w:style>
  <w:style w:type="paragraph" w:styleId="ab">
    <w:name w:val="Body Text"/>
    <w:basedOn w:val="a0"/>
    <w:link w:val="ac"/>
    <w:uiPriority w:val="1"/>
    <w:unhideWhenUsed/>
    <w:qFormat/>
    <w:rsid w:val="00F811F4"/>
    <w:pPr>
      <w:spacing w:after="120"/>
    </w:pPr>
    <w:rPr>
      <w:sz w:val="20"/>
      <w:szCs w:val="20"/>
    </w:rPr>
  </w:style>
  <w:style w:type="character" w:customStyle="1" w:styleId="ac">
    <w:name w:val="Основной текст Знак"/>
    <w:basedOn w:val="a1"/>
    <w:link w:val="ab"/>
    <w:uiPriority w:val="1"/>
    <w:rsid w:val="00F811F4"/>
    <w:rPr>
      <w:rFonts w:ascii="Times New Roman" w:eastAsia="Times New Roman" w:hAnsi="Times New Roman" w:cs="Times New Roman"/>
      <w:color w:val="000000" w:themeColor="text1"/>
      <w:sz w:val="20"/>
      <w:szCs w:val="20"/>
    </w:rPr>
  </w:style>
  <w:style w:type="table" w:styleId="ad">
    <w:name w:val="Table Grid"/>
    <w:basedOn w:val="a2"/>
    <w:uiPriority w:val="59"/>
    <w:rsid w:val="00F811F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10"/>
    <w:uiPriority w:val="1"/>
    <w:qFormat/>
    <w:rsid w:val="00F811F4"/>
    <w:pPr>
      <w:ind w:firstLine="0"/>
    </w:pPr>
    <w:rPr>
      <w:b w:val="0"/>
      <w:bCs w:val="0"/>
    </w:rPr>
  </w:style>
  <w:style w:type="paragraph" w:customStyle="1" w:styleId="TableParagraph">
    <w:name w:val="Table Paragraph"/>
    <w:basedOn w:val="a0"/>
    <w:uiPriority w:val="1"/>
    <w:qFormat/>
    <w:rsid w:val="00F811F4"/>
  </w:style>
  <w:style w:type="table" w:customStyle="1" w:styleId="TableNormal">
    <w:name w:val="Table Normal"/>
    <w:uiPriority w:val="2"/>
    <w:semiHidden/>
    <w:unhideWhenUsed/>
    <w:qFormat/>
    <w:rsid w:val="00F811F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5">
    <w:name w:val="Light List Accent 5"/>
    <w:basedOn w:val="a2"/>
    <w:uiPriority w:val="61"/>
    <w:rsid w:val="00F811F4"/>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ae">
    <w:name w:val="Hyperlink"/>
    <w:uiPriority w:val="99"/>
    <w:unhideWhenUsed/>
    <w:rsid w:val="00F811F4"/>
    <w:rPr>
      <w:color w:val="0000FF"/>
      <w:u w:val="single"/>
    </w:rPr>
  </w:style>
  <w:style w:type="paragraph" w:customStyle="1" w:styleId="ConsPlusNormal">
    <w:name w:val="ConsPlusNormal"/>
    <w:link w:val="ConsPlusNormal0"/>
    <w:rsid w:val="00F811F4"/>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rsid w:val="00F811F4"/>
    <w:rPr>
      <w:rFonts w:ascii="Times New Roman" w:eastAsia="Calibri" w:hAnsi="Times New Roman" w:cs="Times New Roman"/>
      <w:sz w:val="24"/>
      <w:szCs w:val="24"/>
    </w:rPr>
  </w:style>
  <w:style w:type="paragraph" w:styleId="af">
    <w:name w:val="Body Text Indent"/>
    <w:basedOn w:val="a0"/>
    <w:link w:val="af0"/>
    <w:rsid w:val="00F811F4"/>
    <w:pPr>
      <w:widowControl/>
      <w:spacing w:after="120"/>
      <w:ind w:left="283"/>
    </w:pPr>
    <w:rPr>
      <w:sz w:val="24"/>
      <w:szCs w:val="24"/>
      <w:lang w:eastAsia="ru-RU"/>
    </w:rPr>
  </w:style>
  <w:style w:type="character" w:customStyle="1" w:styleId="af0">
    <w:name w:val="Основной текст с отступом Знак"/>
    <w:basedOn w:val="a1"/>
    <w:link w:val="af"/>
    <w:rsid w:val="00F811F4"/>
    <w:rPr>
      <w:rFonts w:ascii="Times New Roman" w:eastAsia="Times New Roman" w:hAnsi="Times New Roman" w:cs="Times New Roman"/>
      <w:color w:val="000000" w:themeColor="text1"/>
      <w:sz w:val="24"/>
      <w:szCs w:val="24"/>
      <w:lang w:eastAsia="ru-RU"/>
    </w:rPr>
  </w:style>
  <w:style w:type="character" w:customStyle="1" w:styleId="CharStyle5">
    <w:name w:val="Char Style 5"/>
    <w:link w:val="Style4"/>
    <w:uiPriority w:val="99"/>
    <w:locked/>
    <w:rsid w:val="00F811F4"/>
    <w:rPr>
      <w:sz w:val="30"/>
      <w:szCs w:val="30"/>
      <w:shd w:val="clear" w:color="auto" w:fill="FFFFFF"/>
    </w:rPr>
  </w:style>
  <w:style w:type="paragraph" w:customStyle="1" w:styleId="Style4">
    <w:name w:val="Style 4"/>
    <w:basedOn w:val="a0"/>
    <w:link w:val="CharStyle5"/>
    <w:uiPriority w:val="99"/>
    <w:rsid w:val="00F811F4"/>
    <w:pPr>
      <w:shd w:val="clear" w:color="auto" w:fill="FFFFFF"/>
      <w:spacing w:before="840" w:line="552" w:lineRule="exact"/>
    </w:pPr>
    <w:rPr>
      <w:rFonts w:asciiTheme="minorHAnsi" w:eastAsiaTheme="minorHAnsi" w:hAnsiTheme="minorHAnsi" w:cstheme="minorBidi"/>
      <w:color w:val="auto"/>
      <w:sz w:val="30"/>
      <w:szCs w:val="30"/>
    </w:rPr>
  </w:style>
  <w:style w:type="paragraph" w:customStyle="1" w:styleId="ConsPlusTitle">
    <w:name w:val="ConsPlusTitle"/>
    <w:uiPriority w:val="99"/>
    <w:rsid w:val="00F811F4"/>
    <w:pPr>
      <w:widowControl w:val="0"/>
      <w:autoSpaceDE w:val="0"/>
      <w:autoSpaceDN w:val="0"/>
      <w:adjustRightInd w:val="0"/>
      <w:spacing w:after="0" w:line="240" w:lineRule="auto"/>
    </w:pPr>
    <w:rPr>
      <w:rFonts w:ascii="Calibri" w:eastAsia="Times New Roman" w:hAnsi="Calibri" w:cs="Calibri"/>
      <w:b/>
      <w:bCs/>
    </w:rPr>
  </w:style>
  <w:style w:type="paragraph" w:styleId="af1">
    <w:name w:val="Normal (Web)"/>
    <w:basedOn w:val="a0"/>
    <w:uiPriority w:val="99"/>
    <w:unhideWhenUsed/>
    <w:rsid w:val="00F811F4"/>
    <w:pPr>
      <w:widowControl/>
      <w:spacing w:before="100" w:beforeAutospacing="1" w:after="100" w:afterAutospacing="1"/>
    </w:pPr>
    <w:rPr>
      <w:sz w:val="24"/>
      <w:szCs w:val="24"/>
      <w:lang w:eastAsia="ru-RU"/>
    </w:rPr>
  </w:style>
  <w:style w:type="paragraph" w:styleId="af2">
    <w:name w:val="No Spacing"/>
    <w:link w:val="af3"/>
    <w:uiPriority w:val="1"/>
    <w:qFormat/>
    <w:rsid w:val="00F811F4"/>
    <w:pPr>
      <w:spacing w:after="0" w:line="240" w:lineRule="auto"/>
    </w:pPr>
    <w:rPr>
      <w:rFonts w:ascii="Calibri" w:eastAsia="Times New Roman" w:hAnsi="Calibri" w:cs="Times New Roman"/>
    </w:rPr>
  </w:style>
  <w:style w:type="character" w:customStyle="1" w:styleId="af3">
    <w:name w:val="Без интервала Знак"/>
    <w:link w:val="af2"/>
    <w:uiPriority w:val="1"/>
    <w:rsid w:val="00F811F4"/>
    <w:rPr>
      <w:rFonts w:ascii="Calibri" w:eastAsia="Times New Roman" w:hAnsi="Calibri" w:cs="Times New Roman"/>
    </w:rPr>
  </w:style>
  <w:style w:type="paragraph" w:styleId="af4">
    <w:name w:val="TOC Heading"/>
    <w:basedOn w:val="10"/>
    <w:next w:val="a0"/>
    <w:uiPriority w:val="39"/>
    <w:unhideWhenUsed/>
    <w:qFormat/>
    <w:rsid w:val="00F811F4"/>
    <w:pPr>
      <w:widowControl/>
      <w:spacing w:line="259" w:lineRule="auto"/>
      <w:outlineLvl w:val="9"/>
    </w:pPr>
    <w:rPr>
      <w:rFonts w:ascii="Calibri Light" w:hAnsi="Calibri Light"/>
      <w:color w:val="2E74B5"/>
      <w:lang w:eastAsia="ru-RU"/>
    </w:rPr>
  </w:style>
  <w:style w:type="paragraph" w:styleId="12">
    <w:name w:val="toc 1"/>
    <w:basedOn w:val="a0"/>
    <w:next w:val="a0"/>
    <w:autoRedefine/>
    <w:uiPriority w:val="39"/>
    <w:unhideWhenUsed/>
    <w:rsid w:val="00F811F4"/>
  </w:style>
  <w:style w:type="paragraph" w:styleId="22">
    <w:name w:val="toc 2"/>
    <w:basedOn w:val="a0"/>
    <w:next w:val="a0"/>
    <w:autoRedefine/>
    <w:uiPriority w:val="39"/>
    <w:unhideWhenUsed/>
    <w:rsid w:val="00F811F4"/>
    <w:pPr>
      <w:ind w:left="220"/>
    </w:pPr>
  </w:style>
  <w:style w:type="character" w:styleId="af5">
    <w:name w:val="footnote reference"/>
    <w:uiPriority w:val="99"/>
    <w:unhideWhenUsed/>
    <w:rsid w:val="00F811F4"/>
    <w:rPr>
      <w:vertAlign w:val="superscript"/>
    </w:rPr>
  </w:style>
  <w:style w:type="paragraph" w:styleId="af6">
    <w:name w:val="footnote text"/>
    <w:basedOn w:val="a0"/>
    <w:link w:val="af7"/>
    <w:uiPriority w:val="99"/>
    <w:unhideWhenUsed/>
    <w:rsid w:val="00F811F4"/>
    <w:rPr>
      <w:sz w:val="20"/>
      <w:szCs w:val="20"/>
    </w:rPr>
  </w:style>
  <w:style w:type="character" w:customStyle="1" w:styleId="af7">
    <w:name w:val="Текст сноски Знак"/>
    <w:basedOn w:val="a1"/>
    <w:link w:val="af6"/>
    <w:uiPriority w:val="99"/>
    <w:rsid w:val="00F811F4"/>
    <w:rPr>
      <w:rFonts w:ascii="Times New Roman" w:eastAsia="Times New Roman" w:hAnsi="Times New Roman" w:cs="Times New Roman"/>
      <w:color w:val="000000" w:themeColor="text1"/>
      <w:sz w:val="20"/>
      <w:szCs w:val="20"/>
    </w:rPr>
  </w:style>
  <w:style w:type="table" w:customStyle="1" w:styleId="-411">
    <w:name w:val="Таблица-сетка 4 — акцент 11"/>
    <w:basedOn w:val="a2"/>
    <w:uiPriority w:val="49"/>
    <w:rsid w:val="00F811F4"/>
    <w:pPr>
      <w:spacing w:after="0" w:line="240" w:lineRule="auto"/>
    </w:pPr>
    <w:rPr>
      <w:rFonts w:ascii="Calibri" w:eastAsia="Calibri" w:hAnsi="Calibri" w:cs="Times New Roman"/>
      <w:sz w:val="20"/>
      <w:szCs w:val="20"/>
    </w:r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color w:val="FFFFFF" w:themeColor="background1"/>
      </w:rPr>
      <w:tblPr/>
      <w:tcPr>
        <w:tcBorders>
          <w:top w:val="single" w:sz="4" w:space="0" w:color="4E67C8" w:themeColor="accent1"/>
          <w:left w:val="single" w:sz="4" w:space="0" w:color="4E67C8" w:themeColor="accent1"/>
          <w:bottom w:val="single" w:sz="4" w:space="0" w:color="4E67C8" w:themeColor="accent1"/>
          <w:right w:val="single" w:sz="4" w:space="0" w:color="4E67C8" w:themeColor="accent1"/>
          <w:insideH w:val="nil"/>
          <w:insideV w:val="nil"/>
        </w:tcBorders>
        <w:shd w:val="clear" w:color="auto" w:fill="4E67C8" w:themeFill="accent1"/>
      </w:tcPr>
    </w:tblStylePr>
    <w:tblStylePr w:type="lastRow">
      <w:rPr>
        <w:b/>
        <w:bCs/>
      </w:rPr>
      <w:tblPr/>
      <w:tcPr>
        <w:tcBorders>
          <w:top w:val="double" w:sz="4" w:space="0" w:color="4E67C8" w:themeColor="accent1"/>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table" w:customStyle="1" w:styleId="-61">
    <w:name w:val="Таблица-сетка 6 цветная1"/>
    <w:basedOn w:val="a2"/>
    <w:uiPriority w:val="51"/>
    <w:rsid w:val="00F811F4"/>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2"/>
    <w:uiPriority w:val="51"/>
    <w:rsid w:val="00F811F4"/>
    <w:pPr>
      <w:spacing w:after="0" w:line="240" w:lineRule="auto"/>
    </w:pPr>
    <w:rPr>
      <w:rFonts w:ascii="Calibri" w:eastAsia="Calibri" w:hAnsi="Calibri" w:cs="Times New Roman"/>
      <w:color w:val="31479E" w:themeColor="accent1" w:themeShade="BF"/>
      <w:sz w:val="20"/>
      <w:szCs w:val="20"/>
    </w:r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rPr>
      <w:tblPr/>
      <w:tcPr>
        <w:tcBorders>
          <w:bottom w:val="single" w:sz="12" w:space="0" w:color="94A3DE" w:themeColor="accent1" w:themeTint="99"/>
        </w:tcBorders>
      </w:tcPr>
    </w:tblStylePr>
    <w:tblStylePr w:type="lastRow">
      <w:rPr>
        <w:b/>
        <w:bCs/>
      </w:rPr>
      <w:tblPr/>
      <w:tcPr>
        <w:tcBorders>
          <w:top w:val="double" w:sz="4" w:space="0" w:color="94A3DE" w:themeColor="accent1" w:themeTint="99"/>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character" w:customStyle="1" w:styleId="pt-a0">
    <w:name w:val="pt-a0"/>
    <w:basedOn w:val="a1"/>
    <w:rsid w:val="00F811F4"/>
    <w:rPr>
      <w:rFonts w:ascii="Times New Roman" w:hAnsi="Times New Roman" w:cs="Times New Roman" w:hint="default"/>
      <w:b w:val="0"/>
      <w:bCs w:val="0"/>
      <w:i w:val="0"/>
      <w:iCs w:val="0"/>
      <w:sz w:val="28"/>
      <w:szCs w:val="28"/>
    </w:rPr>
  </w:style>
  <w:style w:type="paragraph" w:styleId="31">
    <w:name w:val="toc 3"/>
    <w:basedOn w:val="a0"/>
    <w:next w:val="a0"/>
    <w:autoRedefine/>
    <w:uiPriority w:val="39"/>
    <w:unhideWhenUsed/>
    <w:rsid w:val="00F811F4"/>
    <w:pPr>
      <w:spacing w:after="100"/>
      <w:ind w:left="440"/>
    </w:pPr>
  </w:style>
  <w:style w:type="paragraph" w:customStyle="1" w:styleId="1">
    <w:name w:val="Абзац списка 1"/>
    <w:basedOn w:val="a0"/>
    <w:link w:val="13"/>
    <w:uiPriority w:val="1"/>
    <w:qFormat/>
    <w:rsid w:val="00F811F4"/>
    <w:pPr>
      <w:numPr>
        <w:numId w:val="6"/>
      </w:numPr>
      <w:spacing w:before="120" w:after="120"/>
      <w:ind w:left="0" w:firstLine="0"/>
      <w:contextualSpacing/>
    </w:pPr>
  </w:style>
  <w:style w:type="character" w:customStyle="1" w:styleId="13">
    <w:name w:val="Абзац списка 1 Знак"/>
    <w:basedOn w:val="aa"/>
    <w:link w:val="1"/>
    <w:uiPriority w:val="1"/>
    <w:rsid w:val="00F811F4"/>
    <w:rPr>
      <w:rFonts w:ascii="Times New Roman" w:eastAsia="Times New Roman" w:hAnsi="Times New Roman" w:cs="Times New Roman"/>
      <w:color w:val="000000" w:themeColor="text1"/>
      <w:sz w:val="28"/>
      <w:szCs w:val="28"/>
    </w:rPr>
  </w:style>
  <w:style w:type="paragraph" w:customStyle="1" w:styleId="2">
    <w:name w:val="Абзац списка 2"/>
    <w:basedOn w:val="a0"/>
    <w:link w:val="23"/>
    <w:uiPriority w:val="1"/>
    <w:qFormat/>
    <w:rsid w:val="00F811F4"/>
    <w:pPr>
      <w:numPr>
        <w:ilvl w:val="1"/>
        <w:numId w:val="4"/>
      </w:numPr>
      <w:contextualSpacing/>
    </w:pPr>
  </w:style>
  <w:style w:type="character" w:customStyle="1" w:styleId="23">
    <w:name w:val="Абзац списка 2 Знак"/>
    <w:basedOn w:val="aa"/>
    <w:link w:val="2"/>
    <w:uiPriority w:val="1"/>
    <w:rsid w:val="00F811F4"/>
    <w:rPr>
      <w:rFonts w:ascii="Times New Roman" w:eastAsia="Times New Roman" w:hAnsi="Times New Roman" w:cs="Times New Roman"/>
      <w:color w:val="000000" w:themeColor="text1"/>
      <w:sz w:val="28"/>
      <w:szCs w:val="28"/>
    </w:rPr>
  </w:style>
  <w:style w:type="paragraph" w:customStyle="1" w:styleId="14">
    <w:name w:val="Стиль1"/>
    <w:basedOn w:val="10"/>
    <w:link w:val="15"/>
    <w:uiPriority w:val="1"/>
    <w:qFormat/>
    <w:rsid w:val="00F811F4"/>
    <w:rPr>
      <w:color w:val="D75C00" w:themeColor="accent5" w:themeShade="BF"/>
    </w:rPr>
  </w:style>
  <w:style w:type="character" w:customStyle="1" w:styleId="15">
    <w:name w:val="Стиль1 Знак"/>
    <w:basedOn w:val="11"/>
    <w:link w:val="14"/>
    <w:uiPriority w:val="1"/>
    <w:rsid w:val="00F811F4"/>
    <w:rPr>
      <w:rFonts w:ascii="Times New Roman" w:eastAsia="Times New Roman" w:hAnsi="Times New Roman" w:cs="Times New Roman"/>
      <w:b/>
      <w:bCs/>
      <w:color w:val="D75C00" w:themeColor="accent5" w:themeShade="BF"/>
      <w:sz w:val="32"/>
      <w:szCs w:val="32"/>
    </w:rPr>
  </w:style>
  <w:style w:type="paragraph" w:customStyle="1" w:styleId="24">
    <w:name w:val="Стиль2"/>
    <w:basedOn w:val="14"/>
    <w:link w:val="25"/>
    <w:uiPriority w:val="1"/>
    <w:qFormat/>
    <w:rsid w:val="00F811F4"/>
    <w:pPr>
      <w:ind w:left="1284"/>
      <w:jc w:val="center"/>
    </w:pPr>
  </w:style>
  <w:style w:type="character" w:customStyle="1" w:styleId="25">
    <w:name w:val="Стиль2 Знак"/>
    <w:basedOn w:val="15"/>
    <w:link w:val="24"/>
    <w:uiPriority w:val="1"/>
    <w:rsid w:val="00F811F4"/>
    <w:rPr>
      <w:rFonts w:ascii="Times New Roman" w:eastAsia="Times New Roman" w:hAnsi="Times New Roman" w:cs="Times New Roman"/>
      <w:b/>
      <w:bCs/>
      <w:color w:val="D75C00" w:themeColor="accent5" w:themeShade="BF"/>
      <w:sz w:val="32"/>
      <w:szCs w:val="32"/>
    </w:rPr>
  </w:style>
  <w:style w:type="paragraph" w:styleId="41">
    <w:name w:val="toc 4"/>
    <w:basedOn w:val="a0"/>
    <w:next w:val="a0"/>
    <w:autoRedefine/>
    <w:uiPriority w:val="39"/>
    <w:unhideWhenUsed/>
    <w:rsid w:val="004B13FE"/>
    <w:pPr>
      <w:widowControl/>
      <w:spacing w:after="100" w:line="259" w:lineRule="auto"/>
      <w:ind w:left="660" w:firstLine="0"/>
      <w:jc w:val="left"/>
    </w:pPr>
    <w:rPr>
      <w:rFonts w:asciiTheme="minorHAnsi" w:eastAsiaTheme="minorEastAsia" w:hAnsiTheme="minorHAnsi" w:cstheme="minorBidi"/>
      <w:color w:val="auto"/>
      <w:sz w:val="22"/>
      <w:szCs w:val="22"/>
      <w:lang w:eastAsia="ru-RU"/>
    </w:rPr>
  </w:style>
  <w:style w:type="paragraph" w:styleId="5">
    <w:name w:val="toc 5"/>
    <w:basedOn w:val="a0"/>
    <w:next w:val="a0"/>
    <w:autoRedefine/>
    <w:uiPriority w:val="39"/>
    <w:unhideWhenUsed/>
    <w:rsid w:val="004B13FE"/>
    <w:pPr>
      <w:widowControl/>
      <w:spacing w:after="100" w:line="259" w:lineRule="auto"/>
      <w:ind w:left="880" w:firstLine="0"/>
      <w:jc w:val="left"/>
    </w:pPr>
    <w:rPr>
      <w:rFonts w:asciiTheme="minorHAnsi" w:eastAsiaTheme="minorEastAsia" w:hAnsiTheme="minorHAnsi" w:cstheme="minorBidi"/>
      <w:color w:val="auto"/>
      <w:sz w:val="22"/>
      <w:szCs w:val="22"/>
      <w:lang w:eastAsia="ru-RU"/>
    </w:rPr>
  </w:style>
  <w:style w:type="paragraph" w:styleId="6">
    <w:name w:val="toc 6"/>
    <w:basedOn w:val="a0"/>
    <w:next w:val="a0"/>
    <w:autoRedefine/>
    <w:uiPriority w:val="39"/>
    <w:unhideWhenUsed/>
    <w:rsid w:val="004B13FE"/>
    <w:pPr>
      <w:widowControl/>
      <w:spacing w:after="100" w:line="259" w:lineRule="auto"/>
      <w:ind w:left="1100" w:firstLine="0"/>
      <w:jc w:val="left"/>
    </w:pPr>
    <w:rPr>
      <w:rFonts w:asciiTheme="minorHAnsi" w:eastAsiaTheme="minorEastAsia" w:hAnsiTheme="minorHAnsi" w:cstheme="minorBidi"/>
      <w:color w:val="auto"/>
      <w:sz w:val="22"/>
      <w:szCs w:val="22"/>
      <w:lang w:eastAsia="ru-RU"/>
    </w:rPr>
  </w:style>
  <w:style w:type="paragraph" w:styleId="7">
    <w:name w:val="toc 7"/>
    <w:basedOn w:val="a0"/>
    <w:next w:val="a0"/>
    <w:autoRedefine/>
    <w:uiPriority w:val="39"/>
    <w:unhideWhenUsed/>
    <w:rsid w:val="004B13FE"/>
    <w:pPr>
      <w:widowControl/>
      <w:spacing w:after="100" w:line="259" w:lineRule="auto"/>
      <w:ind w:left="1320" w:firstLine="0"/>
      <w:jc w:val="left"/>
    </w:pPr>
    <w:rPr>
      <w:rFonts w:asciiTheme="minorHAnsi" w:eastAsiaTheme="minorEastAsia" w:hAnsiTheme="minorHAnsi" w:cstheme="minorBidi"/>
      <w:color w:val="auto"/>
      <w:sz w:val="22"/>
      <w:szCs w:val="22"/>
      <w:lang w:eastAsia="ru-RU"/>
    </w:rPr>
  </w:style>
  <w:style w:type="paragraph" w:styleId="8">
    <w:name w:val="toc 8"/>
    <w:basedOn w:val="a0"/>
    <w:next w:val="a0"/>
    <w:autoRedefine/>
    <w:uiPriority w:val="39"/>
    <w:unhideWhenUsed/>
    <w:rsid w:val="004B13FE"/>
    <w:pPr>
      <w:widowControl/>
      <w:spacing w:after="100" w:line="259" w:lineRule="auto"/>
      <w:ind w:left="1540" w:firstLine="0"/>
      <w:jc w:val="left"/>
    </w:pPr>
    <w:rPr>
      <w:rFonts w:asciiTheme="minorHAnsi" w:eastAsiaTheme="minorEastAsia" w:hAnsiTheme="minorHAnsi" w:cstheme="minorBidi"/>
      <w:color w:val="auto"/>
      <w:sz w:val="22"/>
      <w:szCs w:val="22"/>
      <w:lang w:eastAsia="ru-RU"/>
    </w:rPr>
  </w:style>
  <w:style w:type="paragraph" w:styleId="9">
    <w:name w:val="toc 9"/>
    <w:basedOn w:val="a0"/>
    <w:next w:val="a0"/>
    <w:autoRedefine/>
    <w:uiPriority w:val="39"/>
    <w:unhideWhenUsed/>
    <w:rsid w:val="004B13FE"/>
    <w:pPr>
      <w:widowControl/>
      <w:spacing w:after="100" w:line="259" w:lineRule="auto"/>
      <w:ind w:left="1760" w:firstLine="0"/>
      <w:jc w:val="left"/>
    </w:pPr>
    <w:rPr>
      <w:rFonts w:asciiTheme="minorHAnsi" w:eastAsiaTheme="minorEastAsia" w:hAnsiTheme="minorHAnsi" w:cstheme="minorBidi"/>
      <w:color w:val="auto"/>
      <w:sz w:val="22"/>
      <w:szCs w:val="22"/>
      <w:lang w:eastAsia="ru-RU"/>
    </w:rPr>
  </w:style>
  <w:style w:type="paragraph" w:styleId="af8">
    <w:name w:val="Document Map"/>
    <w:basedOn w:val="a0"/>
    <w:link w:val="af9"/>
    <w:semiHidden/>
    <w:rsid w:val="00795B40"/>
    <w:pPr>
      <w:widowControl/>
      <w:shd w:val="clear" w:color="auto" w:fill="000080"/>
      <w:ind w:firstLine="0"/>
      <w:jc w:val="left"/>
    </w:pPr>
    <w:rPr>
      <w:rFonts w:ascii="Tahoma" w:hAnsi="Tahoma" w:cs="Tahoma"/>
      <w:color w:val="auto"/>
      <w:sz w:val="20"/>
      <w:szCs w:val="20"/>
      <w:lang w:eastAsia="ru-RU"/>
    </w:rPr>
  </w:style>
  <w:style w:type="character" w:customStyle="1" w:styleId="af9">
    <w:name w:val="Схема документа Знак"/>
    <w:basedOn w:val="a1"/>
    <w:link w:val="af8"/>
    <w:semiHidden/>
    <w:rsid w:val="00795B40"/>
    <w:rPr>
      <w:rFonts w:ascii="Tahoma" w:eastAsia="Times New Roman" w:hAnsi="Tahoma" w:cs="Tahoma"/>
      <w:sz w:val="20"/>
      <w:szCs w:val="20"/>
      <w:shd w:val="clear" w:color="auto" w:fill="000080"/>
      <w:lang w:eastAsia="ru-RU"/>
    </w:rPr>
  </w:style>
  <w:style w:type="table" w:customStyle="1" w:styleId="-161">
    <w:name w:val="Таблица-сетка 1 светлая — акцент 61"/>
    <w:basedOn w:val="a2"/>
    <w:uiPriority w:val="46"/>
    <w:rsid w:val="00BA400E"/>
    <w:pPr>
      <w:spacing w:after="0" w:line="240" w:lineRule="auto"/>
    </w:pPr>
    <w:tblPr>
      <w:tblStyleRowBandSize w:val="1"/>
      <w:tblStyleColBandSize w:val="1"/>
      <w:tblBorders>
        <w:top w:val="single" w:sz="4" w:space="0" w:color="F9B2A7" w:themeColor="accent6" w:themeTint="66"/>
        <w:left w:val="single" w:sz="4" w:space="0" w:color="F9B2A7" w:themeColor="accent6" w:themeTint="66"/>
        <w:bottom w:val="single" w:sz="4" w:space="0" w:color="F9B2A7" w:themeColor="accent6" w:themeTint="66"/>
        <w:right w:val="single" w:sz="4" w:space="0" w:color="F9B2A7" w:themeColor="accent6" w:themeTint="66"/>
        <w:insideH w:val="single" w:sz="4" w:space="0" w:color="F9B2A7" w:themeColor="accent6" w:themeTint="66"/>
        <w:insideV w:val="single" w:sz="4" w:space="0" w:color="F9B2A7" w:themeColor="accent6" w:themeTint="66"/>
      </w:tblBorders>
    </w:tblPr>
    <w:tblStylePr w:type="firstRow">
      <w:rPr>
        <w:b/>
        <w:bCs/>
      </w:rPr>
      <w:tblPr/>
      <w:tcPr>
        <w:tcBorders>
          <w:bottom w:val="single" w:sz="12" w:space="0" w:color="F68C7B" w:themeColor="accent6" w:themeTint="99"/>
        </w:tcBorders>
      </w:tcPr>
    </w:tblStylePr>
    <w:tblStylePr w:type="lastRow">
      <w:rPr>
        <w:b/>
        <w:bCs/>
      </w:rPr>
      <w:tblPr/>
      <w:tcPr>
        <w:tcBorders>
          <w:top w:val="double" w:sz="2" w:space="0" w:color="F68C7B" w:themeColor="accent6" w:themeTint="99"/>
        </w:tcBorders>
      </w:tcPr>
    </w:tblStylePr>
    <w:tblStylePr w:type="firstCol">
      <w:rPr>
        <w:b/>
        <w:bCs/>
      </w:rPr>
    </w:tblStylePr>
    <w:tblStylePr w:type="lastCol">
      <w:rPr>
        <w:b/>
        <w:bCs/>
      </w:rPr>
    </w:tblStylePr>
  </w:style>
  <w:style w:type="table" w:customStyle="1" w:styleId="-261">
    <w:name w:val="Таблица-сетка 2 — акцент 61"/>
    <w:basedOn w:val="a2"/>
    <w:uiPriority w:val="47"/>
    <w:rsid w:val="00DB3153"/>
    <w:pPr>
      <w:spacing w:after="0" w:line="240" w:lineRule="auto"/>
    </w:pPr>
    <w:tblPr>
      <w:tblStyleRowBandSize w:val="1"/>
      <w:tblStyleColBandSize w:val="1"/>
      <w:tblBorders>
        <w:top w:val="single" w:sz="2" w:space="0" w:color="F68C7B" w:themeColor="accent6" w:themeTint="99"/>
        <w:bottom w:val="single" w:sz="2" w:space="0" w:color="F68C7B" w:themeColor="accent6" w:themeTint="99"/>
        <w:insideH w:val="single" w:sz="2" w:space="0" w:color="F68C7B" w:themeColor="accent6" w:themeTint="99"/>
        <w:insideV w:val="single" w:sz="2" w:space="0" w:color="F68C7B" w:themeColor="accent6" w:themeTint="99"/>
      </w:tblBorders>
    </w:tblPr>
    <w:tblStylePr w:type="firstRow">
      <w:rPr>
        <w:b/>
        <w:bCs/>
      </w:rPr>
      <w:tblPr/>
      <w:tcPr>
        <w:tcBorders>
          <w:top w:val="nil"/>
          <w:bottom w:val="single" w:sz="12" w:space="0" w:color="F68C7B" w:themeColor="accent6" w:themeTint="99"/>
          <w:insideH w:val="nil"/>
          <w:insideV w:val="nil"/>
        </w:tcBorders>
        <w:shd w:val="clear" w:color="auto" w:fill="FFFFFF" w:themeFill="background1"/>
      </w:tcPr>
    </w:tblStylePr>
    <w:tblStylePr w:type="lastRow">
      <w:rPr>
        <w:b/>
        <w:bCs/>
      </w:rPr>
      <w:tblPr/>
      <w:tcPr>
        <w:tcBorders>
          <w:top w:val="double" w:sz="2" w:space="0" w:color="F68C7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8D3" w:themeFill="accent6" w:themeFillTint="33"/>
      </w:tcPr>
    </w:tblStylePr>
    <w:tblStylePr w:type="band1Horz">
      <w:tblPr/>
      <w:tcPr>
        <w:shd w:val="clear" w:color="auto" w:fill="FCD8D3" w:themeFill="accent6" w:themeFillTint="33"/>
      </w:tcPr>
    </w:tblStylePr>
  </w:style>
  <w:style w:type="character" w:customStyle="1" w:styleId="ListLabel25">
    <w:name w:val="ListLabel 25"/>
    <w:qFormat/>
    <w:rsid w:val="002724E6"/>
    <w:rPr>
      <w:rFonts w:cs="Courier New"/>
    </w:rPr>
  </w:style>
  <w:style w:type="paragraph" w:customStyle="1" w:styleId="Default">
    <w:name w:val="Default"/>
    <w:rsid w:val="00DB0B8B"/>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Strong"/>
    <w:basedOn w:val="a1"/>
    <w:uiPriority w:val="22"/>
    <w:qFormat/>
    <w:rsid w:val="004F6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08">
      <w:bodyDiv w:val="1"/>
      <w:marLeft w:val="0"/>
      <w:marRight w:val="0"/>
      <w:marTop w:val="0"/>
      <w:marBottom w:val="0"/>
      <w:divBdr>
        <w:top w:val="none" w:sz="0" w:space="0" w:color="auto"/>
        <w:left w:val="none" w:sz="0" w:space="0" w:color="auto"/>
        <w:bottom w:val="none" w:sz="0" w:space="0" w:color="auto"/>
        <w:right w:val="none" w:sz="0" w:space="0" w:color="auto"/>
      </w:divBdr>
    </w:div>
    <w:div w:id="21632956">
      <w:bodyDiv w:val="1"/>
      <w:marLeft w:val="0"/>
      <w:marRight w:val="0"/>
      <w:marTop w:val="0"/>
      <w:marBottom w:val="0"/>
      <w:divBdr>
        <w:top w:val="none" w:sz="0" w:space="0" w:color="auto"/>
        <w:left w:val="none" w:sz="0" w:space="0" w:color="auto"/>
        <w:bottom w:val="none" w:sz="0" w:space="0" w:color="auto"/>
        <w:right w:val="none" w:sz="0" w:space="0" w:color="auto"/>
      </w:divBdr>
    </w:div>
    <w:div w:id="44376243">
      <w:bodyDiv w:val="1"/>
      <w:marLeft w:val="0"/>
      <w:marRight w:val="0"/>
      <w:marTop w:val="0"/>
      <w:marBottom w:val="0"/>
      <w:divBdr>
        <w:top w:val="none" w:sz="0" w:space="0" w:color="auto"/>
        <w:left w:val="none" w:sz="0" w:space="0" w:color="auto"/>
        <w:bottom w:val="none" w:sz="0" w:space="0" w:color="auto"/>
        <w:right w:val="none" w:sz="0" w:space="0" w:color="auto"/>
      </w:divBdr>
    </w:div>
    <w:div w:id="82575368">
      <w:bodyDiv w:val="1"/>
      <w:marLeft w:val="0"/>
      <w:marRight w:val="0"/>
      <w:marTop w:val="0"/>
      <w:marBottom w:val="0"/>
      <w:divBdr>
        <w:top w:val="none" w:sz="0" w:space="0" w:color="auto"/>
        <w:left w:val="none" w:sz="0" w:space="0" w:color="auto"/>
        <w:bottom w:val="none" w:sz="0" w:space="0" w:color="auto"/>
        <w:right w:val="none" w:sz="0" w:space="0" w:color="auto"/>
      </w:divBdr>
    </w:div>
    <w:div w:id="117451335">
      <w:bodyDiv w:val="1"/>
      <w:marLeft w:val="0"/>
      <w:marRight w:val="0"/>
      <w:marTop w:val="0"/>
      <w:marBottom w:val="0"/>
      <w:divBdr>
        <w:top w:val="none" w:sz="0" w:space="0" w:color="auto"/>
        <w:left w:val="none" w:sz="0" w:space="0" w:color="auto"/>
        <w:bottom w:val="none" w:sz="0" w:space="0" w:color="auto"/>
        <w:right w:val="none" w:sz="0" w:space="0" w:color="auto"/>
      </w:divBdr>
    </w:div>
    <w:div w:id="127552676">
      <w:bodyDiv w:val="1"/>
      <w:marLeft w:val="0"/>
      <w:marRight w:val="0"/>
      <w:marTop w:val="0"/>
      <w:marBottom w:val="0"/>
      <w:divBdr>
        <w:top w:val="none" w:sz="0" w:space="0" w:color="auto"/>
        <w:left w:val="none" w:sz="0" w:space="0" w:color="auto"/>
        <w:bottom w:val="none" w:sz="0" w:space="0" w:color="auto"/>
        <w:right w:val="none" w:sz="0" w:space="0" w:color="auto"/>
      </w:divBdr>
    </w:div>
    <w:div w:id="147139000">
      <w:bodyDiv w:val="1"/>
      <w:marLeft w:val="0"/>
      <w:marRight w:val="0"/>
      <w:marTop w:val="0"/>
      <w:marBottom w:val="0"/>
      <w:divBdr>
        <w:top w:val="none" w:sz="0" w:space="0" w:color="auto"/>
        <w:left w:val="none" w:sz="0" w:space="0" w:color="auto"/>
        <w:bottom w:val="none" w:sz="0" w:space="0" w:color="auto"/>
        <w:right w:val="none" w:sz="0" w:space="0" w:color="auto"/>
      </w:divBdr>
    </w:div>
    <w:div w:id="148786114">
      <w:bodyDiv w:val="1"/>
      <w:marLeft w:val="0"/>
      <w:marRight w:val="0"/>
      <w:marTop w:val="0"/>
      <w:marBottom w:val="0"/>
      <w:divBdr>
        <w:top w:val="none" w:sz="0" w:space="0" w:color="auto"/>
        <w:left w:val="none" w:sz="0" w:space="0" w:color="auto"/>
        <w:bottom w:val="none" w:sz="0" w:space="0" w:color="auto"/>
        <w:right w:val="none" w:sz="0" w:space="0" w:color="auto"/>
      </w:divBdr>
    </w:div>
    <w:div w:id="152454115">
      <w:bodyDiv w:val="1"/>
      <w:marLeft w:val="0"/>
      <w:marRight w:val="0"/>
      <w:marTop w:val="0"/>
      <w:marBottom w:val="0"/>
      <w:divBdr>
        <w:top w:val="none" w:sz="0" w:space="0" w:color="auto"/>
        <w:left w:val="none" w:sz="0" w:space="0" w:color="auto"/>
        <w:bottom w:val="none" w:sz="0" w:space="0" w:color="auto"/>
        <w:right w:val="none" w:sz="0" w:space="0" w:color="auto"/>
      </w:divBdr>
    </w:div>
    <w:div w:id="170804088">
      <w:bodyDiv w:val="1"/>
      <w:marLeft w:val="0"/>
      <w:marRight w:val="0"/>
      <w:marTop w:val="0"/>
      <w:marBottom w:val="0"/>
      <w:divBdr>
        <w:top w:val="none" w:sz="0" w:space="0" w:color="auto"/>
        <w:left w:val="none" w:sz="0" w:space="0" w:color="auto"/>
        <w:bottom w:val="none" w:sz="0" w:space="0" w:color="auto"/>
        <w:right w:val="none" w:sz="0" w:space="0" w:color="auto"/>
      </w:divBdr>
    </w:div>
    <w:div w:id="192378148">
      <w:bodyDiv w:val="1"/>
      <w:marLeft w:val="0"/>
      <w:marRight w:val="0"/>
      <w:marTop w:val="0"/>
      <w:marBottom w:val="0"/>
      <w:divBdr>
        <w:top w:val="none" w:sz="0" w:space="0" w:color="auto"/>
        <w:left w:val="none" w:sz="0" w:space="0" w:color="auto"/>
        <w:bottom w:val="none" w:sz="0" w:space="0" w:color="auto"/>
        <w:right w:val="none" w:sz="0" w:space="0" w:color="auto"/>
      </w:divBdr>
    </w:div>
    <w:div w:id="212355827">
      <w:bodyDiv w:val="1"/>
      <w:marLeft w:val="0"/>
      <w:marRight w:val="0"/>
      <w:marTop w:val="0"/>
      <w:marBottom w:val="0"/>
      <w:divBdr>
        <w:top w:val="none" w:sz="0" w:space="0" w:color="auto"/>
        <w:left w:val="none" w:sz="0" w:space="0" w:color="auto"/>
        <w:bottom w:val="none" w:sz="0" w:space="0" w:color="auto"/>
        <w:right w:val="none" w:sz="0" w:space="0" w:color="auto"/>
      </w:divBdr>
    </w:div>
    <w:div w:id="228855939">
      <w:bodyDiv w:val="1"/>
      <w:marLeft w:val="0"/>
      <w:marRight w:val="0"/>
      <w:marTop w:val="0"/>
      <w:marBottom w:val="0"/>
      <w:divBdr>
        <w:top w:val="none" w:sz="0" w:space="0" w:color="auto"/>
        <w:left w:val="none" w:sz="0" w:space="0" w:color="auto"/>
        <w:bottom w:val="none" w:sz="0" w:space="0" w:color="auto"/>
        <w:right w:val="none" w:sz="0" w:space="0" w:color="auto"/>
      </w:divBdr>
    </w:div>
    <w:div w:id="273102416">
      <w:bodyDiv w:val="1"/>
      <w:marLeft w:val="0"/>
      <w:marRight w:val="0"/>
      <w:marTop w:val="0"/>
      <w:marBottom w:val="0"/>
      <w:divBdr>
        <w:top w:val="none" w:sz="0" w:space="0" w:color="auto"/>
        <w:left w:val="none" w:sz="0" w:space="0" w:color="auto"/>
        <w:bottom w:val="none" w:sz="0" w:space="0" w:color="auto"/>
        <w:right w:val="none" w:sz="0" w:space="0" w:color="auto"/>
      </w:divBdr>
    </w:div>
    <w:div w:id="299459932">
      <w:bodyDiv w:val="1"/>
      <w:marLeft w:val="0"/>
      <w:marRight w:val="0"/>
      <w:marTop w:val="0"/>
      <w:marBottom w:val="0"/>
      <w:divBdr>
        <w:top w:val="none" w:sz="0" w:space="0" w:color="auto"/>
        <w:left w:val="none" w:sz="0" w:space="0" w:color="auto"/>
        <w:bottom w:val="none" w:sz="0" w:space="0" w:color="auto"/>
        <w:right w:val="none" w:sz="0" w:space="0" w:color="auto"/>
      </w:divBdr>
    </w:div>
    <w:div w:id="338653598">
      <w:bodyDiv w:val="1"/>
      <w:marLeft w:val="0"/>
      <w:marRight w:val="0"/>
      <w:marTop w:val="0"/>
      <w:marBottom w:val="0"/>
      <w:divBdr>
        <w:top w:val="none" w:sz="0" w:space="0" w:color="auto"/>
        <w:left w:val="none" w:sz="0" w:space="0" w:color="auto"/>
        <w:bottom w:val="none" w:sz="0" w:space="0" w:color="auto"/>
        <w:right w:val="none" w:sz="0" w:space="0" w:color="auto"/>
      </w:divBdr>
    </w:div>
    <w:div w:id="395710871">
      <w:bodyDiv w:val="1"/>
      <w:marLeft w:val="0"/>
      <w:marRight w:val="0"/>
      <w:marTop w:val="0"/>
      <w:marBottom w:val="0"/>
      <w:divBdr>
        <w:top w:val="none" w:sz="0" w:space="0" w:color="auto"/>
        <w:left w:val="none" w:sz="0" w:space="0" w:color="auto"/>
        <w:bottom w:val="none" w:sz="0" w:space="0" w:color="auto"/>
        <w:right w:val="none" w:sz="0" w:space="0" w:color="auto"/>
      </w:divBdr>
    </w:div>
    <w:div w:id="481966222">
      <w:bodyDiv w:val="1"/>
      <w:marLeft w:val="0"/>
      <w:marRight w:val="0"/>
      <w:marTop w:val="0"/>
      <w:marBottom w:val="0"/>
      <w:divBdr>
        <w:top w:val="none" w:sz="0" w:space="0" w:color="auto"/>
        <w:left w:val="none" w:sz="0" w:space="0" w:color="auto"/>
        <w:bottom w:val="none" w:sz="0" w:space="0" w:color="auto"/>
        <w:right w:val="none" w:sz="0" w:space="0" w:color="auto"/>
      </w:divBdr>
    </w:div>
    <w:div w:id="515730354">
      <w:bodyDiv w:val="1"/>
      <w:marLeft w:val="0"/>
      <w:marRight w:val="0"/>
      <w:marTop w:val="0"/>
      <w:marBottom w:val="0"/>
      <w:divBdr>
        <w:top w:val="none" w:sz="0" w:space="0" w:color="auto"/>
        <w:left w:val="none" w:sz="0" w:space="0" w:color="auto"/>
        <w:bottom w:val="none" w:sz="0" w:space="0" w:color="auto"/>
        <w:right w:val="none" w:sz="0" w:space="0" w:color="auto"/>
      </w:divBdr>
    </w:div>
    <w:div w:id="558173714">
      <w:bodyDiv w:val="1"/>
      <w:marLeft w:val="0"/>
      <w:marRight w:val="0"/>
      <w:marTop w:val="0"/>
      <w:marBottom w:val="0"/>
      <w:divBdr>
        <w:top w:val="none" w:sz="0" w:space="0" w:color="auto"/>
        <w:left w:val="none" w:sz="0" w:space="0" w:color="auto"/>
        <w:bottom w:val="none" w:sz="0" w:space="0" w:color="auto"/>
        <w:right w:val="none" w:sz="0" w:space="0" w:color="auto"/>
      </w:divBdr>
    </w:div>
    <w:div w:id="574322612">
      <w:bodyDiv w:val="1"/>
      <w:marLeft w:val="0"/>
      <w:marRight w:val="0"/>
      <w:marTop w:val="0"/>
      <w:marBottom w:val="0"/>
      <w:divBdr>
        <w:top w:val="none" w:sz="0" w:space="0" w:color="auto"/>
        <w:left w:val="none" w:sz="0" w:space="0" w:color="auto"/>
        <w:bottom w:val="none" w:sz="0" w:space="0" w:color="auto"/>
        <w:right w:val="none" w:sz="0" w:space="0" w:color="auto"/>
      </w:divBdr>
    </w:div>
    <w:div w:id="578295855">
      <w:bodyDiv w:val="1"/>
      <w:marLeft w:val="0"/>
      <w:marRight w:val="0"/>
      <w:marTop w:val="0"/>
      <w:marBottom w:val="0"/>
      <w:divBdr>
        <w:top w:val="none" w:sz="0" w:space="0" w:color="auto"/>
        <w:left w:val="none" w:sz="0" w:space="0" w:color="auto"/>
        <w:bottom w:val="none" w:sz="0" w:space="0" w:color="auto"/>
        <w:right w:val="none" w:sz="0" w:space="0" w:color="auto"/>
      </w:divBdr>
    </w:div>
    <w:div w:id="669331101">
      <w:bodyDiv w:val="1"/>
      <w:marLeft w:val="0"/>
      <w:marRight w:val="0"/>
      <w:marTop w:val="0"/>
      <w:marBottom w:val="0"/>
      <w:divBdr>
        <w:top w:val="none" w:sz="0" w:space="0" w:color="auto"/>
        <w:left w:val="none" w:sz="0" w:space="0" w:color="auto"/>
        <w:bottom w:val="none" w:sz="0" w:space="0" w:color="auto"/>
        <w:right w:val="none" w:sz="0" w:space="0" w:color="auto"/>
      </w:divBdr>
    </w:div>
    <w:div w:id="731776628">
      <w:bodyDiv w:val="1"/>
      <w:marLeft w:val="0"/>
      <w:marRight w:val="0"/>
      <w:marTop w:val="0"/>
      <w:marBottom w:val="0"/>
      <w:divBdr>
        <w:top w:val="none" w:sz="0" w:space="0" w:color="auto"/>
        <w:left w:val="none" w:sz="0" w:space="0" w:color="auto"/>
        <w:bottom w:val="none" w:sz="0" w:space="0" w:color="auto"/>
        <w:right w:val="none" w:sz="0" w:space="0" w:color="auto"/>
      </w:divBdr>
    </w:div>
    <w:div w:id="751589039">
      <w:bodyDiv w:val="1"/>
      <w:marLeft w:val="0"/>
      <w:marRight w:val="0"/>
      <w:marTop w:val="0"/>
      <w:marBottom w:val="0"/>
      <w:divBdr>
        <w:top w:val="none" w:sz="0" w:space="0" w:color="auto"/>
        <w:left w:val="none" w:sz="0" w:space="0" w:color="auto"/>
        <w:bottom w:val="none" w:sz="0" w:space="0" w:color="auto"/>
        <w:right w:val="none" w:sz="0" w:space="0" w:color="auto"/>
      </w:divBdr>
    </w:div>
    <w:div w:id="752777965">
      <w:bodyDiv w:val="1"/>
      <w:marLeft w:val="0"/>
      <w:marRight w:val="0"/>
      <w:marTop w:val="0"/>
      <w:marBottom w:val="0"/>
      <w:divBdr>
        <w:top w:val="none" w:sz="0" w:space="0" w:color="auto"/>
        <w:left w:val="none" w:sz="0" w:space="0" w:color="auto"/>
        <w:bottom w:val="none" w:sz="0" w:space="0" w:color="auto"/>
        <w:right w:val="none" w:sz="0" w:space="0" w:color="auto"/>
      </w:divBdr>
    </w:div>
    <w:div w:id="777483417">
      <w:bodyDiv w:val="1"/>
      <w:marLeft w:val="0"/>
      <w:marRight w:val="0"/>
      <w:marTop w:val="0"/>
      <w:marBottom w:val="0"/>
      <w:divBdr>
        <w:top w:val="none" w:sz="0" w:space="0" w:color="auto"/>
        <w:left w:val="none" w:sz="0" w:space="0" w:color="auto"/>
        <w:bottom w:val="none" w:sz="0" w:space="0" w:color="auto"/>
        <w:right w:val="none" w:sz="0" w:space="0" w:color="auto"/>
      </w:divBdr>
    </w:div>
    <w:div w:id="802698677">
      <w:bodyDiv w:val="1"/>
      <w:marLeft w:val="0"/>
      <w:marRight w:val="0"/>
      <w:marTop w:val="0"/>
      <w:marBottom w:val="0"/>
      <w:divBdr>
        <w:top w:val="none" w:sz="0" w:space="0" w:color="auto"/>
        <w:left w:val="none" w:sz="0" w:space="0" w:color="auto"/>
        <w:bottom w:val="none" w:sz="0" w:space="0" w:color="auto"/>
        <w:right w:val="none" w:sz="0" w:space="0" w:color="auto"/>
      </w:divBdr>
    </w:div>
    <w:div w:id="809055985">
      <w:bodyDiv w:val="1"/>
      <w:marLeft w:val="0"/>
      <w:marRight w:val="0"/>
      <w:marTop w:val="0"/>
      <w:marBottom w:val="0"/>
      <w:divBdr>
        <w:top w:val="none" w:sz="0" w:space="0" w:color="auto"/>
        <w:left w:val="none" w:sz="0" w:space="0" w:color="auto"/>
        <w:bottom w:val="none" w:sz="0" w:space="0" w:color="auto"/>
        <w:right w:val="none" w:sz="0" w:space="0" w:color="auto"/>
      </w:divBdr>
    </w:div>
    <w:div w:id="827401491">
      <w:bodyDiv w:val="1"/>
      <w:marLeft w:val="0"/>
      <w:marRight w:val="0"/>
      <w:marTop w:val="0"/>
      <w:marBottom w:val="0"/>
      <w:divBdr>
        <w:top w:val="none" w:sz="0" w:space="0" w:color="auto"/>
        <w:left w:val="none" w:sz="0" w:space="0" w:color="auto"/>
        <w:bottom w:val="none" w:sz="0" w:space="0" w:color="auto"/>
        <w:right w:val="none" w:sz="0" w:space="0" w:color="auto"/>
      </w:divBdr>
    </w:div>
    <w:div w:id="830415383">
      <w:bodyDiv w:val="1"/>
      <w:marLeft w:val="0"/>
      <w:marRight w:val="0"/>
      <w:marTop w:val="0"/>
      <w:marBottom w:val="0"/>
      <w:divBdr>
        <w:top w:val="none" w:sz="0" w:space="0" w:color="auto"/>
        <w:left w:val="none" w:sz="0" w:space="0" w:color="auto"/>
        <w:bottom w:val="none" w:sz="0" w:space="0" w:color="auto"/>
        <w:right w:val="none" w:sz="0" w:space="0" w:color="auto"/>
      </w:divBdr>
    </w:div>
    <w:div w:id="848953640">
      <w:bodyDiv w:val="1"/>
      <w:marLeft w:val="0"/>
      <w:marRight w:val="0"/>
      <w:marTop w:val="0"/>
      <w:marBottom w:val="0"/>
      <w:divBdr>
        <w:top w:val="none" w:sz="0" w:space="0" w:color="auto"/>
        <w:left w:val="none" w:sz="0" w:space="0" w:color="auto"/>
        <w:bottom w:val="none" w:sz="0" w:space="0" w:color="auto"/>
        <w:right w:val="none" w:sz="0" w:space="0" w:color="auto"/>
      </w:divBdr>
    </w:div>
    <w:div w:id="861825842">
      <w:bodyDiv w:val="1"/>
      <w:marLeft w:val="0"/>
      <w:marRight w:val="0"/>
      <w:marTop w:val="0"/>
      <w:marBottom w:val="0"/>
      <w:divBdr>
        <w:top w:val="none" w:sz="0" w:space="0" w:color="auto"/>
        <w:left w:val="none" w:sz="0" w:space="0" w:color="auto"/>
        <w:bottom w:val="none" w:sz="0" w:space="0" w:color="auto"/>
        <w:right w:val="none" w:sz="0" w:space="0" w:color="auto"/>
      </w:divBdr>
    </w:div>
    <w:div w:id="937713030">
      <w:bodyDiv w:val="1"/>
      <w:marLeft w:val="0"/>
      <w:marRight w:val="0"/>
      <w:marTop w:val="0"/>
      <w:marBottom w:val="0"/>
      <w:divBdr>
        <w:top w:val="none" w:sz="0" w:space="0" w:color="auto"/>
        <w:left w:val="none" w:sz="0" w:space="0" w:color="auto"/>
        <w:bottom w:val="none" w:sz="0" w:space="0" w:color="auto"/>
        <w:right w:val="none" w:sz="0" w:space="0" w:color="auto"/>
      </w:divBdr>
    </w:div>
    <w:div w:id="1028726515">
      <w:bodyDiv w:val="1"/>
      <w:marLeft w:val="0"/>
      <w:marRight w:val="0"/>
      <w:marTop w:val="0"/>
      <w:marBottom w:val="0"/>
      <w:divBdr>
        <w:top w:val="none" w:sz="0" w:space="0" w:color="auto"/>
        <w:left w:val="none" w:sz="0" w:space="0" w:color="auto"/>
        <w:bottom w:val="none" w:sz="0" w:space="0" w:color="auto"/>
        <w:right w:val="none" w:sz="0" w:space="0" w:color="auto"/>
      </w:divBdr>
    </w:div>
    <w:div w:id="1039822950">
      <w:bodyDiv w:val="1"/>
      <w:marLeft w:val="0"/>
      <w:marRight w:val="0"/>
      <w:marTop w:val="0"/>
      <w:marBottom w:val="0"/>
      <w:divBdr>
        <w:top w:val="none" w:sz="0" w:space="0" w:color="auto"/>
        <w:left w:val="none" w:sz="0" w:space="0" w:color="auto"/>
        <w:bottom w:val="none" w:sz="0" w:space="0" w:color="auto"/>
        <w:right w:val="none" w:sz="0" w:space="0" w:color="auto"/>
      </w:divBdr>
    </w:div>
    <w:div w:id="1045451695">
      <w:bodyDiv w:val="1"/>
      <w:marLeft w:val="0"/>
      <w:marRight w:val="0"/>
      <w:marTop w:val="0"/>
      <w:marBottom w:val="0"/>
      <w:divBdr>
        <w:top w:val="none" w:sz="0" w:space="0" w:color="auto"/>
        <w:left w:val="none" w:sz="0" w:space="0" w:color="auto"/>
        <w:bottom w:val="none" w:sz="0" w:space="0" w:color="auto"/>
        <w:right w:val="none" w:sz="0" w:space="0" w:color="auto"/>
      </w:divBdr>
    </w:div>
    <w:div w:id="1137339969">
      <w:bodyDiv w:val="1"/>
      <w:marLeft w:val="0"/>
      <w:marRight w:val="0"/>
      <w:marTop w:val="0"/>
      <w:marBottom w:val="0"/>
      <w:divBdr>
        <w:top w:val="none" w:sz="0" w:space="0" w:color="auto"/>
        <w:left w:val="none" w:sz="0" w:space="0" w:color="auto"/>
        <w:bottom w:val="none" w:sz="0" w:space="0" w:color="auto"/>
        <w:right w:val="none" w:sz="0" w:space="0" w:color="auto"/>
      </w:divBdr>
    </w:div>
    <w:div w:id="1139686106">
      <w:bodyDiv w:val="1"/>
      <w:marLeft w:val="0"/>
      <w:marRight w:val="0"/>
      <w:marTop w:val="0"/>
      <w:marBottom w:val="0"/>
      <w:divBdr>
        <w:top w:val="none" w:sz="0" w:space="0" w:color="auto"/>
        <w:left w:val="none" w:sz="0" w:space="0" w:color="auto"/>
        <w:bottom w:val="none" w:sz="0" w:space="0" w:color="auto"/>
        <w:right w:val="none" w:sz="0" w:space="0" w:color="auto"/>
      </w:divBdr>
    </w:div>
    <w:div w:id="1164473638">
      <w:bodyDiv w:val="1"/>
      <w:marLeft w:val="0"/>
      <w:marRight w:val="0"/>
      <w:marTop w:val="0"/>
      <w:marBottom w:val="0"/>
      <w:divBdr>
        <w:top w:val="none" w:sz="0" w:space="0" w:color="auto"/>
        <w:left w:val="none" w:sz="0" w:space="0" w:color="auto"/>
        <w:bottom w:val="none" w:sz="0" w:space="0" w:color="auto"/>
        <w:right w:val="none" w:sz="0" w:space="0" w:color="auto"/>
      </w:divBdr>
    </w:div>
    <w:div w:id="1184977219">
      <w:bodyDiv w:val="1"/>
      <w:marLeft w:val="0"/>
      <w:marRight w:val="0"/>
      <w:marTop w:val="0"/>
      <w:marBottom w:val="0"/>
      <w:divBdr>
        <w:top w:val="none" w:sz="0" w:space="0" w:color="auto"/>
        <w:left w:val="none" w:sz="0" w:space="0" w:color="auto"/>
        <w:bottom w:val="none" w:sz="0" w:space="0" w:color="auto"/>
        <w:right w:val="none" w:sz="0" w:space="0" w:color="auto"/>
      </w:divBdr>
    </w:div>
    <w:div w:id="1222445910">
      <w:bodyDiv w:val="1"/>
      <w:marLeft w:val="0"/>
      <w:marRight w:val="0"/>
      <w:marTop w:val="0"/>
      <w:marBottom w:val="0"/>
      <w:divBdr>
        <w:top w:val="none" w:sz="0" w:space="0" w:color="auto"/>
        <w:left w:val="none" w:sz="0" w:space="0" w:color="auto"/>
        <w:bottom w:val="none" w:sz="0" w:space="0" w:color="auto"/>
        <w:right w:val="none" w:sz="0" w:space="0" w:color="auto"/>
      </w:divBdr>
    </w:div>
    <w:div w:id="1227838552">
      <w:bodyDiv w:val="1"/>
      <w:marLeft w:val="0"/>
      <w:marRight w:val="0"/>
      <w:marTop w:val="0"/>
      <w:marBottom w:val="0"/>
      <w:divBdr>
        <w:top w:val="none" w:sz="0" w:space="0" w:color="auto"/>
        <w:left w:val="none" w:sz="0" w:space="0" w:color="auto"/>
        <w:bottom w:val="none" w:sz="0" w:space="0" w:color="auto"/>
        <w:right w:val="none" w:sz="0" w:space="0" w:color="auto"/>
      </w:divBdr>
    </w:div>
    <w:div w:id="1278560918">
      <w:bodyDiv w:val="1"/>
      <w:marLeft w:val="0"/>
      <w:marRight w:val="0"/>
      <w:marTop w:val="0"/>
      <w:marBottom w:val="0"/>
      <w:divBdr>
        <w:top w:val="none" w:sz="0" w:space="0" w:color="auto"/>
        <w:left w:val="none" w:sz="0" w:space="0" w:color="auto"/>
        <w:bottom w:val="none" w:sz="0" w:space="0" w:color="auto"/>
        <w:right w:val="none" w:sz="0" w:space="0" w:color="auto"/>
      </w:divBdr>
    </w:div>
    <w:div w:id="1286888730">
      <w:bodyDiv w:val="1"/>
      <w:marLeft w:val="0"/>
      <w:marRight w:val="0"/>
      <w:marTop w:val="0"/>
      <w:marBottom w:val="0"/>
      <w:divBdr>
        <w:top w:val="none" w:sz="0" w:space="0" w:color="auto"/>
        <w:left w:val="none" w:sz="0" w:space="0" w:color="auto"/>
        <w:bottom w:val="none" w:sz="0" w:space="0" w:color="auto"/>
        <w:right w:val="none" w:sz="0" w:space="0" w:color="auto"/>
      </w:divBdr>
    </w:div>
    <w:div w:id="1304237027">
      <w:bodyDiv w:val="1"/>
      <w:marLeft w:val="0"/>
      <w:marRight w:val="0"/>
      <w:marTop w:val="0"/>
      <w:marBottom w:val="0"/>
      <w:divBdr>
        <w:top w:val="none" w:sz="0" w:space="0" w:color="auto"/>
        <w:left w:val="none" w:sz="0" w:space="0" w:color="auto"/>
        <w:bottom w:val="none" w:sz="0" w:space="0" w:color="auto"/>
        <w:right w:val="none" w:sz="0" w:space="0" w:color="auto"/>
      </w:divBdr>
    </w:div>
    <w:div w:id="1320039077">
      <w:bodyDiv w:val="1"/>
      <w:marLeft w:val="0"/>
      <w:marRight w:val="0"/>
      <w:marTop w:val="0"/>
      <w:marBottom w:val="0"/>
      <w:divBdr>
        <w:top w:val="none" w:sz="0" w:space="0" w:color="auto"/>
        <w:left w:val="none" w:sz="0" w:space="0" w:color="auto"/>
        <w:bottom w:val="none" w:sz="0" w:space="0" w:color="auto"/>
        <w:right w:val="none" w:sz="0" w:space="0" w:color="auto"/>
      </w:divBdr>
    </w:div>
    <w:div w:id="1320962943">
      <w:bodyDiv w:val="1"/>
      <w:marLeft w:val="0"/>
      <w:marRight w:val="0"/>
      <w:marTop w:val="0"/>
      <w:marBottom w:val="0"/>
      <w:divBdr>
        <w:top w:val="none" w:sz="0" w:space="0" w:color="auto"/>
        <w:left w:val="none" w:sz="0" w:space="0" w:color="auto"/>
        <w:bottom w:val="none" w:sz="0" w:space="0" w:color="auto"/>
        <w:right w:val="none" w:sz="0" w:space="0" w:color="auto"/>
      </w:divBdr>
    </w:div>
    <w:div w:id="1334259745">
      <w:bodyDiv w:val="1"/>
      <w:marLeft w:val="0"/>
      <w:marRight w:val="0"/>
      <w:marTop w:val="0"/>
      <w:marBottom w:val="0"/>
      <w:divBdr>
        <w:top w:val="none" w:sz="0" w:space="0" w:color="auto"/>
        <w:left w:val="none" w:sz="0" w:space="0" w:color="auto"/>
        <w:bottom w:val="none" w:sz="0" w:space="0" w:color="auto"/>
        <w:right w:val="none" w:sz="0" w:space="0" w:color="auto"/>
      </w:divBdr>
    </w:div>
    <w:div w:id="1357341179">
      <w:bodyDiv w:val="1"/>
      <w:marLeft w:val="0"/>
      <w:marRight w:val="0"/>
      <w:marTop w:val="0"/>
      <w:marBottom w:val="0"/>
      <w:divBdr>
        <w:top w:val="none" w:sz="0" w:space="0" w:color="auto"/>
        <w:left w:val="none" w:sz="0" w:space="0" w:color="auto"/>
        <w:bottom w:val="none" w:sz="0" w:space="0" w:color="auto"/>
        <w:right w:val="none" w:sz="0" w:space="0" w:color="auto"/>
      </w:divBdr>
    </w:div>
    <w:div w:id="1384258445">
      <w:bodyDiv w:val="1"/>
      <w:marLeft w:val="0"/>
      <w:marRight w:val="0"/>
      <w:marTop w:val="0"/>
      <w:marBottom w:val="0"/>
      <w:divBdr>
        <w:top w:val="none" w:sz="0" w:space="0" w:color="auto"/>
        <w:left w:val="none" w:sz="0" w:space="0" w:color="auto"/>
        <w:bottom w:val="none" w:sz="0" w:space="0" w:color="auto"/>
        <w:right w:val="none" w:sz="0" w:space="0" w:color="auto"/>
      </w:divBdr>
    </w:div>
    <w:div w:id="1458258760">
      <w:bodyDiv w:val="1"/>
      <w:marLeft w:val="0"/>
      <w:marRight w:val="0"/>
      <w:marTop w:val="0"/>
      <w:marBottom w:val="0"/>
      <w:divBdr>
        <w:top w:val="none" w:sz="0" w:space="0" w:color="auto"/>
        <w:left w:val="none" w:sz="0" w:space="0" w:color="auto"/>
        <w:bottom w:val="none" w:sz="0" w:space="0" w:color="auto"/>
        <w:right w:val="none" w:sz="0" w:space="0" w:color="auto"/>
      </w:divBdr>
    </w:div>
    <w:div w:id="1467312780">
      <w:bodyDiv w:val="1"/>
      <w:marLeft w:val="0"/>
      <w:marRight w:val="0"/>
      <w:marTop w:val="0"/>
      <w:marBottom w:val="0"/>
      <w:divBdr>
        <w:top w:val="none" w:sz="0" w:space="0" w:color="auto"/>
        <w:left w:val="none" w:sz="0" w:space="0" w:color="auto"/>
        <w:bottom w:val="none" w:sz="0" w:space="0" w:color="auto"/>
        <w:right w:val="none" w:sz="0" w:space="0" w:color="auto"/>
      </w:divBdr>
    </w:div>
    <w:div w:id="1487237117">
      <w:bodyDiv w:val="1"/>
      <w:marLeft w:val="0"/>
      <w:marRight w:val="0"/>
      <w:marTop w:val="0"/>
      <w:marBottom w:val="0"/>
      <w:divBdr>
        <w:top w:val="none" w:sz="0" w:space="0" w:color="auto"/>
        <w:left w:val="none" w:sz="0" w:space="0" w:color="auto"/>
        <w:bottom w:val="none" w:sz="0" w:space="0" w:color="auto"/>
        <w:right w:val="none" w:sz="0" w:space="0" w:color="auto"/>
      </w:divBdr>
    </w:div>
    <w:div w:id="1581789324">
      <w:bodyDiv w:val="1"/>
      <w:marLeft w:val="0"/>
      <w:marRight w:val="0"/>
      <w:marTop w:val="0"/>
      <w:marBottom w:val="0"/>
      <w:divBdr>
        <w:top w:val="none" w:sz="0" w:space="0" w:color="auto"/>
        <w:left w:val="none" w:sz="0" w:space="0" w:color="auto"/>
        <w:bottom w:val="none" w:sz="0" w:space="0" w:color="auto"/>
        <w:right w:val="none" w:sz="0" w:space="0" w:color="auto"/>
      </w:divBdr>
    </w:div>
    <w:div w:id="1618637553">
      <w:bodyDiv w:val="1"/>
      <w:marLeft w:val="0"/>
      <w:marRight w:val="0"/>
      <w:marTop w:val="0"/>
      <w:marBottom w:val="0"/>
      <w:divBdr>
        <w:top w:val="none" w:sz="0" w:space="0" w:color="auto"/>
        <w:left w:val="none" w:sz="0" w:space="0" w:color="auto"/>
        <w:bottom w:val="none" w:sz="0" w:space="0" w:color="auto"/>
        <w:right w:val="none" w:sz="0" w:space="0" w:color="auto"/>
      </w:divBdr>
    </w:div>
    <w:div w:id="1628009584">
      <w:bodyDiv w:val="1"/>
      <w:marLeft w:val="0"/>
      <w:marRight w:val="0"/>
      <w:marTop w:val="0"/>
      <w:marBottom w:val="0"/>
      <w:divBdr>
        <w:top w:val="none" w:sz="0" w:space="0" w:color="auto"/>
        <w:left w:val="none" w:sz="0" w:space="0" w:color="auto"/>
        <w:bottom w:val="none" w:sz="0" w:space="0" w:color="auto"/>
        <w:right w:val="none" w:sz="0" w:space="0" w:color="auto"/>
      </w:divBdr>
    </w:div>
    <w:div w:id="1631520592">
      <w:bodyDiv w:val="1"/>
      <w:marLeft w:val="0"/>
      <w:marRight w:val="0"/>
      <w:marTop w:val="0"/>
      <w:marBottom w:val="0"/>
      <w:divBdr>
        <w:top w:val="none" w:sz="0" w:space="0" w:color="auto"/>
        <w:left w:val="none" w:sz="0" w:space="0" w:color="auto"/>
        <w:bottom w:val="none" w:sz="0" w:space="0" w:color="auto"/>
        <w:right w:val="none" w:sz="0" w:space="0" w:color="auto"/>
      </w:divBdr>
    </w:div>
    <w:div w:id="1632901407">
      <w:bodyDiv w:val="1"/>
      <w:marLeft w:val="0"/>
      <w:marRight w:val="0"/>
      <w:marTop w:val="0"/>
      <w:marBottom w:val="0"/>
      <w:divBdr>
        <w:top w:val="none" w:sz="0" w:space="0" w:color="auto"/>
        <w:left w:val="none" w:sz="0" w:space="0" w:color="auto"/>
        <w:bottom w:val="none" w:sz="0" w:space="0" w:color="auto"/>
        <w:right w:val="none" w:sz="0" w:space="0" w:color="auto"/>
      </w:divBdr>
    </w:div>
    <w:div w:id="1649869078">
      <w:bodyDiv w:val="1"/>
      <w:marLeft w:val="0"/>
      <w:marRight w:val="0"/>
      <w:marTop w:val="0"/>
      <w:marBottom w:val="0"/>
      <w:divBdr>
        <w:top w:val="none" w:sz="0" w:space="0" w:color="auto"/>
        <w:left w:val="none" w:sz="0" w:space="0" w:color="auto"/>
        <w:bottom w:val="none" w:sz="0" w:space="0" w:color="auto"/>
        <w:right w:val="none" w:sz="0" w:space="0" w:color="auto"/>
      </w:divBdr>
    </w:div>
    <w:div w:id="1675954685">
      <w:bodyDiv w:val="1"/>
      <w:marLeft w:val="0"/>
      <w:marRight w:val="0"/>
      <w:marTop w:val="0"/>
      <w:marBottom w:val="0"/>
      <w:divBdr>
        <w:top w:val="none" w:sz="0" w:space="0" w:color="auto"/>
        <w:left w:val="none" w:sz="0" w:space="0" w:color="auto"/>
        <w:bottom w:val="none" w:sz="0" w:space="0" w:color="auto"/>
        <w:right w:val="none" w:sz="0" w:space="0" w:color="auto"/>
      </w:divBdr>
    </w:div>
    <w:div w:id="1763409632">
      <w:bodyDiv w:val="1"/>
      <w:marLeft w:val="0"/>
      <w:marRight w:val="0"/>
      <w:marTop w:val="0"/>
      <w:marBottom w:val="0"/>
      <w:divBdr>
        <w:top w:val="none" w:sz="0" w:space="0" w:color="auto"/>
        <w:left w:val="none" w:sz="0" w:space="0" w:color="auto"/>
        <w:bottom w:val="none" w:sz="0" w:space="0" w:color="auto"/>
        <w:right w:val="none" w:sz="0" w:space="0" w:color="auto"/>
      </w:divBdr>
    </w:div>
    <w:div w:id="1764374880">
      <w:bodyDiv w:val="1"/>
      <w:marLeft w:val="0"/>
      <w:marRight w:val="0"/>
      <w:marTop w:val="0"/>
      <w:marBottom w:val="0"/>
      <w:divBdr>
        <w:top w:val="none" w:sz="0" w:space="0" w:color="auto"/>
        <w:left w:val="none" w:sz="0" w:space="0" w:color="auto"/>
        <w:bottom w:val="none" w:sz="0" w:space="0" w:color="auto"/>
        <w:right w:val="none" w:sz="0" w:space="0" w:color="auto"/>
      </w:divBdr>
    </w:div>
    <w:div w:id="1780417061">
      <w:bodyDiv w:val="1"/>
      <w:marLeft w:val="0"/>
      <w:marRight w:val="0"/>
      <w:marTop w:val="0"/>
      <w:marBottom w:val="0"/>
      <w:divBdr>
        <w:top w:val="none" w:sz="0" w:space="0" w:color="auto"/>
        <w:left w:val="none" w:sz="0" w:space="0" w:color="auto"/>
        <w:bottom w:val="none" w:sz="0" w:space="0" w:color="auto"/>
        <w:right w:val="none" w:sz="0" w:space="0" w:color="auto"/>
      </w:divBdr>
    </w:div>
    <w:div w:id="1831022760">
      <w:bodyDiv w:val="1"/>
      <w:marLeft w:val="0"/>
      <w:marRight w:val="0"/>
      <w:marTop w:val="0"/>
      <w:marBottom w:val="0"/>
      <w:divBdr>
        <w:top w:val="none" w:sz="0" w:space="0" w:color="auto"/>
        <w:left w:val="none" w:sz="0" w:space="0" w:color="auto"/>
        <w:bottom w:val="none" w:sz="0" w:space="0" w:color="auto"/>
        <w:right w:val="none" w:sz="0" w:space="0" w:color="auto"/>
      </w:divBdr>
    </w:div>
    <w:div w:id="1835097650">
      <w:bodyDiv w:val="1"/>
      <w:marLeft w:val="0"/>
      <w:marRight w:val="0"/>
      <w:marTop w:val="0"/>
      <w:marBottom w:val="0"/>
      <w:divBdr>
        <w:top w:val="none" w:sz="0" w:space="0" w:color="auto"/>
        <w:left w:val="none" w:sz="0" w:space="0" w:color="auto"/>
        <w:bottom w:val="none" w:sz="0" w:space="0" w:color="auto"/>
        <w:right w:val="none" w:sz="0" w:space="0" w:color="auto"/>
      </w:divBdr>
    </w:div>
    <w:div w:id="1852717661">
      <w:bodyDiv w:val="1"/>
      <w:marLeft w:val="0"/>
      <w:marRight w:val="0"/>
      <w:marTop w:val="0"/>
      <w:marBottom w:val="0"/>
      <w:divBdr>
        <w:top w:val="none" w:sz="0" w:space="0" w:color="auto"/>
        <w:left w:val="none" w:sz="0" w:space="0" w:color="auto"/>
        <w:bottom w:val="none" w:sz="0" w:space="0" w:color="auto"/>
        <w:right w:val="none" w:sz="0" w:space="0" w:color="auto"/>
      </w:divBdr>
    </w:div>
    <w:div w:id="1875342144">
      <w:bodyDiv w:val="1"/>
      <w:marLeft w:val="0"/>
      <w:marRight w:val="0"/>
      <w:marTop w:val="0"/>
      <w:marBottom w:val="0"/>
      <w:divBdr>
        <w:top w:val="none" w:sz="0" w:space="0" w:color="auto"/>
        <w:left w:val="none" w:sz="0" w:space="0" w:color="auto"/>
        <w:bottom w:val="none" w:sz="0" w:space="0" w:color="auto"/>
        <w:right w:val="none" w:sz="0" w:space="0" w:color="auto"/>
      </w:divBdr>
    </w:div>
    <w:div w:id="1923292583">
      <w:bodyDiv w:val="1"/>
      <w:marLeft w:val="0"/>
      <w:marRight w:val="0"/>
      <w:marTop w:val="0"/>
      <w:marBottom w:val="0"/>
      <w:divBdr>
        <w:top w:val="none" w:sz="0" w:space="0" w:color="auto"/>
        <w:left w:val="none" w:sz="0" w:space="0" w:color="auto"/>
        <w:bottom w:val="none" w:sz="0" w:space="0" w:color="auto"/>
        <w:right w:val="none" w:sz="0" w:space="0" w:color="auto"/>
      </w:divBdr>
    </w:div>
    <w:div w:id="1943294181">
      <w:bodyDiv w:val="1"/>
      <w:marLeft w:val="0"/>
      <w:marRight w:val="0"/>
      <w:marTop w:val="0"/>
      <w:marBottom w:val="0"/>
      <w:divBdr>
        <w:top w:val="none" w:sz="0" w:space="0" w:color="auto"/>
        <w:left w:val="none" w:sz="0" w:space="0" w:color="auto"/>
        <w:bottom w:val="none" w:sz="0" w:space="0" w:color="auto"/>
        <w:right w:val="none" w:sz="0" w:space="0" w:color="auto"/>
      </w:divBdr>
    </w:div>
    <w:div w:id="1990935467">
      <w:bodyDiv w:val="1"/>
      <w:marLeft w:val="0"/>
      <w:marRight w:val="0"/>
      <w:marTop w:val="0"/>
      <w:marBottom w:val="0"/>
      <w:divBdr>
        <w:top w:val="none" w:sz="0" w:space="0" w:color="auto"/>
        <w:left w:val="none" w:sz="0" w:space="0" w:color="auto"/>
        <w:bottom w:val="none" w:sz="0" w:space="0" w:color="auto"/>
        <w:right w:val="none" w:sz="0" w:space="0" w:color="auto"/>
      </w:divBdr>
    </w:div>
    <w:div w:id="2114201836">
      <w:bodyDiv w:val="1"/>
      <w:marLeft w:val="0"/>
      <w:marRight w:val="0"/>
      <w:marTop w:val="0"/>
      <w:marBottom w:val="0"/>
      <w:divBdr>
        <w:top w:val="none" w:sz="0" w:space="0" w:color="auto"/>
        <w:left w:val="none" w:sz="0" w:space="0" w:color="auto"/>
        <w:bottom w:val="none" w:sz="0" w:space="0" w:color="auto"/>
        <w:right w:val="none" w:sz="0" w:space="0" w:color="auto"/>
      </w:divBdr>
    </w:div>
    <w:div w:id="2144349413">
      <w:bodyDiv w:val="1"/>
      <w:marLeft w:val="0"/>
      <w:marRight w:val="0"/>
      <w:marTop w:val="0"/>
      <w:marBottom w:val="0"/>
      <w:divBdr>
        <w:top w:val="none" w:sz="0" w:space="0" w:color="auto"/>
        <w:left w:val="none" w:sz="0" w:space="0" w:color="auto"/>
        <w:bottom w:val="none" w:sz="0" w:space="0" w:color="auto"/>
        <w:right w:val="none" w:sz="0" w:space="0" w:color="auto"/>
      </w:divBdr>
    </w:div>
    <w:div w:id="21453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67434&amp;dst=8647"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login.consultant.ru/link/?req=doc&amp;base=LAW&amp;n=467434&amp;dst=3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hyperlink" Target="consultantplus://offline/ref=BBFA042F4046A6E760AEB257DEAF9B2B0999C63FDB6F1AC25E398518F43EDFCB44683EB167393F7078997D8279BAED1216900993A14F7CEDBE2C83i4M1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tx1">
                    <a:lumMod val="95000"/>
                    <a:lumOff val="5000"/>
                  </a:schemeClr>
                </a:solidFill>
                <a:latin typeface="Times New Roman" panose="02020603050405020304" pitchFamily="18" charset="0"/>
                <a:ea typeface="+mn-ea"/>
                <a:cs typeface="+mn-cs"/>
              </a:defRPr>
            </a:pPr>
            <a:r>
              <a:rPr lang="ru-RU" baseline="0">
                <a:solidFill>
                  <a:schemeClr val="tx1">
                    <a:lumMod val="95000"/>
                    <a:lumOff val="5000"/>
                  </a:schemeClr>
                </a:solidFill>
                <a:latin typeface="Times New Roman" panose="02020603050405020304" pitchFamily="18" charset="0"/>
              </a:rPr>
              <a:t>Структура налоговых доходов</a:t>
            </a:r>
          </a:p>
        </c:rich>
      </c:tx>
      <c:layout>
        <c:manualLayout>
          <c:xMode val="edge"/>
          <c:yMode val="edge"/>
          <c:x val="0.25968533961853429"/>
          <c:y val="7.285974499089254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95000"/>
                  <a:lumOff val="5000"/>
                </a:schemeClr>
              </a:solidFill>
              <a:latin typeface="Times New Roman" panose="02020603050405020304" pitchFamily="18" charset="0"/>
              <a:ea typeface="+mn-ea"/>
              <a:cs typeface="+mn-cs"/>
            </a:defRPr>
          </a:pPr>
          <a:endParaRPr lang="ru-RU"/>
        </a:p>
      </c:txPr>
    </c:title>
    <c:autoTitleDeleted val="0"/>
    <c:plotArea>
      <c:layout>
        <c:manualLayout>
          <c:layoutTarget val="inner"/>
          <c:xMode val="edge"/>
          <c:yMode val="edge"/>
          <c:x val="4.0744916418336212E-2"/>
          <c:y val="0.18718043223320491"/>
          <c:w val="0.34639743098015335"/>
          <c:h val="0.73491005113722474"/>
        </c:manualLayout>
      </c:layout>
      <c:doughnutChart>
        <c:varyColors val="1"/>
        <c:ser>
          <c:idx val="0"/>
          <c:order val="0"/>
          <c:dPt>
            <c:idx val="0"/>
            <c:bubble3D val="0"/>
            <c:spPr>
              <a:solidFill>
                <a:schemeClr val="accent3">
                  <a:shade val="4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C25-450D-B80F-A82D7A822305}"/>
              </c:ext>
            </c:extLst>
          </c:dPt>
          <c:dPt>
            <c:idx val="1"/>
            <c:bubble3D val="0"/>
            <c:spPr>
              <a:pattFill prst="wdDnDiag">
                <a:fgClr>
                  <a:schemeClr val="accent4">
                    <a:lumMod val="75000"/>
                  </a:schemeClr>
                </a:fgClr>
                <a:bgClr>
                  <a:schemeClr val="bg1"/>
                </a:bgClr>
              </a:pattFill>
              <a:ln>
                <a:noFill/>
              </a:ln>
              <a:effectLst>
                <a:outerShdw blurRad="317500" algn="ctr" rotWithShape="0">
                  <a:prstClr val="black">
                    <a:alpha val="25000"/>
                  </a:prstClr>
                </a:outerShdw>
              </a:effectLst>
            </c:spPr>
            <c:extLst>
              <c:ext xmlns:c16="http://schemas.microsoft.com/office/drawing/2014/chart" uri="{C3380CC4-5D6E-409C-BE32-E72D297353CC}">
                <c16:uniqueId val="{00000003-0C25-450D-B80F-A82D7A822305}"/>
              </c:ext>
            </c:extLst>
          </c:dPt>
          <c:dPt>
            <c:idx val="2"/>
            <c:bubble3D val="0"/>
            <c:spPr>
              <a:solidFill>
                <a:schemeClr val="accent4">
                  <a:lumMod val="5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C25-450D-B80F-A82D7A822305}"/>
              </c:ext>
            </c:extLst>
          </c:dPt>
          <c:dPt>
            <c:idx val="3"/>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C25-450D-B80F-A82D7A822305}"/>
              </c:ext>
            </c:extLst>
          </c:dPt>
          <c:dPt>
            <c:idx val="4"/>
            <c:bubble3D val="0"/>
            <c:spPr>
              <a:pattFill prst="lgCheck">
                <a:fgClr>
                  <a:schemeClr val="accent3">
                    <a:lumMod val="50000"/>
                  </a:schemeClr>
                </a:fgClr>
                <a:bgClr>
                  <a:schemeClr val="bg1"/>
                </a:bgClr>
              </a:pattFill>
              <a:ln>
                <a:noFill/>
              </a:ln>
              <a:effectLst>
                <a:outerShdw blurRad="317500" algn="ctr" rotWithShape="0">
                  <a:prstClr val="black">
                    <a:alpha val="25000"/>
                  </a:prstClr>
                </a:outerShdw>
              </a:effectLst>
            </c:spPr>
            <c:extLst>
              <c:ext xmlns:c16="http://schemas.microsoft.com/office/drawing/2014/chart" uri="{C3380CC4-5D6E-409C-BE32-E72D297353CC}">
                <c16:uniqueId val="{00000009-0C25-450D-B80F-A82D7A822305}"/>
              </c:ext>
            </c:extLst>
          </c:dPt>
          <c:dPt>
            <c:idx val="5"/>
            <c:bubble3D val="0"/>
            <c:spPr>
              <a:solidFill>
                <a:srgbClr val="FFFF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0C25-450D-B80F-A82D7A822305}"/>
              </c:ext>
            </c:extLst>
          </c:dPt>
          <c:dPt>
            <c:idx val="6"/>
            <c:bubble3D val="0"/>
            <c:spPr>
              <a:solidFill>
                <a:schemeClr val="accent1">
                  <a:lumMod val="5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0C25-450D-B80F-A82D7A822305}"/>
              </c:ext>
            </c:extLst>
          </c:dPt>
          <c:dLbls>
            <c:dLbl>
              <c:idx val="0"/>
              <c:layout>
                <c:manualLayout>
                  <c:x val="6.8767908309455603E-2"/>
                  <c:y val="-6.0790273556231039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0C25-450D-B80F-A82D7A822305}"/>
                </c:ext>
              </c:extLst>
            </c:dLbl>
            <c:dLbl>
              <c:idx val="1"/>
              <c:layout>
                <c:manualLayout>
                  <c:x val="5.1575931232091705E-2"/>
                  <c:y val="0.1621073961499494"/>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0C25-450D-B80F-A82D7A822305}"/>
                </c:ext>
              </c:extLst>
            </c:dLbl>
            <c:dLbl>
              <c:idx val="2"/>
              <c:layout>
                <c:manualLayout>
                  <c:x val="-4.966571155682907E-2"/>
                  <c:y val="8.5106382978723277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0C25-450D-B80F-A82D7A822305}"/>
                </c:ext>
              </c:extLst>
            </c:dLbl>
            <c:dLbl>
              <c:idx val="3"/>
              <c:layout>
                <c:manualLayout>
                  <c:x val="-4.7755491881566414E-2"/>
                  <c:y val="-0.10942249240121585"/>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0C25-450D-B80F-A82D7A822305}"/>
                </c:ext>
              </c:extLst>
            </c:dLbl>
            <c:dLbl>
              <c:idx val="4"/>
              <c:layout>
                <c:manualLayout>
                  <c:x val="-3.8204393505253113E-2"/>
                  <c:y val="-8.9171832244373736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0C25-450D-B80F-A82D7A822305}"/>
                </c:ext>
              </c:extLst>
            </c:dLbl>
            <c:dLbl>
              <c:idx val="5"/>
              <c:layout>
                <c:manualLayout>
                  <c:x val="5.1517797381344529E-2"/>
                  <c:y val="-0.10849228952763885"/>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7.497612225405921E-2"/>
                      <c:h val="7.5562469584918912E-2"/>
                    </c:manualLayout>
                  </c15:layout>
                </c:ext>
                <c:ext xmlns:c16="http://schemas.microsoft.com/office/drawing/2014/chart" uri="{C3380CC4-5D6E-409C-BE32-E72D297353CC}">
                  <c16:uniqueId val="{0000000B-0C25-450D-B80F-A82D7A822305}"/>
                </c:ext>
              </c:extLst>
            </c:dLbl>
            <c:dLbl>
              <c:idx val="6"/>
              <c:layout>
                <c:manualLayout>
                  <c:x val="-4.1933834201956857E-2"/>
                  <c:y val="-0.14498879129470521"/>
                </c:manualLayout>
              </c:layout>
              <c:tx>
                <c:rich>
                  <a:bodyPr/>
                  <a:lstStyle/>
                  <a:p>
                    <a:r>
                      <a:rPr lang="en-US"/>
                      <a:t>0,1%</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0C25-450D-B80F-A82D7A82230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Лист1!$A$1:$A$7</c:f>
              <c:strCache>
                <c:ptCount val="7"/>
                <c:pt idx="0">
                  <c:v>налог на прибыль организаций</c:v>
                </c:pt>
                <c:pt idx="1">
                  <c:v>акцизы</c:v>
                </c:pt>
                <c:pt idx="2">
                  <c:v>налог на доходы физических лиц</c:v>
                </c:pt>
                <c:pt idx="3">
                  <c:v>налоги на совокупный доход</c:v>
                </c:pt>
                <c:pt idx="4">
                  <c:v>налоги на имущество</c:v>
                </c:pt>
                <c:pt idx="5">
                  <c:v>государственная пошлина</c:v>
                </c:pt>
                <c:pt idx="6">
                  <c:v>налоги, сборы и регулярные платежи за пользование природными ресурсами</c:v>
                </c:pt>
              </c:strCache>
            </c:strRef>
          </c:cat>
          <c:val>
            <c:numRef>
              <c:f>Лист1!$B$1:$B$7</c:f>
              <c:numCache>
                <c:formatCode>General</c:formatCode>
                <c:ptCount val="7"/>
                <c:pt idx="0">
                  <c:v>3641.8</c:v>
                </c:pt>
                <c:pt idx="1">
                  <c:v>4684.8999999999996</c:v>
                </c:pt>
                <c:pt idx="2">
                  <c:v>6497.7</c:v>
                </c:pt>
                <c:pt idx="3">
                  <c:v>2349.6999999999998</c:v>
                </c:pt>
                <c:pt idx="4">
                  <c:v>2261.8000000000002</c:v>
                </c:pt>
                <c:pt idx="5">
                  <c:v>98.4</c:v>
                </c:pt>
                <c:pt idx="6">
                  <c:v>22.6</c:v>
                </c:pt>
              </c:numCache>
            </c:numRef>
          </c:val>
          <c:extLst>
            <c:ext xmlns:c16="http://schemas.microsoft.com/office/drawing/2014/chart" uri="{C3380CC4-5D6E-409C-BE32-E72D297353CC}">
              <c16:uniqueId val="{0000000E-0C25-450D-B80F-A82D7A822305}"/>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ayout>
        <c:manualLayout>
          <c:xMode val="edge"/>
          <c:yMode val="edge"/>
          <c:x val="0.46719260187805445"/>
          <c:y val="0.1150527085753625"/>
          <c:w val="0.53272633103893452"/>
          <c:h val="0.83758845718055763"/>
        </c:manualLayout>
      </c:layout>
      <c:overlay val="0"/>
      <c:spPr>
        <a:solidFill>
          <a:schemeClr val="lt1">
            <a:alpha val="78000"/>
          </a:schemeClr>
        </a:solid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683537390196169"/>
          <c:y val="6.7949035106243907E-2"/>
          <c:w val="0.51379409221246197"/>
          <c:h val="0.93205096489375605"/>
        </c:manualLayout>
      </c:layout>
      <c:pie3DChart>
        <c:varyColors val="1"/>
        <c:ser>
          <c:idx val="0"/>
          <c:order val="0"/>
          <c:tx>
            <c:strRef>
              <c:f>Лист1!$B$1</c:f>
              <c:strCache>
                <c:ptCount val="1"/>
                <c:pt idx="0">
                  <c:v> 2</c:v>
                </c:pt>
              </c:strCache>
            </c:strRef>
          </c:tx>
          <c:spPr>
            <a:ln w="34925">
              <a:solidFill>
                <a:schemeClr val="accent3">
                  <a:lumMod val="50000"/>
                </a:schemeClr>
              </a:solidFill>
            </a:ln>
          </c:spPr>
          <c:dPt>
            <c:idx val="0"/>
            <c:bubble3D val="0"/>
            <c:spPr>
              <a:solidFill>
                <a:schemeClr val="accent3">
                  <a:lumMod val="75000"/>
                </a:schemeClr>
              </a:solidFill>
              <a:ln w="34925">
                <a:solidFill>
                  <a:schemeClr val="accent3">
                    <a:lumMod val="50000"/>
                  </a:schemeClr>
                </a:solidFill>
              </a:ln>
              <a:effectLst/>
              <a:sp3d contourW="34925">
                <a:contourClr>
                  <a:schemeClr val="accent3">
                    <a:lumMod val="50000"/>
                  </a:schemeClr>
                </a:contourClr>
              </a:sp3d>
            </c:spPr>
            <c:extLst>
              <c:ext xmlns:c16="http://schemas.microsoft.com/office/drawing/2014/chart" uri="{C3380CC4-5D6E-409C-BE32-E72D297353CC}">
                <c16:uniqueId val="{00000001-8579-4962-BA29-EF7B61E73F24}"/>
              </c:ext>
            </c:extLst>
          </c:dPt>
          <c:dPt>
            <c:idx val="1"/>
            <c:bubble3D val="0"/>
            <c:spPr>
              <a:solidFill>
                <a:schemeClr val="accent1">
                  <a:lumMod val="60000"/>
                  <a:lumOff val="40000"/>
                </a:schemeClr>
              </a:solidFill>
              <a:ln w="34925">
                <a:solidFill>
                  <a:schemeClr val="accent3">
                    <a:lumMod val="50000"/>
                  </a:schemeClr>
                </a:solidFill>
              </a:ln>
              <a:effectLst/>
              <a:sp3d contourW="34925">
                <a:contourClr>
                  <a:schemeClr val="accent3">
                    <a:lumMod val="50000"/>
                  </a:schemeClr>
                </a:contourClr>
              </a:sp3d>
            </c:spPr>
            <c:extLst>
              <c:ext xmlns:c16="http://schemas.microsoft.com/office/drawing/2014/chart" uri="{C3380CC4-5D6E-409C-BE32-E72D297353CC}">
                <c16:uniqueId val="{00000003-8579-4962-BA29-EF7B61E73F24}"/>
              </c:ext>
            </c:extLst>
          </c:dPt>
          <c:dPt>
            <c:idx val="2"/>
            <c:bubble3D val="0"/>
            <c:spPr>
              <a:gradFill rotWithShape="1">
                <a:gsLst>
                  <a:gs pos="0">
                    <a:schemeClr val="accent5">
                      <a:tint val="1000"/>
                      <a:satMod val="100000"/>
                    </a:schemeClr>
                  </a:gs>
                  <a:gs pos="68000">
                    <a:schemeClr val="accent5">
                      <a:tint val="77000"/>
                      <a:satMod val="100000"/>
                    </a:schemeClr>
                  </a:gs>
                  <a:gs pos="81000">
                    <a:schemeClr val="accent5">
                      <a:tint val="79000"/>
                      <a:satMod val="100000"/>
                    </a:schemeClr>
                  </a:gs>
                  <a:gs pos="86000">
                    <a:schemeClr val="accent5">
                      <a:tint val="73000"/>
                      <a:satMod val="100000"/>
                    </a:schemeClr>
                  </a:gs>
                  <a:gs pos="100000">
                    <a:schemeClr val="accent5">
                      <a:tint val="35000"/>
                      <a:satMod val="100000"/>
                    </a:schemeClr>
                  </a:gs>
                </a:gsLst>
                <a:lin ang="5400000" scaled="0"/>
              </a:gradFill>
              <a:ln w="34925">
                <a:solidFill>
                  <a:schemeClr val="accent3">
                    <a:lumMod val="50000"/>
                  </a:schemeClr>
                </a:solidFill>
              </a:ln>
              <a:effectLst/>
              <a:sp3d contourW="34925">
                <a:contourClr>
                  <a:schemeClr val="accent3">
                    <a:lumMod val="50000"/>
                  </a:schemeClr>
                </a:contourClr>
              </a:sp3d>
            </c:spPr>
            <c:extLst>
              <c:ext xmlns:c16="http://schemas.microsoft.com/office/drawing/2014/chart" uri="{C3380CC4-5D6E-409C-BE32-E72D297353CC}">
                <c16:uniqueId val="{00000005-8579-4962-BA29-EF7B61E73F24}"/>
              </c:ext>
            </c:extLst>
          </c:dPt>
          <c:dPt>
            <c:idx val="3"/>
            <c:bubble3D val="0"/>
            <c:spPr>
              <a:solidFill>
                <a:schemeClr val="accent4">
                  <a:lumMod val="50000"/>
                </a:schemeClr>
              </a:solidFill>
              <a:ln w="34925">
                <a:solidFill>
                  <a:schemeClr val="accent3">
                    <a:lumMod val="50000"/>
                  </a:schemeClr>
                </a:solidFill>
              </a:ln>
              <a:effectLst/>
              <a:sp3d contourW="34925">
                <a:contourClr>
                  <a:schemeClr val="accent3">
                    <a:lumMod val="50000"/>
                  </a:schemeClr>
                </a:contourClr>
              </a:sp3d>
            </c:spPr>
            <c:extLst>
              <c:ext xmlns:c16="http://schemas.microsoft.com/office/drawing/2014/chart" uri="{C3380CC4-5D6E-409C-BE32-E72D297353CC}">
                <c16:uniqueId val="{00000007-8579-4962-BA29-EF7B61E73F24}"/>
              </c:ext>
            </c:extLst>
          </c:dPt>
          <c:dPt>
            <c:idx val="4"/>
            <c:bubble3D val="0"/>
            <c:spPr>
              <a:solidFill>
                <a:schemeClr val="accent4">
                  <a:lumMod val="60000"/>
                  <a:lumOff val="40000"/>
                </a:schemeClr>
              </a:solidFill>
              <a:ln w="34925">
                <a:solidFill>
                  <a:schemeClr val="accent3">
                    <a:lumMod val="50000"/>
                  </a:schemeClr>
                </a:solidFill>
              </a:ln>
              <a:effectLst/>
              <a:sp3d contourW="34925">
                <a:contourClr>
                  <a:schemeClr val="accent3">
                    <a:lumMod val="50000"/>
                  </a:schemeClr>
                </a:contourClr>
              </a:sp3d>
            </c:spPr>
            <c:extLst>
              <c:ext xmlns:c16="http://schemas.microsoft.com/office/drawing/2014/chart" uri="{C3380CC4-5D6E-409C-BE32-E72D297353CC}">
                <c16:uniqueId val="{00000009-8579-4962-BA29-EF7B61E73F24}"/>
              </c:ext>
            </c:extLst>
          </c:dPt>
          <c:dPt>
            <c:idx val="5"/>
            <c:bubble3D val="0"/>
            <c:spPr>
              <a:solidFill>
                <a:srgbClr val="FFFF00"/>
              </a:solidFill>
              <a:ln w="34925">
                <a:solidFill>
                  <a:schemeClr val="accent3">
                    <a:lumMod val="50000"/>
                  </a:schemeClr>
                </a:solidFill>
              </a:ln>
              <a:effectLst/>
              <a:sp3d contourW="34925">
                <a:contourClr>
                  <a:schemeClr val="accent3">
                    <a:lumMod val="50000"/>
                  </a:schemeClr>
                </a:contourClr>
              </a:sp3d>
            </c:spPr>
            <c:extLst>
              <c:ext xmlns:c16="http://schemas.microsoft.com/office/drawing/2014/chart" uri="{C3380CC4-5D6E-409C-BE32-E72D297353CC}">
                <c16:uniqueId val="{0000000B-8579-4962-BA29-EF7B61E73F24}"/>
              </c:ext>
            </c:extLst>
          </c:dPt>
          <c:dPt>
            <c:idx val="6"/>
            <c:bubble3D val="0"/>
            <c:spPr>
              <a:gradFill rotWithShape="1">
                <a:gsLst>
                  <a:gs pos="0">
                    <a:schemeClr val="accent1">
                      <a:lumMod val="80000"/>
                      <a:lumOff val="20000"/>
                      <a:tint val="1000"/>
                      <a:satMod val="100000"/>
                    </a:schemeClr>
                  </a:gs>
                  <a:gs pos="68000">
                    <a:schemeClr val="accent1">
                      <a:lumMod val="80000"/>
                      <a:lumOff val="20000"/>
                      <a:tint val="77000"/>
                      <a:satMod val="100000"/>
                    </a:schemeClr>
                  </a:gs>
                  <a:gs pos="81000">
                    <a:schemeClr val="accent1">
                      <a:lumMod val="80000"/>
                      <a:lumOff val="20000"/>
                      <a:tint val="79000"/>
                      <a:satMod val="100000"/>
                    </a:schemeClr>
                  </a:gs>
                  <a:gs pos="86000">
                    <a:schemeClr val="accent1">
                      <a:lumMod val="80000"/>
                      <a:lumOff val="20000"/>
                      <a:tint val="73000"/>
                      <a:satMod val="100000"/>
                    </a:schemeClr>
                  </a:gs>
                  <a:gs pos="100000">
                    <a:schemeClr val="accent1">
                      <a:lumMod val="80000"/>
                      <a:lumOff val="20000"/>
                      <a:tint val="35000"/>
                      <a:satMod val="100000"/>
                    </a:schemeClr>
                  </a:gs>
                </a:gsLst>
                <a:lin ang="5400000" scaled="0"/>
              </a:gradFill>
              <a:ln w="34925">
                <a:solidFill>
                  <a:schemeClr val="accent3">
                    <a:lumMod val="50000"/>
                  </a:schemeClr>
                </a:solidFill>
              </a:ln>
              <a:effectLst/>
              <a:sp3d contourW="34925">
                <a:contourClr>
                  <a:schemeClr val="accent3">
                    <a:lumMod val="50000"/>
                  </a:schemeClr>
                </a:contourClr>
              </a:sp3d>
            </c:spPr>
            <c:extLst>
              <c:ext xmlns:c16="http://schemas.microsoft.com/office/drawing/2014/chart" uri="{C3380CC4-5D6E-409C-BE32-E72D297353CC}">
                <c16:uniqueId val="{0000000D-8579-4962-BA29-EF7B61E73F24}"/>
              </c:ext>
            </c:extLst>
          </c:dPt>
          <c:dLbls>
            <c:dLbl>
              <c:idx val="0"/>
              <c:layout>
                <c:manualLayout>
                  <c:x val="5.8947723980200942E-2"/>
                  <c:y val="0.15927460409730665"/>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lumMod val="95000"/>
                            <a:lumOff val="5000"/>
                          </a:schemeClr>
                        </a:solidFill>
                        <a:latin typeface="Times New Roman" panose="02020603050405020304" pitchFamily="18" charset="0"/>
                        <a:ea typeface="+mn-ea"/>
                        <a:cs typeface="+mn-cs"/>
                      </a:defRPr>
                    </a:pPr>
                    <a:fld id="{7161C97B-700C-40A1-8ABA-CCB5003BD69B}" type="CATEGORYNAME">
                      <a:rPr lang="ru-RU"/>
                      <a:pPr>
                        <a:defRPr sz="1200" b="1">
                          <a:solidFill>
                            <a:schemeClr val="tx1">
                              <a:lumMod val="95000"/>
                              <a:lumOff val="5000"/>
                            </a:schemeClr>
                          </a:solidFill>
                          <a:latin typeface="Times New Roman" panose="02020603050405020304" pitchFamily="18" charset="0"/>
                        </a:defRPr>
                      </a:pPr>
                      <a:t>[ИМЯ КАТЕГОРИИ]</a:t>
                    </a:fld>
                    <a:r>
                      <a:rPr lang="ru-RU"/>
                      <a:t> </a:t>
                    </a:r>
                    <a:br>
                      <a:rPr lang="ru-RU"/>
                    </a:br>
                    <a:fld id="{E4F64385-05E6-489B-9109-FC53329D7E79}" type="VALUE">
                      <a:rPr lang="ru-RU"/>
                      <a:pPr>
                        <a:defRPr sz="1200" b="1">
                          <a:solidFill>
                            <a:schemeClr val="tx1">
                              <a:lumMod val="95000"/>
                              <a:lumOff val="5000"/>
                            </a:schemeClr>
                          </a:solidFill>
                          <a:latin typeface="Times New Roman" panose="02020603050405020304" pitchFamily="18" charset="0"/>
                        </a:defRPr>
                      </a:pPr>
                      <a:t>[ЗНАЧЕНИЕ]</a:t>
                    </a:fld>
                    <a:endParaRPr lang="ru-RU"/>
                  </a:p>
                  <a:p>
                    <a:pPr>
                      <a:defRPr sz="1200" b="1">
                        <a:solidFill>
                          <a:schemeClr val="tx1">
                            <a:lumMod val="95000"/>
                            <a:lumOff val="5000"/>
                          </a:schemeClr>
                        </a:solidFill>
                        <a:latin typeface="Times New Roman" panose="02020603050405020304" pitchFamily="18" charset="0"/>
                      </a:defRPr>
                    </a:pPr>
                    <a:r>
                      <a:rPr lang="ru-RU"/>
                      <a:t> </a:t>
                    </a:r>
                    <a:fld id="{4BD60434-1F6E-4DBD-91B4-B475388D0971}" type="PERCENTAGE">
                      <a:rPr lang="ru-RU"/>
                      <a:pPr>
                        <a:defRPr sz="1200" b="1">
                          <a:solidFill>
                            <a:schemeClr val="tx1">
                              <a:lumMod val="95000"/>
                              <a:lumOff val="5000"/>
                            </a:schemeClr>
                          </a:solidFill>
                          <a:latin typeface="Times New Roman" panose="02020603050405020304" pitchFamily="18" charset="0"/>
                        </a:defRPr>
                      </a:pPr>
                      <a:t>[ПРОЦЕНТ]</a:t>
                    </a:fld>
                    <a:endParaRPr lang="ru-RU"/>
                  </a:p>
                </c:rich>
              </c:tx>
              <c:spPr>
                <a:solidFill>
                  <a:schemeClr val="accent3">
                    <a:lumMod val="20000"/>
                    <a:lumOff val="80000"/>
                  </a:schemeClr>
                </a:solidFill>
                <a:ln>
                  <a:solidFill>
                    <a:schemeClr val="accent1"/>
                  </a:solid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95000"/>
                          <a:lumOff val="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1979258530183727"/>
                      <c:h val="0.17658463832960478"/>
                    </c:manualLayout>
                  </c15:layout>
                  <c15:dlblFieldTable/>
                  <c15:showDataLabelsRange val="0"/>
                </c:ext>
                <c:ext xmlns:c16="http://schemas.microsoft.com/office/drawing/2014/chart" uri="{C3380CC4-5D6E-409C-BE32-E72D297353CC}">
                  <c16:uniqueId val="{00000001-8579-4962-BA29-EF7B61E73F24}"/>
                </c:ext>
              </c:extLst>
            </c:dLbl>
            <c:dLbl>
              <c:idx val="1"/>
              <c:layout>
                <c:manualLayout>
                  <c:x val="0.17878100393700788"/>
                  <c:y val="3.5589376831251796E-2"/>
                </c:manualLayout>
              </c:layout>
              <c:tx>
                <c:rich>
                  <a:bodyPr/>
                  <a:lstStyle/>
                  <a:p>
                    <a:fld id="{B4358DBB-1553-4F96-96B0-D02AF34E59FD}" type="CATEGORYNAME">
                      <a:rPr lang="ru-RU"/>
                      <a:pPr/>
                      <a:t>[ИМЯ КАТЕГОРИИ]</a:t>
                    </a:fld>
                    <a:endParaRPr lang="ru-RU"/>
                  </a:p>
                  <a:p>
                    <a:r>
                      <a:rPr lang="ru-RU"/>
                      <a:t> </a:t>
                    </a:r>
                    <a:fld id="{87147AC3-51C7-460F-AAB6-5F2E150E1856}" type="VALUE">
                      <a:rPr lang="ru-RU"/>
                      <a:pPr/>
                      <a:t>[ЗНАЧЕНИЕ]</a:t>
                    </a:fld>
                    <a:endParaRPr lang="ru-RU"/>
                  </a:p>
                  <a:p>
                    <a:r>
                      <a:rPr lang="ru-RU"/>
                      <a:t> </a:t>
                    </a:r>
                    <a:fld id="{57D7A4FA-FEFF-41FE-B2FB-6A6AB357C9B3}" type="PERCENTAGE">
                      <a:rPr lang="ru-RU"/>
                      <a:pPr/>
                      <a:t>[ПРОЦЕНТ]</a:t>
                    </a:fld>
                    <a:endParaRPr lang="ru-RU"/>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8579-4962-BA29-EF7B61E73F24}"/>
                </c:ext>
              </c:extLst>
            </c:dLbl>
            <c:dLbl>
              <c:idx val="2"/>
              <c:layout>
                <c:manualLayout>
                  <c:x val="-4.1959007260844561E-2"/>
                  <c:y val="0.15316916595616634"/>
                </c:manualLayout>
              </c:layout>
              <c:tx>
                <c:rich>
                  <a:bodyPr/>
                  <a:lstStyle/>
                  <a:p>
                    <a:fld id="{ED40EAC2-6375-4696-8CA1-84E38257B91F}" type="CATEGORYNAME">
                      <a:rPr lang="ru-RU"/>
                      <a:pPr/>
                      <a:t>[ИМЯ КАТЕГОРИИ]</a:t>
                    </a:fld>
                    <a:endParaRPr lang="ru-RU"/>
                  </a:p>
                  <a:p>
                    <a:r>
                      <a:rPr lang="ru-RU"/>
                      <a:t> </a:t>
                    </a:r>
                    <a:fld id="{907FDC20-9814-43CC-9C03-33DB7362102B}" type="VALUE">
                      <a:rPr lang="ru-RU"/>
                      <a:pPr/>
                      <a:t>[ЗНАЧЕНИЕ]</a:t>
                    </a:fld>
                    <a:endParaRPr lang="ru-RU"/>
                  </a:p>
                  <a:p>
                    <a:r>
                      <a:rPr lang="ru-RU"/>
                      <a:t> </a:t>
                    </a:r>
                    <a:fld id="{337D6CAA-6A0A-478C-B2D8-21A5893A44FC}" type="PERCENTAGE">
                      <a:rPr lang="ru-RU"/>
                      <a:pPr/>
                      <a:t>[ПРОЦЕНТ]</a:t>
                    </a:fld>
                    <a:endParaRPr lang="ru-RU"/>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8579-4962-BA29-EF7B61E73F24}"/>
                </c:ext>
              </c:extLst>
            </c:dLbl>
            <c:dLbl>
              <c:idx val="3"/>
              <c:layout>
                <c:manualLayout>
                  <c:x val="-0.138700077020287"/>
                  <c:y val="9.4371388289839583E-2"/>
                </c:manualLayout>
              </c:layout>
              <c:tx>
                <c:rich>
                  <a:bodyPr/>
                  <a:lstStyle/>
                  <a:p>
                    <a:fld id="{9C31FD6A-F0AB-41A5-AA73-0C56E6E6D6A5}" type="CATEGORYNAME">
                      <a:rPr lang="ru-RU"/>
                      <a:pPr/>
                      <a:t>[ИМЯ КАТЕГОРИИ]</a:t>
                    </a:fld>
                    <a:endParaRPr lang="ru-RU"/>
                  </a:p>
                  <a:p>
                    <a:r>
                      <a:rPr lang="ru-RU"/>
                      <a:t> </a:t>
                    </a:r>
                    <a:fld id="{A3C32397-22F5-47BB-BB21-F53C7B5A9939}" type="VALUE">
                      <a:rPr lang="ru-RU"/>
                      <a:pPr/>
                      <a:t>[ЗНАЧЕНИЕ]</a:t>
                    </a:fld>
                    <a:endParaRPr lang="ru-RU"/>
                  </a:p>
                  <a:p>
                    <a:r>
                      <a:rPr lang="ru-RU"/>
                      <a:t> </a:t>
                    </a:r>
                    <a:fld id="{B1095DF1-9753-454D-B253-0DCFEB079041}" type="PERCENTAGE">
                      <a:rPr lang="ru-RU"/>
                      <a:pPr/>
                      <a:t>[ПРОЦЕНТ]</a:t>
                    </a:fld>
                    <a:endParaRPr lang="ru-RU"/>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8579-4962-BA29-EF7B61E73F24}"/>
                </c:ext>
              </c:extLst>
            </c:dLbl>
            <c:dLbl>
              <c:idx val="4"/>
              <c:layout>
                <c:manualLayout>
                  <c:x val="-0.16727699635836121"/>
                  <c:y val="-3.1920468540158585E-2"/>
                </c:manualLayout>
              </c:layout>
              <c:tx>
                <c:rich>
                  <a:bodyPr/>
                  <a:lstStyle/>
                  <a:p>
                    <a:fld id="{11AF6F54-CD28-4581-95E8-2BEAF2D379A3}" type="CATEGORYNAME">
                      <a:rPr lang="ru-RU"/>
                      <a:pPr/>
                      <a:t>[ИМЯ КАТЕГОРИИ]</a:t>
                    </a:fld>
                    <a:endParaRPr lang="ru-RU"/>
                  </a:p>
                  <a:p>
                    <a:r>
                      <a:rPr lang="ru-RU"/>
                      <a:t> </a:t>
                    </a:r>
                    <a:fld id="{80A8D217-5FCB-48D6-8367-815DCB092AA5}" type="VALUE">
                      <a:rPr lang="ru-RU"/>
                      <a:pPr/>
                      <a:t>[ЗНАЧЕНИЕ]</a:t>
                    </a:fld>
                    <a:endParaRPr lang="ru-RU"/>
                  </a:p>
                  <a:p>
                    <a:r>
                      <a:rPr lang="ru-RU"/>
                      <a:t> </a:t>
                    </a:r>
                    <a:fld id="{48EBB7C4-9756-49C3-8689-B16DF8036E0A}" type="PERCENTAGE">
                      <a:rPr lang="ru-RU"/>
                      <a:pPr/>
                      <a:t>[ПРОЦЕНТ]</a:t>
                    </a:fld>
                    <a:endParaRPr lang="ru-RU"/>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8579-4962-BA29-EF7B61E73F24}"/>
                </c:ext>
              </c:extLst>
            </c:dLbl>
            <c:dLbl>
              <c:idx val="5"/>
              <c:layout>
                <c:manualLayout>
                  <c:x val="-8.7202967150473723E-2"/>
                  <c:y val="-0.13996511582549001"/>
                </c:manualLayout>
              </c:layout>
              <c:tx>
                <c:rich>
                  <a:bodyPr/>
                  <a:lstStyle/>
                  <a:p>
                    <a:fld id="{4A564973-F4A7-45F0-9A9A-6F56184BCB75}" type="CATEGORYNAME">
                      <a:rPr lang="ru-RU"/>
                      <a:pPr/>
                      <a:t>[ИМЯ КАТЕГОРИИ]</a:t>
                    </a:fld>
                    <a:endParaRPr lang="ru-RU"/>
                  </a:p>
                  <a:p>
                    <a:r>
                      <a:rPr lang="ru-RU"/>
                      <a:t> </a:t>
                    </a:r>
                    <a:fld id="{5A27F0D4-ED0B-4113-9180-DC128238A1FF}" type="VALUE">
                      <a:rPr lang="ru-RU"/>
                      <a:pPr/>
                      <a:t>[ЗНАЧЕНИЕ]</a:t>
                    </a:fld>
                    <a:endParaRPr lang="ru-RU"/>
                  </a:p>
                  <a:p>
                    <a:fld id="{D50F7CC6-8975-4A26-8537-684B2692D66A}" type="PERCENTAGE">
                      <a:rPr lang="ru-RU"/>
                      <a:pPr/>
                      <a:t>[ПРОЦЕНТ]</a:t>
                    </a:fld>
                    <a:endParaRPr lang="ru-RU"/>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8579-4962-BA29-EF7B61E73F24}"/>
                </c:ext>
              </c:extLst>
            </c:dLbl>
            <c:dLbl>
              <c:idx val="6"/>
              <c:layout>
                <c:manualLayout>
                  <c:x val="0.19001265972957967"/>
                  <c:y val="-2.3643668745228517E-2"/>
                </c:manualLayout>
              </c:layout>
              <c:tx>
                <c:rich>
                  <a:bodyPr/>
                  <a:lstStyle/>
                  <a:p>
                    <a:fld id="{2D96EA7B-17EA-40F9-B9EF-C82E8896E9D3}" type="CATEGORYNAME">
                      <a:rPr lang="ru-RU"/>
                      <a:pPr/>
                      <a:t>[ИМЯ КАТЕГОРИИ]</a:t>
                    </a:fld>
                    <a:endParaRPr lang="ru-RU"/>
                  </a:p>
                  <a:p>
                    <a:r>
                      <a:rPr lang="ru-RU"/>
                      <a:t> </a:t>
                    </a:r>
                    <a:fld id="{517B1056-22C1-4D5C-AF82-1B2B38B81EAE}" type="VALUE">
                      <a:rPr lang="ru-RU"/>
                      <a:pPr/>
                      <a:t>[ЗНАЧЕНИЕ]</a:t>
                    </a:fld>
                    <a:endParaRPr lang="ru-RU"/>
                  </a:p>
                  <a:p>
                    <a:r>
                      <a:rPr lang="ru-RU"/>
                      <a:t> 0,1%</a:t>
                    </a:r>
                  </a:p>
                </c:rich>
              </c:tx>
              <c:showLegendKey val="0"/>
              <c:showVal val="1"/>
              <c:showCatName val="1"/>
              <c:showSerName val="0"/>
              <c:showPercent val="1"/>
              <c:showBubbleSize val="0"/>
              <c:extLst>
                <c:ext xmlns:c15="http://schemas.microsoft.com/office/drawing/2012/chart" uri="{CE6537A1-D6FC-4f65-9D91-7224C49458BB}">
                  <c15:layout>
                    <c:manualLayout>
                      <c:w val="0.20484960674634581"/>
                      <c:h val="0.25592841163310964"/>
                    </c:manualLayout>
                  </c15:layout>
                  <c15:dlblFieldTable/>
                  <c15:showDataLabelsRange val="0"/>
                </c:ext>
                <c:ext xmlns:c16="http://schemas.microsoft.com/office/drawing/2014/chart" uri="{C3380CC4-5D6E-409C-BE32-E72D297353CC}">
                  <c16:uniqueId val="{0000000D-8579-4962-BA29-EF7B61E73F24}"/>
                </c:ext>
              </c:extLst>
            </c:dLbl>
            <c:dLbl>
              <c:idx val="7"/>
              <c:layout>
                <c:manualLayout>
                  <c:x val="0.28384440998380978"/>
                  <c:y val="6.1786225585438261E-2"/>
                </c:manualLayout>
              </c:layout>
              <c:tx>
                <c:rich>
                  <a:bodyPr/>
                  <a:lstStyle/>
                  <a:p>
                    <a:fld id="{BB432BD0-0CA2-47A7-86BE-7BFCA06499D4}" type="CATEGORYNAME">
                      <a:rPr lang="ru-RU"/>
                      <a:pPr/>
                      <a:t>[ИМЯ КАТЕГОРИИ]</a:t>
                    </a:fld>
                    <a:endParaRPr lang="ru-RU"/>
                  </a:p>
                  <a:p>
                    <a:r>
                      <a:rPr lang="ru-RU"/>
                      <a:t> </a:t>
                    </a:r>
                    <a:fld id="{2E23E391-DD12-4A53-8BAA-60534429300F}" type="VALUE">
                      <a:rPr lang="ru-RU"/>
                      <a:pPr/>
                      <a:t>[ЗНАЧЕНИЕ]</a:t>
                    </a:fld>
                    <a:endParaRPr lang="ru-RU"/>
                  </a:p>
                  <a:p>
                    <a:r>
                      <a:rPr lang="ru-RU"/>
                      <a:t> </a:t>
                    </a:r>
                    <a:fld id="{ED9A25A2-E1A8-4423-920C-0B1BE1D8CA96}" type="PERCENTAGE">
                      <a:rPr lang="ru-RU"/>
                      <a:pPr/>
                      <a:t>[ПРОЦЕНТ]</a:t>
                    </a:fld>
                    <a:endParaRPr lang="ru-RU"/>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8579-4962-BA29-EF7B61E73F24}"/>
                </c:ext>
              </c:extLst>
            </c:dLbl>
            <c:spPr>
              <a:solidFill>
                <a:schemeClr val="accent3">
                  <a:lumMod val="20000"/>
                  <a:lumOff val="80000"/>
                </a:schemeClr>
              </a:solidFill>
              <a:ln>
                <a:solidFill>
                  <a:schemeClr val="accent1"/>
                </a:solid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95000"/>
                        <a:lumOff val="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Лист1!$A$2:$A$8</c:f>
              <c:strCache>
                <c:ptCount val="7"/>
                <c:pt idx="0">
                  <c:v>межбюджетные трансферты</c:v>
                </c:pt>
                <c:pt idx="1">
                  <c:v>выплата заработной платы</c:v>
                </c:pt>
                <c:pt idx="2">
                  <c:v>социальные выплаты населению </c:v>
                </c:pt>
                <c:pt idx="3">
                  <c:v>ОМС</c:v>
                </c:pt>
                <c:pt idx="4">
                  <c:v>медикаменты</c:v>
                </c:pt>
                <c:pt idx="5">
                  <c:v>питание</c:v>
                </c:pt>
                <c:pt idx="6">
                  <c:v>оплата коммунальных услуг и услуг связи</c:v>
                </c:pt>
              </c:strCache>
            </c:strRef>
          </c:cat>
          <c:val>
            <c:numRef>
              <c:f>Лист1!$B$2:$B$8</c:f>
              <c:numCache>
                <c:formatCode>#,##0.0</c:formatCode>
                <c:ptCount val="7"/>
                <c:pt idx="0">
                  <c:v>18309.3</c:v>
                </c:pt>
                <c:pt idx="1">
                  <c:v>10958.3</c:v>
                </c:pt>
                <c:pt idx="2">
                  <c:v>12054.2</c:v>
                </c:pt>
                <c:pt idx="3">
                  <c:v>5223.3999999999996</c:v>
                </c:pt>
                <c:pt idx="4">
                  <c:v>1820.8</c:v>
                </c:pt>
                <c:pt idx="5">
                  <c:v>352.9</c:v>
                </c:pt>
                <c:pt idx="6">
                  <c:v>701.9</c:v>
                </c:pt>
              </c:numCache>
            </c:numRef>
          </c:val>
          <c:extLst>
            <c:ext xmlns:c16="http://schemas.microsoft.com/office/drawing/2014/chart" uri="{C3380CC4-5D6E-409C-BE32-E72D297353CC}">
              <c16:uniqueId val="{0000000F-8579-4962-BA29-EF7B61E73F24}"/>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1FE545-41C1-4886-888F-26FDEC904DE7}" type="doc">
      <dgm:prSet loTypeId="urn:microsoft.com/office/officeart/2005/8/layout/radial4" loCatId="relationship" qsTypeId="urn:microsoft.com/office/officeart/2005/8/quickstyle/simple1" qsCatId="simple" csTypeId="urn:microsoft.com/office/officeart/2005/8/colors/accent3_1" csCatId="accent3" phldr="1"/>
      <dgm:spPr/>
      <dgm:t>
        <a:bodyPr/>
        <a:lstStyle/>
        <a:p>
          <a:endParaRPr lang="ru-RU"/>
        </a:p>
      </dgm:t>
    </dgm:pt>
    <dgm:pt modelId="{D928B62D-76CC-4650-96E5-79AFBBAAFE0C}">
      <dgm:prSet phldrT="[Текст]" custT="1"/>
      <dgm:spPr/>
      <dgm:t>
        <a:bodyPr/>
        <a:lstStyle/>
        <a:p>
          <a:r>
            <a:rPr lang="ru-RU" sz="800" b="1">
              <a:latin typeface="Times New Roman" panose="02020603050405020304" pitchFamily="18" charset="0"/>
              <a:cs typeface="Times New Roman" panose="02020603050405020304" pitchFamily="18" charset="0"/>
            </a:rPr>
            <a:t>БЕЗВОЗМЕЗДНЫЕ</a:t>
          </a:r>
        </a:p>
        <a:p>
          <a:r>
            <a:rPr lang="ru-RU" sz="800" b="1">
              <a:latin typeface="Times New Roman" panose="02020603050405020304" pitchFamily="18" charset="0"/>
              <a:cs typeface="Times New Roman" panose="02020603050405020304" pitchFamily="18" charset="0"/>
            </a:rPr>
            <a:t>ПОСТУПЛЕНИЯ </a:t>
          </a:r>
        </a:p>
        <a:p>
          <a:r>
            <a:rPr lang="ru-RU" sz="1500" b="1">
              <a:latin typeface="Times New Roman" panose="02020603050405020304" pitchFamily="18" charset="0"/>
              <a:cs typeface="Times New Roman" panose="02020603050405020304" pitchFamily="18" charset="0"/>
            </a:rPr>
            <a:t>42 880,6</a:t>
          </a:r>
          <a:endParaRPr lang="ru-RU" sz="1500"/>
        </a:p>
      </dgm:t>
    </dgm:pt>
    <dgm:pt modelId="{C4641B4F-0E1E-4040-A9CC-465A6FF243BB}" type="parTrans" cxnId="{C9E35874-5010-4ADC-8C09-695615830C4E}">
      <dgm:prSet/>
      <dgm:spPr/>
      <dgm:t>
        <a:bodyPr/>
        <a:lstStyle/>
        <a:p>
          <a:endParaRPr lang="ru-RU"/>
        </a:p>
      </dgm:t>
    </dgm:pt>
    <dgm:pt modelId="{E4A5554B-E9F8-4DFA-A368-367E70EB38CD}" type="sibTrans" cxnId="{C9E35874-5010-4ADC-8C09-695615830C4E}">
      <dgm:prSet/>
      <dgm:spPr/>
      <dgm:t>
        <a:bodyPr/>
        <a:lstStyle/>
        <a:p>
          <a:endParaRPr lang="ru-RU"/>
        </a:p>
      </dgm:t>
    </dgm:pt>
    <dgm:pt modelId="{C5428DC7-7BB1-47C7-B047-DA924A302F2E}">
      <dgm:prSet phldrT="[Текст]"/>
      <dgm:spPr/>
      <dgm:t>
        <a:bodyPr/>
        <a:lstStyle/>
        <a:p>
          <a:r>
            <a:rPr lang="ru-RU" b="1">
              <a:latin typeface="Times New Roman" panose="02020603050405020304" pitchFamily="18" charset="0"/>
              <a:cs typeface="Times New Roman" panose="02020603050405020304" pitchFamily="18" charset="0"/>
            </a:rPr>
            <a:t>ДОТАЦИИ</a:t>
          </a:r>
        </a:p>
        <a:p>
          <a:r>
            <a:rPr lang="ru-RU" b="1">
              <a:latin typeface="Times New Roman" panose="02020603050405020304" pitchFamily="18" charset="0"/>
              <a:cs typeface="Times New Roman" panose="02020603050405020304" pitchFamily="18" charset="0"/>
            </a:rPr>
            <a:t>23 761,2</a:t>
          </a:r>
        </a:p>
        <a:p>
          <a:endParaRPr lang="ru-RU"/>
        </a:p>
      </dgm:t>
    </dgm:pt>
    <dgm:pt modelId="{F4ABABEF-7A32-4F85-B2A4-0B81F777C168}" type="parTrans" cxnId="{31B419AC-8A22-4A4D-AEF7-C6246D29C2A6}">
      <dgm:prSet/>
      <dgm:spPr/>
      <dgm:t>
        <a:bodyPr/>
        <a:lstStyle/>
        <a:p>
          <a:endParaRPr lang="ru-RU"/>
        </a:p>
      </dgm:t>
    </dgm:pt>
    <dgm:pt modelId="{81AB332A-605F-4332-A6EC-8A55BF604551}" type="sibTrans" cxnId="{31B419AC-8A22-4A4D-AEF7-C6246D29C2A6}">
      <dgm:prSet/>
      <dgm:spPr/>
      <dgm:t>
        <a:bodyPr/>
        <a:lstStyle/>
        <a:p>
          <a:endParaRPr lang="ru-RU"/>
        </a:p>
      </dgm:t>
    </dgm:pt>
    <dgm:pt modelId="{EFE4ACEB-8A2D-48A5-AFDC-180C04AE07C1}">
      <dgm:prSet phldrT="[Текст]"/>
      <dgm:spPr/>
      <dgm:t>
        <a:bodyPr/>
        <a:lstStyle/>
        <a:p>
          <a:r>
            <a:rPr lang="ru-RU" b="1">
              <a:latin typeface="Times New Roman" panose="02020603050405020304" pitchFamily="18" charset="0"/>
              <a:cs typeface="Times New Roman" panose="02020603050405020304" pitchFamily="18" charset="0"/>
            </a:rPr>
            <a:t>СУБСИДИИ</a:t>
          </a:r>
        </a:p>
        <a:p>
          <a:r>
            <a:rPr lang="ru-RU" b="1">
              <a:latin typeface="Times New Roman" panose="02020603050405020304" pitchFamily="18" charset="0"/>
              <a:cs typeface="Times New Roman" panose="02020603050405020304" pitchFamily="18" charset="0"/>
            </a:rPr>
            <a:t>16 964,3</a:t>
          </a:r>
          <a:endParaRPr lang="ru-RU"/>
        </a:p>
      </dgm:t>
    </dgm:pt>
    <dgm:pt modelId="{3DA18B77-5EDE-420E-B9FD-7C0573154054}" type="parTrans" cxnId="{296FB506-320E-4F5A-90F1-F921791FFBA8}">
      <dgm:prSet/>
      <dgm:spPr/>
      <dgm:t>
        <a:bodyPr/>
        <a:lstStyle/>
        <a:p>
          <a:endParaRPr lang="ru-RU"/>
        </a:p>
      </dgm:t>
    </dgm:pt>
    <dgm:pt modelId="{9E0D1E27-0D9C-4371-8D80-63DCB2F760E2}" type="sibTrans" cxnId="{296FB506-320E-4F5A-90F1-F921791FFBA8}">
      <dgm:prSet/>
      <dgm:spPr/>
      <dgm:t>
        <a:bodyPr/>
        <a:lstStyle/>
        <a:p>
          <a:endParaRPr lang="ru-RU"/>
        </a:p>
      </dgm:t>
    </dgm:pt>
    <dgm:pt modelId="{D7023D95-43A4-4007-B990-F7CDD9E3BCA5}">
      <dgm:prSet phldrT="[Текст]"/>
      <dgm:spPr/>
      <dgm:t>
        <a:bodyPr/>
        <a:lstStyle/>
        <a:p>
          <a:r>
            <a:rPr lang="ru-RU" b="1">
              <a:latin typeface="Times New Roman" panose="02020603050405020304" pitchFamily="18" charset="0"/>
              <a:cs typeface="Times New Roman" panose="02020603050405020304" pitchFamily="18" charset="0"/>
            </a:rPr>
            <a:t>СУБВЕНЦИИ</a:t>
          </a:r>
        </a:p>
        <a:p>
          <a:r>
            <a:rPr lang="ru-RU" b="1">
              <a:latin typeface="Times New Roman" panose="02020603050405020304" pitchFamily="18" charset="0"/>
              <a:cs typeface="Times New Roman" panose="02020603050405020304" pitchFamily="18" charset="0"/>
            </a:rPr>
            <a:t>1 302,0</a:t>
          </a:r>
        </a:p>
        <a:p>
          <a:endParaRPr lang="ru-RU"/>
        </a:p>
      </dgm:t>
    </dgm:pt>
    <dgm:pt modelId="{39029DF9-C4AB-4D2A-90BE-58579A5E6038}" type="parTrans" cxnId="{987DAF4B-4D3C-4311-A07B-F6243B304D3B}">
      <dgm:prSet/>
      <dgm:spPr/>
      <dgm:t>
        <a:bodyPr/>
        <a:lstStyle/>
        <a:p>
          <a:endParaRPr lang="ru-RU"/>
        </a:p>
      </dgm:t>
    </dgm:pt>
    <dgm:pt modelId="{6E50C470-A58F-4A43-8306-050327FACFB1}" type="sibTrans" cxnId="{987DAF4B-4D3C-4311-A07B-F6243B304D3B}">
      <dgm:prSet/>
      <dgm:spPr/>
      <dgm:t>
        <a:bodyPr/>
        <a:lstStyle/>
        <a:p>
          <a:endParaRPr lang="ru-RU"/>
        </a:p>
      </dgm:t>
    </dgm:pt>
    <dgm:pt modelId="{5B9750D7-349D-4EA8-8871-0010CC080677}">
      <dgm:prSet/>
      <dgm:spPr/>
      <dgm:t>
        <a:bodyPr/>
        <a:lstStyle/>
        <a:p>
          <a:r>
            <a:rPr lang="ru-RU" b="1">
              <a:latin typeface="Times New Roman" panose="02020603050405020304" pitchFamily="18" charset="0"/>
              <a:cs typeface="Times New Roman" panose="02020603050405020304" pitchFamily="18" charset="0"/>
            </a:rPr>
            <a:t>ИНЫЕ МБТ </a:t>
          </a:r>
          <a:br>
            <a:rPr lang="ru-RU" b="1">
              <a:latin typeface="Times New Roman" panose="02020603050405020304" pitchFamily="18" charset="0"/>
              <a:cs typeface="Times New Roman" panose="02020603050405020304" pitchFamily="18" charset="0"/>
            </a:rPr>
          </a:br>
          <a:r>
            <a:rPr lang="ru-RU" b="1">
              <a:latin typeface="Times New Roman" panose="02020603050405020304" pitchFamily="18" charset="0"/>
              <a:cs typeface="Times New Roman" panose="02020603050405020304" pitchFamily="18" charset="0"/>
            </a:rPr>
            <a:t>866,7</a:t>
          </a:r>
          <a:endParaRPr lang="ru-RU"/>
        </a:p>
      </dgm:t>
    </dgm:pt>
    <dgm:pt modelId="{59E02930-1F16-45F7-AFB9-F54A2BCD99E8}" type="parTrans" cxnId="{0798B6DF-06F9-4645-B742-82E6AB66A01A}">
      <dgm:prSet/>
      <dgm:spPr/>
      <dgm:t>
        <a:bodyPr/>
        <a:lstStyle/>
        <a:p>
          <a:endParaRPr lang="ru-RU"/>
        </a:p>
      </dgm:t>
    </dgm:pt>
    <dgm:pt modelId="{698468EC-D31E-4E17-9297-567C18CACD60}" type="sibTrans" cxnId="{0798B6DF-06F9-4645-B742-82E6AB66A01A}">
      <dgm:prSet/>
      <dgm:spPr/>
      <dgm:t>
        <a:bodyPr/>
        <a:lstStyle/>
        <a:p>
          <a:endParaRPr lang="ru-RU"/>
        </a:p>
      </dgm:t>
    </dgm:pt>
    <dgm:pt modelId="{CE0629D2-81AF-4445-8115-F929F496778F}">
      <dgm:prSet/>
      <dgm:spPr/>
      <dgm:t>
        <a:bodyPr/>
        <a:lstStyle/>
        <a:p>
          <a:r>
            <a:rPr lang="ru-RU" b="1">
              <a:latin typeface="Times New Roman" panose="02020603050405020304" pitchFamily="18" charset="0"/>
              <a:cs typeface="Times New Roman" panose="02020603050405020304" pitchFamily="18" charset="0"/>
            </a:rPr>
            <a:t>Другие безвозмездные поступления      -13,6</a:t>
          </a:r>
        </a:p>
      </dgm:t>
    </dgm:pt>
    <dgm:pt modelId="{388FC0BA-DABB-4D5B-AA86-2FA0BC3A1F1F}" type="parTrans" cxnId="{74C67A4A-D308-4D16-AB7C-BA468F1F2744}">
      <dgm:prSet/>
      <dgm:spPr/>
      <dgm:t>
        <a:bodyPr/>
        <a:lstStyle/>
        <a:p>
          <a:endParaRPr lang="ru-RU"/>
        </a:p>
      </dgm:t>
    </dgm:pt>
    <dgm:pt modelId="{8DF11364-E49A-4D88-8E85-10DEB73BBD02}" type="sibTrans" cxnId="{74C67A4A-D308-4D16-AB7C-BA468F1F2744}">
      <dgm:prSet/>
      <dgm:spPr/>
      <dgm:t>
        <a:bodyPr/>
        <a:lstStyle/>
        <a:p>
          <a:endParaRPr lang="ru-RU"/>
        </a:p>
      </dgm:t>
    </dgm:pt>
    <dgm:pt modelId="{53C44DD3-AB11-439C-B90E-D784834122CF}" type="pres">
      <dgm:prSet presAssocID="{F91FE545-41C1-4886-888F-26FDEC904DE7}" presName="cycle" presStyleCnt="0">
        <dgm:presLayoutVars>
          <dgm:chMax val="1"/>
          <dgm:dir/>
          <dgm:animLvl val="ctr"/>
          <dgm:resizeHandles val="exact"/>
        </dgm:presLayoutVars>
      </dgm:prSet>
      <dgm:spPr/>
      <dgm:t>
        <a:bodyPr/>
        <a:lstStyle/>
        <a:p>
          <a:endParaRPr lang="ru-RU"/>
        </a:p>
      </dgm:t>
    </dgm:pt>
    <dgm:pt modelId="{3E972B4F-1ACA-49FB-9633-3B1B38DA999E}" type="pres">
      <dgm:prSet presAssocID="{D928B62D-76CC-4650-96E5-79AFBBAAFE0C}" presName="centerShape" presStyleLbl="node0" presStyleIdx="0" presStyleCnt="1" custScaleX="102942" custScaleY="100398"/>
      <dgm:spPr/>
      <dgm:t>
        <a:bodyPr/>
        <a:lstStyle/>
        <a:p>
          <a:endParaRPr lang="ru-RU"/>
        </a:p>
      </dgm:t>
    </dgm:pt>
    <dgm:pt modelId="{B42141DB-0D45-4A7D-95D8-3267C7E1F57D}" type="pres">
      <dgm:prSet presAssocID="{F4ABABEF-7A32-4F85-B2A4-0B81F777C168}" presName="parTrans" presStyleLbl="bgSibTrans2D1" presStyleIdx="0" presStyleCnt="5"/>
      <dgm:spPr/>
      <dgm:t>
        <a:bodyPr/>
        <a:lstStyle/>
        <a:p>
          <a:endParaRPr lang="ru-RU"/>
        </a:p>
      </dgm:t>
    </dgm:pt>
    <dgm:pt modelId="{FFE45161-7E00-467D-B8D1-ED3CFD60D144}" type="pres">
      <dgm:prSet presAssocID="{C5428DC7-7BB1-47C7-B047-DA924A302F2E}" presName="node" presStyleLbl="node1" presStyleIdx="0" presStyleCnt="5">
        <dgm:presLayoutVars>
          <dgm:bulletEnabled val="1"/>
        </dgm:presLayoutVars>
      </dgm:prSet>
      <dgm:spPr/>
      <dgm:t>
        <a:bodyPr/>
        <a:lstStyle/>
        <a:p>
          <a:endParaRPr lang="ru-RU"/>
        </a:p>
      </dgm:t>
    </dgm:pt>
    <dgm:pt modelId="{2ED9B047-98DB-4941-BA05-88E6B9F67AA6}" type="pres">
      <dgm:prSet presAssocID="{3DA18B77-5EDE-420E-B9FD-7C0573154054}" presName="parTrans" presStyleLbl="bgSibTrans2D1" presStyleIdx="1" presStyleCnt="5"/>
      <dgm:spPr/>
      <dgm:t>
        <a:bodyPr/>
        <a:lstStyle/>
        <a:p>
          <a:endParaRPr lang="ru-RU"/>
        </a:p>
      </dgm:t>
    </dgm:pt>
    <dgm:pt modelId="{E698333E-CFC3-41B3-99F4-94D127DB924A}" type="pres">
      <dgm:prSet presAssocID="{EFE4ACEB-8A2D-48A5-AFDC-180C04AE07C1}" presName="node" presStyleLbl="node1" presStyleIdx="1" presStyleCnt="5">
        <dgm:presLayoutVars>
          <dgm:bulletEnabled val="1"/>
        </dgm:presLayoutVars>
      </dgm:prSet>
      <dgm:spPr/>
      <dgm:t>
        <a:bodyPr/>
        <a:lstStyle/>
        <a:p>
          <a:endParaRPr lang="ru-RU"/>
        </a:p>
      </dgm:t>
    </dgm:pt>
    <dgm:pt modelId="{6AA653CD-67EB-4ED6-A3CE-B6E20FF2D836}" type="pres">
      <dgm:prSet presAssocID="{39029DF9-C4AB-4D2A-90BE-58579A5E6038}" presName="parTrans" presStyleLbl="bgSibTrans2D1" presStyleIdx="2" presStyleCnt="5"/>
      <dgm:spPr/>
      <dgm:t>
        <a:bodyPr/>
        <a:lstStyle/>
        <a:p>
          <a:endParaRPr lang="ru-RU"/>
        </a:p>
      </dgm:t>
    </dgm:pt>
    <dgm:pt modelId="{F7429BD1-CE1D-4DEB-B7C5-8F9454A5EA4D}" type="pres">
      <dgm:prSet presAssocID="{D7023D95-43A4-4007-B990-F7CDD9E3BCA5}" presName="node" presStyleLbl="node1" presStyleIdx="2" presStyleCnt="5">
        <dgm:presLayoutVars>
          <dgm:bulletEnabled val="1"/>
        </dgm:presLayoutVars>
      </dgm:prSet>
      <dgm:spPr/>
      <dgm:t>
        <a:bodyPr/>
        <a:lstStyle/>
        <a:p>
          <a:endParaRPr lang="ru-RU"/>
        </a:p>
      </dgm:t>
    </dgm:pt>
    <dgm:pt modelId="{35A2A9A3-3FC2-4764-94E5-C110B6C9345E}" type="pres">
      <dgm:prSet presAssocID="{59E02930-1F16-45F7-AFB9-F54A2BCD99E8}" presName="parTrans" presStyleLbl="bgSibTrans2D1" presStyleIdx="3" presStyleCnt="5"/>
      <dgm:spPr/>
      <dgm:t>
        <a:bodyPr/>
        <a:lstStyle/>
        <a:p>
          <a:endParaRPr lang="ru-RU"/>
        </a:p>
      </dgm:t>
    </dgm:pt>
    <dgm:pt modelId="{194FEFDE-88DB-4B46-BEAB-B440C9100127}" type="pres">
      <dgm:prSet presAssocID="{5B9750D7-349D-4EA8-8871-0010CC080677}" presName="node" presStyleLbl="node1" presStyleIdx="3" presStyleCnt="5">
        <dgm:presLayoutVars>
          <dgm:bulletEnabled val="1"/>
        </dgm:presLayoutVars>
      </dgm:prSet>
      <dgm:spPr/>
      <dgm:t>
        <a:bodyPr/>
        <a:lstStyle/>
        <a:p>
          <a:endParaRPr lang="ru-RU"/>
        </a:p>
      </dgm:t>
    </dgm:pt>
    <dgm:pt modelId="{2BEAED61-1A40-42EE-BA12-916875F236B7}" type="pres">
      <dgm:prSet presAssocID="{388FC0BA-DABB-4D5B-AA86-2FA0BC3A1F1F}" presName="parTrans" presStyleLbl="bgSibTrans2D1" presStyleIdx="4" presStyleCnt="5"/>
      <dgm:spPr/>
      <dgm:t>
        <a:bodyPr/>
        <a:lstStyle/>
        <a:p>
          <a:endParaRPr lang="ru-RU"/>
        </a:p>
      </dgm:t>
    </dgm:pt>
    <dgm:pt modelId="{EF02C322-F256-4230-BD01-09992CC9E397}" type="pres">
      <dgm:prSet presAssocID="{CE0629D2-81AF-4445-8115-F929F496778F}" presName="node" presStyleLbl="node1" presStyleIdx="4" presStyleCnt="5">
        <dgm:presLayoutVars>
          <dgm:bulletEnabled val="1"/>
        </dgm:presLayoutVars>
      </dgm:prSet>
      <dgm:spPr/>
      <dgm:t>
        <a:bodyPr/>
        <a:lstStyle/>
        <a:p>
          <a:endParaRPr lang="ru-RU"/>
        </a:p>
      </dgm:t>
    </dgm:pt>
  </dgm:ptLst>
  <dgm:cxnLst>
    <dgm:cxn modelId="{7E8E135F-A7DE-40EE-8BE2-C2323F65488A}" type="presOf" srcId="{D928B62D-76CC-4650-96E5-79AFBBAAFE0C}" destId="{3E972B4F-1ACA-49FB-9633-3B1B38DA999E}" srcOrd="0" destOrd="0" presId="urn:microsoft.com/office/officeart/2005/8/layout/radial4"/>
    <dgm:cxn modelId="{8D9DCEBB-9A6A-4903-882D-0D8338EB5104}" type="presOf" srcId="{D7023D95-43A4-4007-B990-F7CDD9E3BCA5}" destId="{F7429BD1-CE1D-4DEB-B7C5-8F9454A5EA4D}" srcOrd="0" destOrd="0" presId="urn:microsoft.com/office/officeart/2005/8/layout/radial4"/>
    <dgm:cxn modelId="{FA289D62-41D2-4E27-844F-63B3D817E950}" type="presOf" srcId="{F4ABABEF-7A32-4F85-B2A4-0B81F777C168}" destId="{B42141DB-0D45-4A7D-95D8-3267C7E1F57D}" srcOrd="0" destOrd="0" presId="urn:microsoft.com/office/officeart/2005/8/layout/radial4"/>
    <dgm:cxn modelId="{73198E25-58EF-4309-AC7B-E2EC9FC9850A}" type="presOf" srcId="{5B9750D7-349D-4EA8-8871-0010CC080677}" destId="{194FEFDE-88DB-4B46-BEAB-B440C9100127}" srcOrd="0" destOrd="0" presId="urn:microsoft.com/office/officeart/2005/8/layout/radial4"/>
    <dgm:cxn modelId="{C9E35874-5010-4ADC-8C09-695615830C4E}" srcId="{F91FE545-41C1-4886-888F-26FDEC904DE7}" destId="{D928B62D-76CC-4650-96E5-79AFBBAAFE0C}" srcOrd="0" destOrd="0" parTransId="{C4641B4F-0E1E-4040-A9CC-465A6FF243BB}" sibTransId="{E4A5554B-E9F8-4DFA-A368-367E70EB38CD}"/>
    <dgm:cxn modelId="{296FB506-320E-4F5A-90F1-F921791FFBA8}" srcId="{D928B62D-76CC-4650-96E5-79AFBBAAFE0C}" destId="{EFE4ACEB-8A2D-48A5-AFDC-180C04AE07C1}" srcOrd="1" destOrd="0" parTransId="{3DA18B77-5EDE-420E-B9FD-7C0573154054}" sibTransId="{9E0D1E27-0D9C-4371-8D80-63DCB2F760E2}"/>
    <dgm:cxn modelId="{E4112806-9073-4A82-9A12-6212365A8F35}" type="presOf" srcId="{59E02930-1F16-45F7-AFB9-F54A2BCD99E8}" destId="{35A2A9A3-3FC2-4764-94E5-C110B6C9345E}" srcOrd="0" destOrd="0" presId="urn:microsoft.com/office/officeart/2005/8/layout/radial4"/>
    <dgm:cxn modelId="{31B419AC-8A22-4A4D-AEF7-C6246D29C2A6}" srcId="{D928B62D-76CC-4650-96E5-79AFBBAAFE0C}" destId="{C5428DC7-7BB1-47C7-B047-DA924A302F2E}" srcOrd="0" destOrd="0" parTransId="{F4ABABEF-7A32-4F85-B2A4-0B81F777C168}" sibTransId="{81AB332A-605F-4332-A6EC-8A55BF604551}"/>
    <dgm:cxn modelId="{084F1DD8-41D1-4E5F-B4B8-BFC34F8F7538}" type="presOf" srcId="{388FC0BA-DABB-4D5B-AA86-2FA0BC3A1F1F}" destId="{2BEAED61-1A40-42EE-BA12-916875F236B7}" srcOrd="0" destOrd="0" presId="urn:microsoft.com/office/officeart/2005/8/layout/radial4"/>
    <dgm:cxn modelId="{0798B6DF-06F9-4645-B742-82E6AB66A01A}" srcId="{D928B62D-76CC-4650-96E5-79AFBBAAFE0C}" destId="{5B9750D7-349D-4EA8-8871-0010CC080677}" srcOrd="3" destOrd="0" parTransId="{59E02930-1F16-45F7-AFB9-F54A2BCD99E8}" sibTransId="{698468EC-D31E-4E17-9297-567C18CACD60}"/>
    <dgm:cxn modelId="{BA7E0FDE-2C22-4106-B846-8F85E57F9C5C}" type="presOf" srcId="{3DA18B77-5EDE-420E-B9FD-7C0573154054}" destId="{2ED9B047-98DB-4941-BA05-88E6B9F67AA6}" srcOrd="0" destOrd="0" presId="urn:microsoft.com/office/officeart/2005/8/layout/radial4"/>
    <dgm:cxn modelId="{9D6EB050-A87A-40F3-B8CB-83404FFB22F4}" type="presOf" srcId="{39029DF9-C4AB-4D2A-90BE-58579A5E6038}" destId="{6AA653CD-67EB-4ED6-A3CE-B6E20FF2D836}" srcOrd="0" destOrd="0" presId="urn:microsoft.com/office/officeart/2005/8/layout/radial4"/>
    <dgm:cxn modelId="{25BA5B44-76EF-4DDD-ADA1-0A9F9BCB904A}" type="presOf" srcId="{C5428DC7-7BB1-47C7-B047-DA924A302F2E}" destId="{FFE45161-7E00-467D-B8D1-ED3CFD60D144}" srcOrd="0" destOrd="0" presId="urn:microsoft.com/office/officeart/2005/8/layout/radial4"/>
    <dgm:cxn modelId="{F165CFA9-2BE2-49BD-9848-D66AC3FE4658}" type="presOf" srcId="{F91FE545-41C1-4886-888F-26FDEC904DE7}" destId="{53C44DD3-AB11-439C-B90E-D784834122CF}" srcOrd="0" destOrd="0" presId="urn:microsoft.com/office/officeart/2005/8/layout/radial4"/>
    <dgm:cxn modelId="{74C67A4A-D308-4D16-AB7C-BA468F1F2744}" srcId="{D928B62D-76CC-4650-96E5-79AFBBAAFE0C}" destId="{CE0629D2-81AF-4445-8115-F929F496778F}" srcOrd="4" destOrd="0" parTransId="{388FC0BA-DABB-4D5B-AA86-2FA0BC3A1F1F}" sibTransId="{8DF11364-E49A-4D88-8E85-10DEB73BBD02}"/>
    <dgm:cxn modelId="{D9EEC334-F1DA-4867-A5F0-2C4CAC762EBE}" type="presOf" srcId="{CE0629D2-81AF-4445-8115-F929F496778F}" destId="{EF02C322-F256-4230-BD01-09992CC9E397}" srcOrd="0" destOrd="0" presId="urn:microsoft.com/office/officeart/2005/8/layout/radial4"/>
    <dgm:cxn modelId="{7BCAFA72-E9A6-4CFA-A250-2EAD99E3BD5D}" type="presOf" srcId="{EFE4ACEB-8A2D-48A5-AFDC-180C04AE07C1}" destId="{E698333E-CFC3-41B3-99F4-94D127DB924A}" srcOrd="0" destOrd="0" presId="urn:microsoft.com/office/officeart/2005/8/layout/radial4"/>
    <dgm:cxn modelId="{987DAF4B-4D3C-4311-A07B-F6243B304D3B}" srcId="{D928B62D-76CC-4650-96E5-79AFBBAAFE0C}" destId="{D7023D95-43A4-4007-B990-F7CDD9E3BCA5}" srcOrd="2" destOrd="0" parTransId="{39029DF9-C4AB-4D2A-90BE-58579A5E6038}" sibTransId="{6E50C470-A58F-4A43-8306-050327FACFB1}"/>
    <dgm:cxn modelId="{AEFD5D60-3411-4BF2-AAB1-05DB5085E690}" type="presParOf" srcId="{53C44DD3-AB11-439C-B90E-D784834122CF}" destId="{3E972B4F-1ACA-49FB-9633-3B1B38DA999E}" srcOrd="0" destOrd="0" presId="urn:microsoft.com/office/officeart/2005/8/layout/radial4"/>
    <dgm:cxn modelId="{83088B3D-8F40-43B0-97B1-1B4AA7A09719}" type="presParOf" srcId="{53C44DD3-AB11-439C-B90E-D784834122CF}" destId="{B42141DB-0D45-4A7D-95D8-3267C7E1F57D}" srcOrd="1" destOrd="0" presId="urn:microsoft.com/office/officeart/2005/8/layout/radial4"/>
    <dgm:cxn modelId="{252A2638-5420-4B52-B899-D234997CDC5D}" type="presParOf" srcId="{53C44DD3-AB11-439C-B90E-D784834122CF}" destId="{FFE45161-7E00-467D-B8D1-ED3CFD60D144}" srcOrd="2" destOrd="0" presId="urn:microsoft.com/office/officeart/2005/8/layout/radial4"/>
    <dgm:cxn modelId="{47F24211-BF67-4908-BFE3-C2780FB7A5D5}" type="presParOf" srcId="{53C44DD3-AB11-439C-B90E-D784834122CF}" destId="{2ED9B047-98DB-4941-BA05-88E6B9F67AA6}" srcOrd="3" destOrd="0" presId="urn:microsoft.com/office/officeart/2005/8/layout/radial4"/>
    <dgm:cxn modelId="{E39C6265-C2B9-4643-9ABD-2C670688A991}" type="presParOf" srcId="{53C44DD3-AB11-439C-B90E-D784834122CF}" destId="{E698333E-CFC3-41B3-99F4-94D127DB924A}" srcOrd="4" destOrd="0" presId="urn:microsoft.com/office/officeart/2005/8/layout/radial4"/>
    <dgm:cxn modelId="{4D34683A-4775-44D2-9C6C-DE93A6EAF5FB}" type="presParOf" srcId="{53C44DD3-AB11-439C-B90E-D784834122CF}" destId="{6AA653CD-67EB-4ED6-A3CE-B6E20FF2D836}" srcOrd="5" destOrd="0" presId="urn:microsoft.com/office/officeart/2005/8/layout/radial4"/>
    <dgm:cxn modelId="{87FD3F7E-E275-47C2-B80D-E327C6D037CE}" type="presParOf" srcId="{53C44DD3-AB11-439C-B90E-D784834122CF}" destId="{F7429BD1-CE1D-4DEB-B7C5-8F9454A5EA4D}" srcOrd="6" destOrd="0" presId="urn:microsoft.com/office/officeart/2005/8/layout/radial4"/>
    <dgm:cxn modelId="{78E91F7E-A920-4414-960C-9F6E313992B1}" type="presParOf" srcId="{53C44DD3-AB11-439C-B90E-D784834122CF}" destId="{35A2A9A3-3FC2-4764-94E5-C110B6C9345E}" srcOrd="7" destOrd="0" presId="urn:microsoft.com/office/officeart/2005/8/layout/radial4"/>
    <dgm:cxn modelId="{F7EB2CBF-2C2C-47F0-BC6F-7549EE15A5E4}" type="presParOf" srcId="{53C44DD3-AB11-439C-B90E-D784834122CF}" destId="{194FEFDE-88DB-4B46-BEAB-B440C9100127}" srcOrd="8" destOrd="0" presId="urn:microsoft.com/office/officeart/2005/8/layout/radial4"/>
    <dgm:cxn modelId="{FDFBA1DB-E5A1-448F-BA92-5DC770A87FD3}" type="presParOf" srcId="{53C44DD3-AB11-439C-B90E-D784834122CF}" destId="{2BEAED61-1A40-42EE-BA12-916875F236B7}" srcOrd="9" destOrd="0" presId="urn:microsoft.com/office/officeart/2005/8/layout/radial4"/>
    <dgm:cxn modelId="{CE0A5B69-CA61-43AC-B943-34CFB02006E5}" type="presParOf" srcId="{53C44DD3-AB11-439C-B90E-D784834122CF}" destId="{EF02C322-F256-4230-BD01-09992CC9E397}" srcOrd="10"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972B4F-1ACA-49FB-9633-3B1B38DA999E}">
      <dsp:nvSpPr>
        <dsp:cNvPr id="0" name=""/>
        <dsp:cNvSpPr/>
      </dsp:nvSpPr>
      <dsp:spPr>
        <a:xfrm>
          <a:off x="2090685" y="2043241"/>
          <a:ext cx="1506909" cy="1469669"/>
        </a:xfrm>
        <a:prstGeom prst="ellips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latin typeface="Times New Roman" panose="02020603050405020304" pitchFamily="18" charset="0"/>
              <a:cs typeface="Times New Roman" panose="02020603050405020304" pitchFamily="18" charset="0"/>
            </a:rPr>
            <a:t>БЕЗВОЗМЕЗДНЫЕ</a:t>
          </a:r>
        </a:p>
        <a:p>
          <a:pPr lvl="0" algn="ctr" defTabSz="355600">
            <a:lnSpc>
              <a:spcPct val="90000"/>
            </a:lnSpc>
            <a:spcBef>
              <a:spcPct val="0"/>
            </a:spcBef>
            <a:spcAft>
              <a:spcPct val="35000"/>
            </a:spcAft>
          </a:pPr>
          <a:r>
            <a:rPr lang="ru-RU" sz="800" b="1" kern="1200">
              <a:latin typeface="Times New Roman" panose="02020603050405020304" pitchFamily="18" charset="0"/>
              <a:cs typeface="Times New Roman" panose="02020603050405020304" pitchFamily="18" charset="0"/>
            </a:rPr>
            <a:t>ПОСТУПЛЕНИЯ </a:t>
          </a:r>
        </a:p>
        <a:p>
          <a:pPr lvl="0" algn="ctr" defTabSz="35560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42 880,6</a:t>
          </a:r>
          <a:endParaRPr lang="ru-RU" sz="1500" kern="1200"/>
        </a:p>
      </dsp:txBody>
      <dsp:txXfrm>
        <a:off x="2311367" y="2258469"/>
        <a:ext cx="1065545" cy="1039213"/>
      </dsp:txXfrm>
    </dsp:sp>
    <dsp:sp modelId="{B42141DB-0D45-4A7D-95D8-3267C7E1F57D}">
      <dsp:nvSpPr>
        <dsp:cNvPr id="0" name=""/>
        <dsp:cNvSpPr/>
      </dsp:nvSpPr>
      <dsp:spPr>
        <a:xfrm rot="10800000">
          <a:off x="695761" y="2569478"/>
          <a:ext cx="1318203" cy="417195"/>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E45161-7E00-467D-B8D1-ED3CFD60D144}">
      <dsp:nvSpPr>
        <dsp:cNvPr id="0" name=""/>
        <dsp:cNvSpPr/>
      </dsp:nvSpPr>
      <dsp:spPr>
        <a:xfrm>
          <a:off x="435" y="2221815"/>
          <a:ext cx="1390651" cy="111252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ДОТАЦИИ</a:t>
          </a:r>
        </a:p>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23 761,2</a:t>
          </a:r>
        </a:p>
        <a:p>
          <a:pPr lvl="0" algn="ctr" defTabSz="666750">
            <a:lnSpc>
              <a:spcPct val="90000"/>
            </a:lnSpc>
            <a:spcBef>
              <a:spcPct val="0"/>
            </a:spcBef>
            <a:spcAft>
              <a:spcPct val="35000"/>
            </a:spcAft>
          </a:pPr>
          <a:endParaRPr lang="ru-RU" sz="1500" kern="1200"/>
        </a:p>
      </dsp:txBody>
      <dsp:txXfrm>
        <a:off x="33020" y="2254400"/>
        <a:ext cx="1325481" cy="1047351"/>
      </dsp:txXfrm>
    </dsp:sp>
    <dsp:sp modelId="{2ED9B047-98DB-4941-BA05-88E6B9F67AA6}">
      <dsp:nvSpPr>
        <dsp:cNvPr id="0" name=""/>
        <dsp:cNvSpPr/>
      </dsp:nvSpPr>
      <dsp:spPr>
        <a:xfrm rot="13500000">
          <a:off x="1130647" y="1519569"/>
          <a:ext cx="1327166" cy="417195"/>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698333E-CFC3-41B3-99F4-94D127DB924A}">
      <dsp:nvSpPr>
        <dsp:cNvPr id="0" name=""/>
        <dsp:cNvSpPr/>
      </dsp:nvSpPr>
      <dsp:spPr>
        <a:xfrm>
          <a:off x="629681" y="702682"/>
          <a:ext cx="1390651" cy="111252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СУБСИДИИ</a:t>
          </a:r>
        </a:p>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16 964,3</a:t>
          </a:r>
          <a:endParaRPr lang="ru-RU" sz="1500" kern="1200"/>
        </a:p>
      </dsp:txBody>
      <dsp:txXfrm>
        <a:off x="662266" y="735267"/>
        <a:ext cx="1325481" cy="1047351"/>
      </dsp:txXfrm>
    </dsp:sp>
    <dsp:sp modelId="{6AA653CD-67EB-4ED6-A3CE-B6E20FF2D836}">
      <dsp:nvSpPr>
        <dsp:cNvPr id="0" name=""/>
        <dsp:cNvSpPr/>
      </dsp:nvSpPr>
      <dsp:spPr>
        <a:xfrm rot="16200000">
          <a:off x="2176240" y="1088999"/>
          <a:ext cx="1335799" cy="417195"/>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429BD1-CE1D-4DEB-B7C5-8F9454A5EA4D}">
      <dsp:nvSpPr>
        <dsp:cNvPr id="0" name=""/>
        <dsp:cNvSpPr/>
      </dsp:nvSpPr>
      <dsp:spPr>
        <a:xfrm>
          <a:off x="2148814" y="73436"/>
          <a:ext cx="1390651" cy="111252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СУБВЕНЦИИ</a:t>
          </a:r>
        </a:p>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1 302,0</a:t>
          </a:r>
        </a:p>
        <a:p>
          <a:pPr lvl="0" algn="ctr" defTabSz="666750">
            <a:lnSpc>
              <a:spcPct val="90000"/>
            </a:lnSpc>
            <a:spcBef>
              <a:spcPct val="0"/>
            </a:spcBef>
            <a:spcAft>
              <a:spcPct val="35000"/>
            </a:spcAft>
          </a:pPr>
          <a:endParaRPr lang="ru-RU" sz="1500" kern="1200"/>
        </a:p>
      </dsp:txBody>
      <dsp:txXfrm>
        <a:off x="2181399" y="106021"/>
        <a:ext cx="1325481" cy="1047351"/>
      </dsp:txXfrm>
    </dsp:sp>
    <dsp:sp modelId="{35A2A9A3-3FC2-4764-94E5-C110B6C9345E}">
      <dsp:nvSpPr>
        <dsp:cNvPr id="0" name=""/>
        <dsp:cNvSpPr/>
      </dsp:nvSpPr>
      <dsp:spPr>
        <a:xfrm rot="18900000">
          <a:off x="3230466" y="1519569"/>
          <a:ext cx="1327166" cy="417195"/>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94FEFDE-88DB-4B46-BEAB-B440C9100127}">
      <dsp:nvSpPr>
        <dsp:cNvPr id="0" name=""/>
        <dsp:cNvSpPr/>
      </dsp:nvSpPr>
      <dsp:spPr>
        <a:xfrm>
          <a:off x="3667948" y="702682"/>
          <a:ext cx="1390651" cy="111252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ИНЫЕ МБТ </a:t>
          </a:r>
          <a:br>
            <a:rPr lang="ru-RU" sz="1500" b="1" kern="1200">
              <a:latin typeface="Times New Roman" panose="02020603050405020304" pitchFamily="18" charset="0"/>
              <a:cs typeface="Times New Roman" panose="02020603050405020304" pitchFamily="18" charset="0"/>
            </a:rPr>
          </a:br>
          <a:r>
            <a:rPr lang="ru-RU" sz="1500" b="1" kern="1200">
              <a:latin typeface="Times New Roman" panose="02020603050405020304" pitchFamily="18" charset="0"/>
              <a:cs typeface="Times New Roman" panose="02020603050405020304" pitchFamily="18" charset="0"/>
            </a:rPr>
            <a:t>866,7</a:t>
          </a:r>
          <a:endParaRPr lang="ru-RU" sz="1500" kern="1200"/>
        </a:p>
      </dsp:txBody>
      <dsp:txXfrm>
        <a:off x="3700533" y="735267"/>
        <a:ext cx="1325481" cy="1047351"/>
      </dsp:txXfrm>
    </dsp:sp>
    <dsp:sp modelId="{2BEAED61-1A40-42EE-BA12-916875F236B7}">
      <dsp:nvSpPr>
        <dsp:cNvPr id="0" name=""/>
        <dsp:cNvSpPr/>
      </dsp:nvSpPr>
      <dsp:spPr>
        <a:xfrm>
          <a:off x="3674316" y="2569478"/>
          <a:ext cx="1318203" cy="417195"/>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02C322-F256-4230-BD01-09992CC9E397}">
      <dsp:nvSpPr>
        <dsp:cNvPr id="0" name=""/>
        <dsp:cNvSpPr/>
      </dsp:nvSpPr>
      <dsp:spPr>
        <a:xfrm>
          <a:off x="4297194" y="2221815"/>
          <a:ext cx="1390651" cy="111252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Другие безвозмездные поступления      -13,6</a:t>
          </a:r>
        </a:p>
      </dsp:txBody>
      <dsp:txXfrm>
        <a:off x="4329779" y="2254400"/>
        <a:ext cx="1325481" cy="10473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0.80778</cdr:x>
      <cdr:y>0.0073</cdr:y>
    </cdr:from>
    <cdr:to>
      <cdr:x>1</cdr:x>
      <cdr:y>0.06771</cdr:y>
    </cdr:to>
    <cdr:sp macro="" textlink="">
      <cdr:nvSpPr>
        <cdr:cNvPr id="2" name="TextBox 5"/>
        <cdr:cNvSpPr txBox="1"/>
      </cdr:nvSpPr>
      <cdr:spPr>
        <a:xfrm xmlns:a="http://schemas.openxmlformats.org/drawingml/2006/main">
          <a:off x="5401261" y="32750"/>
          <a:ext cx="1285289" cy="271036"/>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latinLnBrk="0">
            <a:defRPr sz="1800" kern="1200">
              <a:solidFill>
                <a:schemeClr val="tx1"/>
              </a:solidFill>
              <a:latin typeface="+mn-lt"/>
              <a:ea typeface="+mn-ea"/>
              <a:cs typeface="+mn-cs"/>
            </a:defRPr>
          </a:lvl1pPr>
          <a:lvl2pPr marL="457200" algn="l" defTabSz="914400" rtl="0" latinLnBrk="0">
            <a:defRPr sz="1800" kern="1200">
              <a:solidFill>
                <a:schemeClr val="tx1"/>
              </a:solidFill>
              <a:latin typeface="+mn-lt"/>
              <a:ea typeface="+mn-ea"/>
              <a:cs typeface="+mn-cs"/>
            </a:defRPr>
          </a:lvl2pPr>
          <a:lvl3pPr marL="914400" algn="l" defTabSz="914400" rtl="0" latinLnBrk="0">
            <a:defRPr sz="1800" kern="1200">
              <a:solidFill>
                <a:schemeClr val="tx1"/>
              </a:solidFill>
              <a:latin typeface="+mn-lt"/>
              <a:ea typeface="+mn-ea"/>
              <a:cs typeface="+mn-cs"/>
            </a:defRPr>
          </a:lvl3pPr>
          <a:lvl4pPr marL="1371600" algn="l" defTabSz="914400" rtl="0" latinLnBrk="0">
            <a:defRPr sz="1800" kern="1200">
              <a:solidFill>
                <a:schemeClr val="tx1"/>
              </a:solidFill>
              <a:latin typeface="+mn-lt"/>
              <a:ea typeface="+mn-ea"/>
              <a:cs typeface="+mn-cs"/>
            </a:defRPr>
          </a:lvl4pPr>
          <a:lvl5pPr marL="1828800" algn="l" defTabSz="914400" rtl="0" latinLnBrk="0">
            <a:defRPr sz="1800" kern="1200">
              <a:solidFill>
                <a:schemeClr val="tx1"/>
              </a:solidFill>
              <a:latin typeface="+mn-lt"/>
              <a:ea typeface="+mn-ea"/>
              <a:cs typeface="+mn-cs"/>
            </a:defRPr>
          </a:lvl5pPr>
          <a:lvl6pPr marL="2286000" algn="l" defTabSz="914400" rtl="0" latinLnBrk="0">
            <a:defRPr sz="1800" kern="1200">
              <a:solidFill>
                <a:schemeClr val="tx1"/>
              </a:solidFill>
              <a:latin typeface="+mn-lt"/>
              <a:ea typeface="+mn-ea"/>
              <a:cs typeface="+mn-cs"/>
            </a:defRPr>
          </a:lvl6pPr>
          <a:lvl7pPr marL="2743200" algn="l" defTabSz="914400" rtl="0" latinLnBrk="0">
            <a:defRPr sz="1800" kern="1200">
              <a:solidFill>
                <a:schemeClr val="tx1"/>
              </a:solidFill>
              <a:latin typeface="+mn-lt"/>
              <a:ea typeface="+mn-ea"/>
              <a:cs typeface="+mn-cs"/>
            </a:defRPr>
          </a:lvl7pPr>
          <a:lvl8pPr marL="3200400" algn="l" defTabSz="914400" rtl="0" latinLnBrk="0">
            <a:defRPr sz="1800" kern="1200">
              <a:solidFill>
                <a:schemeClr val="tx1"/>
              </a:solidFill>
              <a:latin typeface="+mn-lt"/>
              <a:ea typeface="+mn-ea"/>
              <a:cs typeface="+mn-cs"/>
            </a:defRPr>
          </a:lvl8pPr>
          <a:lvl9pPr marL="3657600" algn="l" defTabSz="914400" rtl="0" latinLnBrk="0">
            <a:defRPr sz="1800" kern="1200">
              <a:solidFill>
                <a:schemeClr val="tx1"/>
              </a:solidFill>
              <a:latin typeface="+mn-lt"/>
              <a:ea typeface="+mn-ea"/>
              <a:cs typeface="+mn-cs"/>
            </a:defRPr>
          </a:lvl9pPr>
        </a:lstStyle>
        <a:p xmlns:a="http://schemas.openxmlformats.org/drawingml/2006/main">
          <a:r>
            <a:rPr lang="ru-RU" sz="1200" b="1" i="1" dirty="0">
              <a:solidFill>
                <a:schemeClr val="accent3">
                  <a:lumMod val="50000"/>
                </a:schemeClr>
              </a:solidFill>
              <a:latin typeface="Times New Roman" panose="02020603050405020304" pitchFamily="18" charset="0"/>
              <a:cs typeface="Times New Roman" panose="02020603050405020304" pitchFamily="18" charset="0"/>
            </a:rPr>
            <a:t>(млн</a:t>
          </a:r>
          <a:r>
            <a:rPr lang="ru-RU" sz="1200" b="1" i="1" baseline="0" dirty="0">
              <a:solidFill>
                <a:schemeClr val="accent3">
                  <a:lumMod val="50000"/>
                </a:schemeClr>
              </a:solidFill>
              <a:latin typeface="Times New Roman" panose="02020603050405020304" pitchFamily="18" charset="0"/>
              <a:cs typeface="Times New Roman" panose="02020603050405020304" pitchFamily="18" charset="0"/>
            </a:rPr>
            <a:t> </a:t>
          </a:r>
          <a:r>
            <a:rPr lang="ru-RU" sz="1200" b="1" i="1" dirty="0">
              <a:solidFill>
                <a:schemeClr val="accent3">
                  <a:lumMod val="50000"/>
                </a:schemeClr>
              </a:solidFill>
              <a:latin typeface="Times New Roman" panose="02020603050405020304" pitchFamily="18" charset="0"/>
              <a:cs typeface="Times New Roman" panose="02020603050405020304" pitchFamily="18" charset="0"/>
            </a:rPr>
            <a:t>рублей)</a:t>
          </a:r>
        </a:p>
      </cdr:txBody>
    </cdr:sp>
  </cdr:relSizeAnchor>
</c:userShapes>
</file>

<file path=word/theme/theme1.xml><?xml version="1.0" encoding="utf-8"?>
<a:theme xmlns:a="http://schemas.openxmlformats.org/drawingml/2006/main" name="Аспект">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Матовое стекло">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7AE3-DE26-4AA5-830E-69F80C17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64</Pages>
  <Words>23427</Words>
  <Characters>133538</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Об основных деятельности Министерства финансов Кабардино-Балкарской Республики за 2021 г. и задачах на 2022 г.</vt:lpstr>
    </vt:vector>
  </TitlesOfParts>
  <Company/>
  <LinksUpToDate>false</LinksUpToDate>
  <CharactersWithSpaces>156652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основных деятельности Министерства финансов Кабардино-Балкарской Республики за 2021 г. и задачах на 2022 г.</dc:title>
  <dc:subject/>
  <dc:creator>МБУ Казакова Фатима 124</dc:creator>
  <cp:keywords/>
  <dc:description/>
  <cp:lastModifiedBy>МБУ Казакова Фатима 124</cp:lastModifiedBy>
  <cp:revision>34</cp:revision>
  <cp:lastPrinted>2026-04-01T08:00:00Z</cp:lastPrinted>
  <dcterms:created xsi:type="dcterms:W3CDTF">2026-03-24T06:34:00Z</dcterms:created>
  <dcterms:modified xsi:type="dcterms:W3CDTF">2026-04-01T08:07:00Z</dcterms:modified>
</cp:coreProperties>
</file>