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A806BAB" w14:textId="77777777" w:rsidR="00705CBC" w:rsidRDefault="00705CBC" w:rsidP="006534E9">
      <w:pPr>
        <w:ind w:firstLine="0"/>
      </w:pPr>
    </w:p>
    <w:sdt>
      <w:sdtPr>
        <w:id w:val="1710375971"/>
      </w:sdtPr>
      <w:sdtEndPr>
        <w:rPr>
          <w:noProof/>
          <w:sz w:val="56"/>
          <w:lang w:eastAsia="ru-RU"/>
        </w:rPr>
      </w:sdtEndPr>
      <w:sdtContent>
        <w:p w14:paraId="3BAF609A" w14:textId="77777777" w:rsidR="00CC12D3" w:rsidRDefault="00CC12D3" w:rsidP="006534E9">
          <w:pPr>
            <w:ind w:firstLine="0"/>
          </w:pPr>
        </w:p>
        <w:p w14:paraId="5219D9D9" w14:textId="6417B3F8" w:rsidR="00CC12D3" w:rsidRDefault="00FA3FC9" w:rsidP="00FA3FC9">
          <w:pPr>
            <w:widowControl/>
            <w:tabs>
              <w:tab w:val="left" w:pos="690"/>
              <w:tab w:val="center" w:pos="5245"/>
            </w:tabs>
            <w:spacing w:after="160" w:line="259" w:lineRule="auto"/>
            <w:ind w:firstLine="0"/>
            <w:jc w:val="left"/>
            <w:rPr>
              <w:noProof/>
              <w:sz w:val="56"/>
              <w:lang w:eastAsia="ru-RU"/>
            </w:rPr>
          </w:pPr>
          <w:r>
            <w:rPr>
              <w:noProof/>
              <w:sz w:val="56"/>
              <w:lang w:eastAsia="ru-RU"/>
            </w:rPr>
            <w:tab/>
          </w:r>
          <w:r>
            <w:rPr>
              <w:noProof/>
              <w:sz w:val="56"/>
              <w:lang w:eastAsia="ru-RU"/>
            </w:rPr>
            <w:tab/>
          </w:r>
          <w:r>
            <w:rPr>
              <w:noProof/>
              <w:sz w:val="56"/>
              <w:lang w:eastAsia="ru-RU"/>
            </w:rPr>
            <w:drawing>
              <wp:inline distT="0" distB="0" distL="0" distR="0" wp14:anchorId="687B7C15" wp14:editId="6454307B">
                <wp:extent cx="2924175" cy="2995934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05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5677" cy="299747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  <w:r w:rsidR="002C0947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D4CC62" wp14:editId="1EB36ADF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2887980</wp:posOffset>
                    </wp:positionV>
                    <wp:extent cx="6931025" cy="6578600"/>
                    <wp:effectExtent l="0" t="0" r="0" b="0"/>
                    <wp:wrapNone/>
                    <wp:docPr id="38" name="Надпись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31025" cy="657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F9B41B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707F74CE" w14:textId="77777777" w:rsidR="00AF524E" w:rsidRPr="00CB7F08" w:rsidRDefault="00AF524E" w:rsidP="00400665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56"/>
                                    <w:szCs w:val="56"/>
                                  </w:rPr>
                                </w:pPr>
                                <w:r w:rsidRPr="00CB7F08"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56"/>
                                    <w:szCs w:val="56"/>
                                  </w:rPr>
                                  <w:t xml:space="preserve">Об основных итогах </w:t>
                                </w:r>
                                <w:r w:rsidRPr="00CB7F08"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56"/>
                                    <w:szCs w:val="56"/>
                                  </w:rPr>
                                  <w:br/>
                                  <w:t xml:space="preserve">деятельности Министерства финансов </w:t>
                                </w:r>
                                <w:r w:rsidRPr="00CB7F08"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56"/>
                                    <w:szCs w:val="56"/>
                                  </w:rPr>
                                  <w:br/>
                                  <w:t>Кабардино-Балкарской Республики за 202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Pr="00CB7F08"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56"/>
                                    <w:szCs w:val="56"/>
                                  </w:rPr>
                                  <w:t xml:space="preserve"> год и задачах на 202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56"/>
                                    <w:szCs w:val="56"/>
                                  </w:rPr>
                                  <w:t>5</w:t>
                                </w:r>
                                <w:r w:rsidRPr="00CB7F08"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56"/>
                                    <w:szCs w:val="56"/>
                                  </w:rPr>
                                  <w:t xml:space="preserve"> год</w:t>
                                </w:r>
                              </w:p>
                              <w:p w14:paraId="64B0EC8F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72700F2D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50031A65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22188802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22267D1C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399A607B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72742932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6D5D4D2F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2F67052D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1E3E67FD" w14:textId="77777777" w:rsidR="00AF524E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color w:val="11B1EA" w:themeColor="accent2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5B282A2D" w14:textId="77777777" w:rsidR="00AF524E" w:rsidRPr="00BC75DB" w:rsidRDefault="00AF524E" w:rsidP="00BC75DB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28"/>
                                    <w:szCs w:val="28"/>
                                  </w:rPr>
                                </w:pPr>
                                <w:r w:rsidRPr="00BC75DB"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28"/>
                                    <w:szCs w:val="28"/>
                                  </w:rPr>
                                  <w:t>НАЛЬЧИК</w:t>
                                </w:r>
                                <w:r w:rsidRPr="00BC75DB">
                                  <w:rPr>
                                    <w:rFonts w:ascii="Times New Roman" w:hAnsi="Times New Roman"/>
                                    <w:b/>
                                    <w:color w:val="568D11" w:themeColor="accent3" w:themeShade="80"/>
                                    <w:sz w:val="28"/>
                                    <w:szCs w:val="28"/>
                                  </w:rPr>
                                  <w:br/>
                                  <w:t xml:space="preserve"> 2025 год</w:t>
                                </w:r>
                              </w:p>
                              <w:p w14:paraId="2EE6F550" w14:textId="77777777" w:rsidR="00AF524E" w:rsidRPr="00CC12D3" w:rsidRDefault="00AF524E" w:rsidP="00F811F4">
                                <w:pPr>
                                  <w:pStyle w:val="af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63C64" w:themeColor="background2" w:themeShade="4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D4CC62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0;margin-top:227.4pt;width:545.75pt;height:51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" filled="f" stroked="f">
                    <v:textbox inset="0,0,0,0">
                      <w:txbxContent>
                        <w:p w14:paraId="72F9B41B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b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707F74CE" w14:textId="77777777" w:rsidR="00AF524E" w:rsidRPr="00CB7F08" w:rsidRDefault="00AF524E" w:rsidP="00400665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56"/>
                              <w:szCs w:val="56"/>
                            </w:rPr>
                          </w:pPr>
                          <w:r w:rsidRPr="00CB7F08"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56"/>
                              <w:szCs w:val="56"/>
                            </w:rPr>
                            <w:t xml:space="preserve">Об основных итогах </w:t>
                          </w:r>
                          <w:r w:rsidRPr="00CB7F08"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56"/>
                              <w:szCs w:val="56"/>
                            </w:rPr>
                            <w:br/>
                            <w:t xml:space="preserve">деятельности Министерства финансов </w:t>
                          </w:r>
                          <w:r w:rsidRPr="00CB7F08"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56"/>
                              <w:szCs w:val="56"/>
                            </w:rPr>
                            <w:br/>
                            <w:t>Кабардино-Балкарской Республики за 202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56"/>
                              <w:szCs w:val="56"/>
                            </w:rPr>
                            <w:t>4</w:t>
                          </w:r>
                          <w:r w:rsidRPr="00CB7F08"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56"/>
                              <w:szCs w:val="56"/>
                            </w:rPr>
                            <w:t xml:space="preserve"> год и задачах на 202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56"/>
                              <w:szCs w:val="56"/>
                            </w:rPr>
                            <w:t>5</w:t>
                          </w:r>
                          <w:r w:rsidRPr="00CB7F08"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56"/>
                              <w:szCs w:val="56"/>
                            </w:rPr>
                            <w:t xml:space="preserve"> год</w:t>
                          </w:r>
                        </w:p>
                        <w:p w14:paraId="64B0EC8F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b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72700F2D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b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50031A65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b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22188802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b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22267D1C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b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399A607B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72742932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6D5D4D2F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2F67052D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1E3E67FD" w14:textId="77777777" w:rsidR="00AF524E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color w:val="11B1EA" w:themeColor="accent2" w:themeShade="BF"/>
                              <w:sz w:val="56"/>
                              <w:szCs w:val="56"/>
                            </w:rPr>
                          </w:pPr>
                        </w:p>
                        <w:p w14:paraId="5B282A2D" w14:textId="77777777" w:rsidR="00AF524E" w:rsidRPr="00BC75DB" w:rsidRDefault="00AF524E" w:rsidP="00BC75DB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28"/>
                              <w:szCs w:val="28"/>
                            </w:rPr>
                          </w:pPr>
                          <w:r w:rsidRPr="00BC75DB"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28"/>
                              <w:szCs w:val="28"/>
                            </w:rPr>
                            <w:t>НАЛЬЧИК</w:t>
                          </w:r>
                          <w:r w:rsidRPr="00BC75DB">
                            <w:rPr>
                              <w:rFonts w:ascii="Times New Roman" w:hAnsi="Times New Roman"/>
                              <w:b/>
                              <w:color w:val="568D11" w:themeColor="accent3" w:themeShade="80"/>
                              <w:sz w:val="28"/>
                              <w:szCs w:val="28"/>
                            </w:rPr>
                            <w:br/>
                            <w:t xml:space="preserve"> 2025 год</w:t>
                          </w:r>
                        </w:p>
                        <w:p w14:paraId="2EE6F550" w14:textId="77777777" w:rsidR="00AF524E" w:rsidRPr="00CC12D3" w:rsidRDefault="00AF524E" w:rsidP="00F811F4">
                          <w:pPr>
                            <w:pStyle w:val="af2"/>
                            <w:jc w:val="center"/>
                            <w:rPr>
                              <w:rFonts w:ascii="Times New Roman" w:hAnsi="Times New Roman"/>
                              <w:b/>
                              <w:color w:val="063C64" w:themeColor="background2" w:themeShade="4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CC12D3">
            <w:rPr>
              <w:noProof/>
              <w:sz w:val="56"/>
              <w:lang w:eastAsia="ru-RU"/>
            </w:rPr>
            <w:br w:type="page"/>
          </w:r>
        </w:p>
      </w:sdtContent>
    </w:sdt>
    <w:p w14:paraId="44C734DF" w14:textId="77777777" w:rsidR="009E70C6" w:rsidRDefault="009E70C6" w:rsidP="00C32F32">
      <w:pPr>
        <w:pStyle w:val="af4"/>
        <w:numPr>
          <w:ilvl w:val="0"/>
          <w:numId w:val="0"/>
        </w:numPr>
        <w:ind w:left="2701"/>
        <w:jc w:val="left"/>
        <w:rPr>
          <w:rFonts w:ascii="Times New Roman" w:hAnsi="Times New Roman"/>
          <w:bCs w:val="0"/>
          <w:color w:val="568D11" w:themeColor="accent3" w:themeShade="80"/>
          <w:sz w:val="28"/>
          <w:szCs w:val="28"/>
          <w:lang w:eastAsia="en-US"/>
        </w:rPr>
      </w:pPr>
    </w:p>
    <w:p w14:paraId="29441D17" w14:textId="77777777" w:rsidR="00717083" w:rsidRPr="00C32F32" w:rsidRDefault="00C32F32" w:rsidP="00C32F32">
      <w:pPr>
        <w:pStyle w:val="af4"/>
        <w:numPr>
          <w:ilvl w:val="0"/>
          <w:numId w:val="0"/>
        </w:numPr>
        <w:ind w:left="2701"/>
        <w:jc w:val="left"/>
        <w:rPr>
          <w:rFonts w:ascii="Times New Roman" w:hAnsi="Times New Roman"/>
          <w:bCs w:val="0"/>
          <w:color w:val="568D11" w:themeColor="accent3" w:themeShade="80"/>
          <w:sz w:val="28"/>
          <w:szCs w:val="28"/>
          <w:lang w:eastAsia="en-US"/>
        </w:rPr>
      </w:pPr>
      <w:r w:rsidRPr="00C32F32">
        <w:rPr>
          <w:rFonts w:ascii="Times New Roman" w:hAnsi="Times New Roman"/>
          <w:bCs w:val="0"/>
          <w:color w:val="568D11" w:themeColor="accent3" w:themeShade="80"/>
          <w:sz w:val="28"/>
          <w:szCs w:val="28"/>
          <w:lang w:eastAsia="en-US"/>
        </w:rPr>
        <w:t>Оглавление</w:t>
      </w:r>
    </w:p>
    <w:p w14:paraId="351CB92C" w14:textId="5269D718" w:rsidR="00003B69" w:rsidRPr="009E70C6" w:rsidRDefault="00D51C8B">
      <w:pPr>
        <w:pStyle w:val="12"/>
        <w:tabs>
          <w:tab w:val="left" w:pos="1320"/>
          <w:tab w:val="right" w:leader="dot" w:pos="10480"/>
        </w:tabs>
        <w:rPr>
          <w:noProof/>
        </w:rPr>
      </w:pPr>
      <w:r>
        <w:fldChar w:fldCharType="begin"/>
      </w:r>
      <w:r w:rsidR="001B1CDB">
        <w:instrText xml:space="preserve"> TOC \o "1-3" \h \z \u </w:instrText>
      </w:r>
      <w:r>
        <w:fldChar w:fldCharType="separate"/>
      </w:r>
      <w:hyperlink w:anchor="_Toc162008700" w:history="1">
        <w:r w:rsidR="00003B69" w:rsidRPr="009E70C6">
          <w:rPr>
            <w:noProof/>
          </w:rPr>
          <w:t>1.</w:t>
        </w:r>
        <w:r w:rsidR="00003B69" w:rsidRPr="009E70C6">
          <w:rPr>
            <w:noProof/>
          </w:rPr>
          <w:tab/>
          <w:t>О результатах приоритетных направлений деятельности Министерства финансов за 202</w:t>
        </w:r>
        <w:r w:rsidR="007A2CD5">
          <w:rPr>
            <w:noProof/>
          </w:rPr>
          <w:t>4</w:t>
        </w:r>
        <w:r w:rsidR="00003B69" w:rsidRPr="009E70C6">
          <w:rPr>
            <w:noProof/>
          </w:rPr>
          <w:t xml:space="preserve"> год</w:t>
        </w:r>
        <w:r w:rsidR="00003B69">
          <w:rPr>
            <w:noProof/>
            <w:webHidden/>
          </w:rPr>
          <w:tab/>
          <w:t>2</w:t>
        </w:r>
      </w:hyperlink>
    </w:p>
    <w:p w14:paraId="29F8A135" w14:textId="416D9FD7" w:rsidR="00003B69" w:rsidRPr="009E70C6" w:rsidRDefault="00AF524E">
      <w:pPr>
        <w:pStyle w:val="12"/>
        <w:tabs>
          <w:tab w:val="left" w:pos="1320"/>
          <w:tab w:val="right" w:leader="dot" w:pos="10480"/>
        </w:tabs>
        <w:rPr>
          <w:noProof/>
        </w:rPr>
      </w:pPr>
      <w:hyperlink w:anchor="_Toc162008702" w:history="1">
        <w:r w:rsidR="00003B69" w:rsidRPr="009E70C6">
          <w:rPr>
            <w:noProof/>
          </w:rPr>
          <w:t>2.</w:t>
        </w:r>
        <w:r w:rsidR="00003B69" w:rsidRPr="009E70C6">
          <w:rPr>
            <w:noProof/>
          </w:rPr>
          <w:tab/>
          <w:t>Деятельность Министерства финансов КБР в области составления и исполнения республиканского бюджета</w:t>
        </w:r>
        <w:r w:rsidR="00003B69">
          <w:rPr>
            <w:noProof/>
            <w:webHidden/>
          </w:rPr>
          <w:tab/>
        </w:r>
        <w:r w:rsidR="009E70C6">
          <w:rPr>
            <w:noProof/>
            <w:webHidden/>
          </w:rPr>
          <w:t>6</w:t>
        </w:r>
      </w:hyperlink>
    </w:p>
    <w:p w14:paraId="424D2806" w14:textId="2599D911" w:rsidR="00003B69" w:rsidRPr="009E70C6" w:rsidRDefault="00AF524E">
      <w:pPr>
        <w:pStyle w:val="12"/>
        <w:tabs>
          <w:tab w:val="left" w:pos="1320"/>
          <w:tab w:val="right" w:leader="dot" w:pos="10480"/>
        </w:tabs>
        <w:rPr>
          <w:noProof/>
        </w:rPr>
      </w:pPr>
      <w:hyperlink w:anchor="_Toc162008793" w:history="1">
        <w:r w:rsidR="00003B69" w:rsidRPr="009E70C6">
          <w:rPr>
            <w:noProof/>
          </w:rPr>
          <w:t>3.</w:t>
        </w:r>
        <w:r w:rsidR="00003B69" w:rsidRPr="009E70C6">
          <w:rPr>
            <w:noProof/>
          </w:rPr>
          <w:tab/>
          <w:t>Мероприятия по предупреждению влияния изменения геополитической и экономической ситуации на развитие отраслей экономики Кабардино-Балкарской Республики</w:t>
        </w:r>
        <w:r w:rsidR="00003B69">
          <w:rPr>
            <w:noProof/>
            <w:webHidden/>
          </w:rPr>
          <w:tab/>
        </w:r>
        <w:r w:rsidR="009E70C6">
          <w:rPr>
            <w:noProof/>
            <w:webHidden/>
          </w:rPr>
          <w:t>21</w:t>
        </w:r>
      </w:hyperlink>
    </w:p>
    <w:p w14:paraId="250549BE" w14:textId="1A29327A" w:rsidR="00003B69" w:rsidRPr="009E70C6" w:rsidRDefault="00AF524E">
      <w:pPr>
        <w:pStyle w:val="12"/>
        <w:tabs>
          <w:tab w:val="left" w:pos="1320"/>
          <w:tab w:val="right" w:leader="dot" w:pos="10480"/>
        </w:tabs>
        <w:rPr>
          <w:noProof/>
        </w:rPr>
      </w:pPr>
      <w:hyperlink w:anchor="_Toc162008794" w:history="1">
        <w:r w:rsidR="00003B69" w:rsidRPr="009E70C6">
          <w:rPr>
            <w:noProof/>
          </w:rPr>
          <w:t>4.</w:t>
        </w:r>
        <w:r w:rsidR="00003B69" w:rsidRPr="009E70C6">
          <w:rPr>
            <w:noProof/>
          </w:rPr>
          <w:tab/>
          <w:t>Деятельность Министерства финансов КБР в области проведения налоговой политики и политики доходов республиканского бюджета КБР</w:t>
        </w:r>
        <w:r w:rsidR="00003B69">
          <w:rPr>
            <w:noProof/>
            <w:webHidden/>
          </w:rPr>
          <w:tab/>
        </w:r>
        <w:r w:rsidR="009E70C6">
          <w:rPr>
            <w:noProof/>
            <w:webHidden/>
          </w:rPr>
          <w:t>23</w:t>
        </w:r>
      </w:hyperlink>
    </w:p>
    <w:p w14:paraId="56EAD683" w14:textId="7DD3BD3A" w:rsidR="00003B69" w:rsidRPr="009E70C6" w:rsidRDefault="00AF524E" w:rsidP="009E70C6">
      <w:pPr>
        <w:pStyle w:val="12"/>
        <w:tabs>
          <w:tab w:val="left" w:pos="1320"/>
          <w:tab w:val="right" w:leader="dot" w:pos="10480"/>
        </w:tabs>
        <w:rPr>
          <w:noProof/>
        </w:rPr>
      </w:pPr>
      <w:hyperlink w:anchor="_Toc162008795" w:history="1">
        <w:r w:rsidR="00003B69" w:rsidRPr="009E70C6">
          <w:rPr>
            <w:noProof/>
          </w:rPr>
          <w:t>5.</w:t>
        </w:r>
        <w:r w:rsidR="00003B69" w:rsidRPr="009E70C6">
          <w:rPr>
            <w:noProof/>
          </w:rPr>
          <w:tab/>
          <w:t>Деятельность Министерства финансов КБР по</w:t>
        </w:r>
      </w:hyperlink>
      <w:hyperlink w:anchor="_Toc162008796" w:history="1">
        <w:r w:rsidR="00003B69" w:rsidRPr="009E70C6">
          <w:rPr>
            <w:noProof/>
          </w:rPr>
          <w:t>нормативно-правовому обеспечению</w:t>
        </w:r>
      </w:hyperlink>
      <w:hyperlink w:anchor="_Toc162008797" w:history="1">
        <w:r w:rsidR="00003B69" w:rsidRPr="009E70C6">
          <w:rPr>
            <w:noProof/>
          </w:rPr>
          <w:t>бюджетного процесса в КБР</w:t>
        </w:r>
        <w:r w:rsidR="00003B69">
          <w:rPr>
            <w:noProof/>
            <w:webHidden/>
          </w:rPr>
          <w:tab/>
        </w:r>
        <w:r w:rsidR="00D51C8B">
          <w:rPr>
            <w:noProof/>
            <w:webHidden/>
          </w:rPr>
          <w:fldChar w:fldCharType="begin"/>
        </w:r>
        <w:r w:rsidR="00003B69">
          <w:rPr>
            <w:noProof/>
            <w:webHidden/>
          </w:rPr>
          <w:instrText xml:space="preserve"> PAGEREF _Toc162008797 \h </w:instrText>
        </w:r>
        <w:r w:rsidR="00D51C8B">
          <w:rPr>
            <w:noProof/>
            <w:webHidden/>
          </w:rPr>
        </w:r>
        <w:r w:rsidR="00D51C8B">
          <w:rPr>
            <w:noProof/>
            <w:webHidden/>
          </w:rPr>
          <w:fldChar w:fldCharType="separate"/>
        </w:r>
        <w:r w:rsidR="00BC70EC">
          <w:rPr>
            <w:noProof/>
            <w:webHidden/>
          </w:rPr>
          <w:t>28</w:t>
        </w:r>
        <w:r w:rsidR="00D51C8B">
          <w:rPr>
            <w:noProof/>
            <w:webHidden/>
          </w:rPr>
          <w:fldChar w:fldCharType="end"/>
        </w:r>
      </w:hyperlink>
    </w:p>
    <w:p w14:paraId="0A344D4A" w14:textId="155DA7AD" w:rsidR="00003B69" w:rsidRPr="009E70C6" w:rsidRDefault="00AF524E">
      <w:pPr>
        <w:pStyle w:val="12"/>
        <w:tabs>
          <w:tab w:val="left" w:pos="1320"/>
          <w:tab w:val="right" w:leader="dot" w:pos="10480"/>
        </w:tabs>
        <w:rPr>
          <w:noProof/>
        </w:rPr>
      </w:pPr>
      <w:hyperlink w:anchor="_Toc162008798" w:history="1">
        <w:r w:rsidR="00003B69" w:rsidRPr="009E70C6">
          <w:rPr>
            <w:noProof/>
          </w:rPr>
          <w:t>6.</w:t>
        </w:r>
        <w:r w:rsidR="00003B69" w:rsidRPr="009E70C6">
          <w:rPr>
            <w:noProof/>
          </w:rPr>
          <w:tab/>
          <w:t>Деятельность Министерства финансов КБР по автоматизации бюджетного процесса</w:t>
        </w:r>
        <w:r w:rsidR="009E70C6">
          <w:rPr>
            <w:noProof/>
            <w:webHidden/>
          </w:rPr>
          <w:t>……………………………………………………………………………………..</w:t>
        </w:r>
        <w:r w:rsidR="00D51C8B">
          <w:rPr>
            <w:noProof/>
            <w:webHidden/>
          </w:rPr>
          <w:fldChar w:fldCharType="begin"/>
        </w:r>
        <w:r w:rsidR="00003B69">
          <w:rPr>
            <w:noProof/>
            <w:webHidden/>
          </w:rPr>
          <w:instrText xml:space="preserve"> PAGEREF _Toc162008798 \h </w:instrText>
        </w:r>
        <w:r w:rsidR="00D51C8B">
          <w:rPr>
            <w:noProof/>
            <w:webHidden/>
          </w:rPr>
        </w:r>
        <w:r w:rsidR="00D51C8B">
          <w:rPr>
            <w:noProof/>
            <w:webHidden/>
          </w:rPr>
          <w:fldChar w:fldCharType="separate"/>
        </w:r>
        <w:r w:rsidR="00BC70EC">
          <w:rPr>
            <w:noProof/>
            <w:webHidden/>
          </w:rPr>
          <w:t>31</w:t>
        </w:r>
        <w:r w:rsidR="00D51C8B">
          <w:rPr>
            <w:noProof/>
            <w:webHidden/>
          </w:rPr>
          <w:fldChar w:fldCharType="end"/>
        </w:r>
      </w:hyperlink>
    </w:p>
    <w:p w14:paraId="1385C05D" w14:textId="4303F417" w:rsidR="00003B69" w:rsidRDefault="00AF524E">
      <w:pPr>
        <w:pStyle w:val="12"/>
        <w:tabs>
          <w:tab w:val="left" w:pos="1320"/>
          <w:tab w:val="right" w:leader="dot" w:pos="1048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ru-RU"/>
        </w:rPr>
      </w:pPr>
      <w:hyperlink w:anchor="_Toc162008799" w:history="1">
        <w:r w:rsidR="00003B69" w:rsidRPr="009E70C6">
          <w:rPr>
            <w:noProof/>
          </w:rPr>
          <w:t>7.</w:t>
        </w:r>
        <w:r w:rsidR="00003B69" w:rsidRPr="009E70C6">
          <w:rPr>
            <w:noProof/>
          </w:rPr>
          <w:tab/>
          <w:t>Деятельность Министерства финансов КБР по кассовому исполнению республиканского бюджета</w:t>
        </w:r>
        <w:r w:rsidR="00003B69">
          <w:rPr>
            <w:noProof/>
            <w:webHidden/>
          </w:rPr>
          <w:tab/>
        </w:r>
        <w:r w:rsidR="009E70C6">
          <w:rPr>
            <w:noProof/>
            <w:webHidden/>
          </w:rPr>
          <w:t>3</w:t>
        </w:r>
      </w:hyperlink>
      <w:r w:rsidR="00CB7862">
        <w:rPr>
          <w:noProof/>
        </w:rPr>
        <w:t>8</w:t>
      </w:r>
    </w:p>
    <w:p w14:paraId="0D317745" w14:textId="39696D2B" w:rsidR="00003B69" w:rsidRDefault="00AF524E">
      <w:pPr>
        <w:pStyle w:val="12"/>
        <w:tabs>
          <w:tab w:val="right" w:leader="dot" w:pos="1048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ru-RU"/>
        </w:rPr>
      </w:pPr>
      <w:hyperlink w:anchor="_Toc162008800" w:history="1">
        <w:r w:rsidR="00003B69" w:rsidRPr="00556E2C">
          <w:rPr>
            <w:rStyle w:val="ae"/>
            <w:noProof/>
          </w:rPr>
          <w:t>8. Деятельность Министерства финансов КБР в сфере бюджетного учета и отчетности организаций государственного сектора</w:t>
        </w:r>
        <w:r w:rsidR="00003B69">
          <w:rPr>
            <w:noProof/>
            <w:webHidden/>
          </w:rPr>
          <w:tab/>
        </w:r>
        <w:r w:rsidR="00D51C8B">
          <w:rPr>
            <w:noProof/>
            <w:webHidden/>
          </w:rPr>
          <w:fldChar w:fldCharType="begin"/>
        </w:r>
        <w:r w:rsidR="00003B69">
          <w:rPr>
            <w:noProof/>
            <w:webHidden/>
          </w:rPr>
          <w:instrText xml:space="preserve"> PAGEREF _Toc162008800 \h </w:instrText>
        </w:r>
        <w:r w:rsidR="00D51C8B">
          <w:rPr>
            <w:noProof/>
            <w:webHidden/>
          </w:rPr>
        </w:r>
        <w:r w:rsidR="00D51C8B">
          <w:rPr>
            <w:noProof/>
            <w:webHidden/>
          </w:rPr>
          <w:fldChar w:fldCharType="separate"/>
        </w:r>
        <w:r w:rsidR="00BC70EC">
          <w:rPr>
            <w:noProof/>
            <w:webHidden/>
          </w:rPr>
          <w:t>40</w:t>
        </w:r>
        <w:r w:rsidR="00D51C8B">
          <w:rPr>
            <w:noProof/>
            <w:webHidden/>
          </w:rPr>
          <w:fldChar w:fldCharType="end"/>
        </w:r>
      </w:hyperlink>
    </w:p>
    <w:p w14:paraId="3DB9507B" w14:textId="382B3A1E" w:rsidR="00003B69" w:rsidRDefault="00AF524E">
      <w:pPr>
        <w:pStyle w:val="12"/>
        <w:tabs>
          <w:tab w:val="right" w:leader="dot" w:pos="1048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ru-RU"/>
        </w:rPr>
      </w:pPr>
      <w:hyperlink w:anchor="_Toc162008801" w:history="1">
        <w:r w:rsidR="00003B69" w:rsidRPr="00556E2C">
          <w:rPr>
            <w:rStyle w:val="ae"/>
            <w:noProof/>
          </w:rPr>
          <w:t>9. Деятельность Министерства финансов КБР в правовой сфере и в сфере государственного финансового контроля</w:t>
        </w:r>
        <w:r w:rsidR="00003B69">
          <w:rPr>
            <w:noProof/>
            <w:webHidden/>
          </w:rPr>
          <w:tab/>
        </w:r>
        <w:r w:rsidR="009E70C6">
          <w:rPr>
            <w:noProof/>
            <w:webHidden/>
          </w:rPr>
          <w:t>4</w:t>
        </w:r>
      </w:hyperlink>
      <w:r w:rsidR="00CB7862">
        <w:rPr>
          <w:noProof/>
        </w:rPr>
        <w:t>3</w:t>
      </w:r>
    </w:p>
    <w:p w14:paraId="0951644A" w14:textId="21E0DD89" w:rsidR="00003B69" w:rsidRDefault="00AF524E">
      <w:pPr>
        <w:pStyle w:val="12"/>
        <w:tabs>
          <w:tab w:val="right" w:leader="dot" w:pos="1048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ru-RU"/>
        </w:rPr>
      </w:pPr>
      <w:hyperlink w:anchor="_Toc162008802" w:history="1">
        <w:r w:rsidR="00003B69" w:rsidRPr="00556E2C">
          <w:rPr>
            <w:rStyle w:val="ae"/>
            <w:noProof/>
          </w:rPr>
          <w:t>10. Деятельность Министерства финансов КБР в сфере профилактики антикоррупционных нарушений</w:t>
        </w:r>
        <w:r w:rsidR="00003B69">
          <w:rPr>
            <w:noProof/>
            <w:webHidden/>
          </w:rPr>
          <w:tab/>
        </w:r>
        <w:r w:rsidR="009E70C6">
          <w:rPr>
            <w:noProof/>
            <w:webHidden/>
          </w:rPr>
          <w:t>4</w:t>
        </w:r>
      </w:hyperlink>
      <w:r w:rsidR="00CB7862">
        <w:rPr>
          <w:noProof/>
        </w:rPr>
        <w:t>4</w:t>
      </w:r>
    </w:p>
    <w:p w14:paraId="12812A0D" w14:textId="2C78DA10" w:rsidR="00003B69" w:rsidRDefault="00AF524E">
      <w:pPr>
        <w:pStyle w:val="12"/>
        <w:tabs>
          <w:tab w:val="right" w:leader="dot" w:pos="1048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ru-RU"/>
        </w:rPr>
      </w:pPr>
      <w:hyperlink w:anchor="_Toc162008803" w:history="1">
        <w:r w:rsidR="00003B69" w:rsidRPr="00556E2C">
          <w:rPr>
            <w:rStyle w:val="ae"/>
            <w:noProof/>
          </w:rPr>
          <w:t>11. Деятельность Общественного совета при Министерстве финансов КБР</w:t>
        </w:r>
        <w:r w:rsidR="00003B69">
          <w:rPr>
            <w:noProof/>
            <w:webHidden/>
          </w:rPr>
          <w:tab/>
        </w:r>
        <w:r w:rsidR="009E70C6">
          <w:rPr>
            <w:noProof/>
            <w:webHidden/>
          </w:rPr>
          <w:t>48</w:t>
        </w:r>
      </w:hyperlink>
    </w:p>
    <w:p w14:paraId="0036ECEC" w14:textId="33525661" w:rsidR="00003B69" w:rsidRDefault="00AF524E">
      <w:pPr>
        <w:pStyle w:val="12"/>
        <w:tabs>
          <w:tab w:val="right" w:leader="dot" w:pos="1048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ru-RU"/>
        </w:rPr>
      </w:pPr>
      <w:hyperlink w:anchor="_Toc162008804" w:history="1">
        <w:r w:rsidR="00003B69" w:rsidRPr="00556E2C">
          <w:rPr>
            <w:rStyle w:val="ae"/>
            <w:noProof/>
          </w:rPr>
          <w:t>12. Деятельность Министерства финансов КБР по реализации государственной программы</w:t>
        </w:r>
        <w:r w:rsidR="00003B69">
          <w:rPr>
            <w:noProof/>
            <w:webHidden/>
          </w:rPr>
          <w:tab/>
        </w:r>
        <w:r w:rsidR="009E70C6">
          <w:rPr>
            <w:noProof/>
            <w:webHidden/>
          </w:rPr>
          <w:t>49</w:t>
        </w:r>
      </w:hyperlink>
    </w:p>
    <w:p w14:paraId="562BD60D" w14:textId="088E2B0C" w:rsidR="00003B69" w:rsidRDefault="00AF524E">
      <w:pPr>
        <w:pStyle w:val="12"/>
        <w:tabs>
          <w:tab w:val="right" w:leader="dot" w:pos="1048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ru-RU"/>
        </w:rPr>
      </w:pPr>
      <w:hyperlink w:anchor="_Toc162008805" w:history="1">
        <w:r w:rsidR="00003B69" w:rsidRPr="00556E2C">
          <w:rPr>
            <w:rStyle w:val="ae"/>
            <w:noProof/>
          </w:rPr>
          <w:t>13. Межбюджетные отношения.</w:t>
        </w:r>
      </w:hyperlink>
      <w:hyperlink w:anchor="_Toc162008806" w:history="1">
        <w:r w:rsidR="00003B69" w:rsidRPr="00556E2C">
          <w:rPr>
            <w:rStyle w:val="ae"/>
            <w:noProof/>
          </w:rPr>
          <w:t xml:space="preserve">Государственная поддержка местных </w:t>
        </w:r>
        <w:r w:rsidR="009E70C6">
          <w:rPr>
            <w:rStyle w:val="ae"/>
            <w:noProof/>
          </w:rPr>
          <w:br/>
        </w:r>
        <w:r w:rsidR="00003B69" w:rsidRPr="00556E2C">
          <w:rPr>
            <w:rStyle w:val="ae"/>
            <w:noProof/>
          </w:rPr>
          <w:t>бюджетов</w:t>
        </w:r>
        <w:r w:rsidR="00003B69">
          <w:rPr>
            <w:noProof/>
            <w:webHidden/>
          </w:rPr>
          <w:tab/>
        </w:r>
        <w:r w:rsidR="00D51C8B">
          <w:rPr>
            <w:noProof/>
            <w:webHidden/>
          </w:rPr>
          <w:fldChar w:fldCharType="begin"/>
        </w:r>
        <w:r w:rsidR="00003B69">
          <w:rPr>
            <w:noProof/>
            <w:webHidden/>
          </w:rPr>
          <w:instrText xml:space="preserve"> PAGEREF _Toc162008806 \h </w:instrText>
        </w:r>
        <w:r w:rsidR="00D51C8B">
          <w:rPr>
            <w:noProof/>
            <w:webHidden/>
          </w:rPr>
        </w:r>
        <w:r w:rsidR="00D51C8B">
          <w:rPr>
            <w:noProof/>
            <w:webHidden/>
          </w:rPr>
          <w:fldChar w:fldCharType="separate"/>
        </w:r>
        <w:r w:rsidR="00BC70EC">
          <w:rPr>
            <w:noProof/>
            <w:webHidden/>
          </w:rPr>
          <w:t>52</w:t>
        </w:r>
        <w:r w:rsidR="00D51C8B">
          <w:rPr>
            <w:noProof/>
            <w:webHidden/>
          </w:rPr>
          <w:fldChar w:fldCharType="end"/>
        </w:r>
      </w:hyperlink>
    </w:p>
    <w:p w14:paraId="6ABF9307" w14:textId="3B8CF438" w:rsidR="00003B69" w:rsidRDefault="00AF524E">
      <w:pPr>
        <w:pStyle w:val="12"/>
        <w:tabs>
          <w:tab w:val="right" w:leader="dot" w:pos="1048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ru-RU"/>
        </w:rPr>
      </w:pPr>
      <w:hyperlink w:anchor="_Toc162008807" w:history="1">
        <w:r w:rsidR="00003B69" w:rsidRPr="00556E2C">
          <w:rPr>
            <w:rStyle w:val="ae"/>
            <w:noProof/>
          </w:rPr>
          <w:t>14. Основные задачи Министерства финансов КБР на 202</w:t>
        </w:r>
        <w:r w:rsidR="007A2CD5">
          <w:rPr>
            <w:rStyle w:val="ae"/>
            <w:noProof/>
          </w:rPr>
          <w:t>5</w:t>
        </w:r>
        <w:r w:rsidR="00003B69" w:rsidRPr="00556E2C">
          <w:rPr>
            <w:rStyle w:val="ae"/>
            <w:noProof/>
          </w:rPr>
          <w:t xml:space="preserve"> год</w:t>
        </w:r>
        <w:r w:rsidR="00003B69">
          <w:rPr>
            <w:noProof/>
            <w:webHidden/>
          </w:rPr>
          <w:tab/>
        </w:r>
        <w:r w:rsidR="00D51C8B">
          <w:rPr>
            <w:noProof/>
            <w:webHidden/>
          </w:rPr>
          <w:fldChar w:fldCharType="begin"/>
        </w:r>
        <w:r w:rsidR="00003B69">
          <w:rPr>
            <w:noProof/>
            <w:webHidden/>
          </w:rPr>
          <w:instrText xml:space="preserve"> PAGEREF _Toc162008807 \h </w:instrText>
        </w:r>
        <w:r w:rsidR="00D51C8B">
          <w:rPr>
            <w:noProof/>
            <w:webHidden/>
          </w:rPr>
        </w:r>
        <w:r w:rsidR="00D51C8B">
          <w:rPr>
            <w:noProof/>
            <w:webHidden/>
          </w:rPr>
          <w:fldChar w:fldCharType="separate"/>
        </w:r>
        <w:r w:rsidR="00BC70EC">
          <w:rPr>
            <w:noProof/>
            <w:webHidden/>
          </w:rPr>
          <w:t>55</w:t>
        </w:r>
        <w:r w:rsidR="00D51C8B">
          <w:rPr>
            <w:noProof/>
            <w:webHidden/>
          </w:rPr>
          <w:fldChar w:fldCharType="end"/>
        </w:r>
      </w:hyperlink>
    </w:p>
    <w:p w14:paraId="527867C2" w14:textId="77777777" w:rsidR="00040E96" w:rsidRDefault="00D51C8B">
      <w:r>
        <w:fldChar w:fldCharType="end"/>
      </w:r>
    </w:p>
    <w:p w14:paraId="70314CC0" w14:textId="77777777" w:rsidR="00D5167C" w:rsidRDefault="00D5167C" w:rsidP="00912EEE">
      <w:pPr>
        <w:pStyle w:val="af2"/>
        <w:jc w:val="center"/>
        <w:rPr>
          <w:rFonts w:ascii="Times New Roman" w:hAnsi="Times New Roman"/>
          <w:b/>
          <w:caps/>
          <w:color w:val="821908" w:themeColor="accent6" w:themeShade="80"/>
          <w:sz w:val="24"/>
          <w:szCs w:val="24"/>
        </w:rPr>
      </w:pPr>
    </w:p>
    <w:p w14:paraId="2E5A4255" w14:textId="77777777" w:rsidR="00D5167C" w:rsidRDefault="00D5167C" w:rsidP="00912EEE">
      <w:pPr>
        <w:pStyle w:val="af2"/>
        <w:jc w:val="center"/>
        <w:rPr>
          <w:rFonts w:ascii="Times New Roman" w:hAnsi="Times New Roman"/>
          <w:b/>
          <w:caps/>
          <w:color w:val="821908" w:themeColor="accent6" w:themeShade="80"/>
          <w:sz w:val="24"/>
          <w:szCs w:val="24"/>
        </w:rPr>
      </w:pPr>
    </w:p>
    <w:p w14:paraId="57AF95F6" w14:textId="77777777" w:rsidR="00D8213D" w:rsidRDefault="00D8213D" w:rsidP="00912EEE">
      <w:pPr>
        <w:pStyle w:val="af2"/>
        <w:jc w:val="center"/>
        <w:rPr>
          <w:rFonts w:ascii="Times New Roman" w:hAnsi="Times New Roman"/>
          <w:b/>
          <w:caps/>
          <w:color w:val="821908" w:themeColor="accent6" w:themeShade="80"/>
          <w:sz w:val="24"/>
          <w:szCs w:val="24"/>
        </w:rPr>
      </w:pPr>
    </w:p>
    <w:p w14:paraId="0618EB77" w14:textId="77777777" w:rsidR="00717083" w:rsidRDefault="00717083" w:rsidP="00717083">
      <w:pPr>
        <w:widowControl/>
        <w:tabs>
          <w:tab w:val="right" w:pos="10490"/>
        </w:tabs>
        <w:spacing w:after="160" w:line="259" w:lineRule="auto"/>
        <w:ind w:firstLine="0"/>
        <w:jc w:val="right"/>
        <w:rPr>
          <w:b/>
          <w:caps/>
          <w:color w:val="821908" w:themeColor="accent6" w:themeShade="80"/>
          <w:sz w:val="24"/>
          <w:szCs w:val="24"/>
        </w:rPr>
      </w:pPr>
    </w:p>
    <w:p w14:paraId="050DF9B1" w14:textId="77777777" w:rsidR="00A43F70" w:rsidRDefault="00A43F70" w:rsidP="00717083">
      <w:pPr>
        <w:widowControl/>
        <w:tabs>
          <w:tab w:val="right" w:pos="10490"/>
        </w:tabs>
        <w:spacing w:after="160" w:line="259" w:lineRule="auto"/>
        <w:ind w:firstLine="0"/>
        <w:jc w:val="left"/>
        <w:rPr>
          <w:sz w:val="24"/>
          <w:szCs w:val="24"/>
        </w:rPr>
      </w:pPr>
    </w:p>
    <w:p w14:paraId="0430BD64" w14:textId="77777777" w:rsidR="00A43F70" w:rsidRPr="00A43F70" w:rsidRDefault="00A43F70" w:rsidP="00A43F70">
      <w:pPr>
        <w:rPr>
          <w:sz w:val="24"/>
          <w:szCs w:val="24"/>
        </w:rPr>
      </w:pPr>
    </w:p>
    <w:p w14:paraId="5CDE60BF" w14:textId="77777777" w:rsidR="00A43F70" w:rsidRPr="00A43F70" w:rsidRDefault="00A43F70" w:rsidP="00A43F70">
      <w:pPr>
        <w:rPr>
          <w:sz w:val="24"/>
          <w:szCs w:val="24"/>
        </w:rPr>
      </w:pPr>
    </w:p>
    <w:p w14:paraId="5A325ACC" w14:textId="77777777" w:rsidR="00A43F70" w:rsidRPr="00A43F70" w:rsidRDefault="00A43F70" w:rsidP="00A43F70">
      <w:pPr>
        <w:rPr>
          <w:sz w:val="24"/>
          <w:szCs w:val="24"/>
        </w:rPr>
      </w:pPr>
    </w:p>
    <w:p w14:paraId="58D23506" w14:textId="77777777" w:rsidR="00A43F70" w:rsidRPr="00A43F70" w:rsidRDefault="00A43F70" w:rsidP="00A43F70">
      <w:pPr>
        <w:rPr>
          <w:sz w:val="24"/>
          <w:szCs w:val="24"/>
        </w:rPr>
      </w:pPr>
    </w:p>
    <w:p w14:paraId="13491D1F" w14:textId="77777777" w:rsidR="00A43F70" w:rsidRDefault="00A43F70" w:rsidP="00A43F70">
      <w:pPr>
        <w:widowControl/>
        <w:tabs>
          <w:tab w:val="left" w:pos="1490"/>
        </w:tabs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6EEDDFD" w14:textId="77777777" w:rsidR="00A43F70" w:rsidRDefault="00A43F70" w:rsidP="00717083">
      <w:pPr>
        <w:widowControl/>
        <w:tabs>
          <w:tab w:val="right" w:pos="10490"/>
        </w:tabs>
        <w:spacing w:after="160" w:line="259" w:lineRule="auto"/>
        <w:ind w:firstLine="0"/>
        <w:jc w:val="left"/>
        <w:rPr>
          <w:sz w:val="24"/>
          <w:szCs w:val="24"/>
        </w:rPr>
      </w:pPr>
    </w:p>
    <w:p w14:paraId="44C727CC" w14:textId="77777777" w:rsidR="001B1CDB" w:rsidRDefault="001B1CDB" w:rsidP="002252F1">
      <w:pPr>
        <w:widowControl/>
        <w:tabs>
          <w:tab w:val="left" w:pos="6210"/>
        </w:tabs>
        <w:spacing w:after="160" w:line="259" w:lineRule="auto"/>
        <w:ind w:firstLine="0"/>
        <w:jc w:val="left"/>
        <w:rPr>
          <w:sz w:val="24"/>
          <w:szCs w:val="24"/>
        </w:rPr>
      </w:pPr>
    </w:p>
    <w:p w14:paraId="274EA4BD" w14:textId="77777777" w:rsidR="009E70C6" w:rsidRDefault="009E70C6" w:rsidP="002252F1">
      <w:pPr>
        <w:widowControl/>
        <w:tabs>
          <w:tab w:val="left" w:pos="6210"/>
        </w:tabs>
        <w:spacing w:after="160" w:line="259" w:lineRule="auto"/>
        <w:ind w:firstLine="0"/>
        <w:jc w:val="left"/>
        <w:rPr>
          <w:sz w:val="24"/>
          <w:szCs w:val="24"/>
        </w:rPr>
      </w:pPr>
    </w:p>
    <w:p w14:paraId="5EAC9779" w14:textId="77777777" w:rsidR="00B13A04" w:rsidRDefault="002064F9" w:rsidP="002724E6">
      <w:pPr>
        <w:pStyle w:val="24"/>
        <w:spacing w:before="0" w:after="0"/>
        <w:ind w:left="431" w:hanging="431"/>
        <w:rPr>
          <w:color w:val="568D11" w:themeColor="accent3" w:themeShade="80"/>
        </w:rPr>
      </w:pPr>
      <w:bookmarkStart w:id="0" w:name="_Toc131085632"/>
      <w:bookmarkStart w:id="1" w:name="_Toc162008700"/>
      <w:r w:rsidRPr="001B1CDB">
        <w:rPr>
          <w:color w:val="568D11" w:themeColor="accent3" w:themeShade="80"/>
        </w:rPr>
        <w:lastRenderedPageBreak/>
        <w:t>О результатах приоритетных направлений деятельности Министерства финансов за 202</w:t>
      </w:r>
      <w:r w:rsidR="00034CD9">
        <w:rPr>
          <w:color w:val="568D11" w:themeColor="accent3" w:themeShade="80"/>
        </w:rPr>
        <w:t>4</w:t>
      </w:r>
      <w:r w:rsidRPr="001B1CDB">
        <w:rPr>
          <w:color w:val="568D11" w:themeColor="accent3" w:themeShade="80"/>
        </w:rPr>
        <w:t xml:space="preserve"> год</w:t>
      </w:r>
      <w:bookmarkEnd w:id="0"/>
      <w:bookmarkEnd w:id="1"/>
      <w:r w:rsidR="00997CA7">
        <w:rPr>
          <w:color w:val="568D11" w:themeColor="accent3" w:themeShade="80"/>
        </w:rPr>
        <w:t xml:space="preserve"> </w:t>
      </w:r>
    </w:p>
    <w:p w14:paraId="58E3948C" w14:textId="77777777" w:rsidR="008015A2" w:rsidRPr="00806624" w:rsidRDefault="008015A2" w:rsidP="0082617E">
      <w:pPr>
        <w:pStyle w:val="24"/>
        <w:numPr>
          <w:ilvl w:val="0"/>
          <w:numId w:val="0"/>
        </w:numPr>
        <w:spacing w:before="0" w:after="0"/>
        <w:ind w:left="431"/>
        <w:jc w:val="both"/>
      </w:pPr>
    </w:p>
    <w:p w14:paraId="2DC6ABA8" w14:textId="7BABA7D5" w:rsidR="00EF3EF0" w:rsidRPr="00812A46" w:rsidRDefault="00EF3EF0" w:rsidP="009968E8">
      <w:pPr>
        <w:rPr>
          <w:color w:val="auto"/>
        </w:rPr>
      </w:pPr>
      <w:r w:rsidRPr="00812A46">
        <w:rPr>
          <w:color w:val="auto"/>
        </w:rPr>
        <w:t>Приоритетными направлениями деятельности Министерства финансов Кабард</w:t>
      </w:r>
      <w:r w:rsidR="009D331D" w:rsidRPr="00812A46">
        <w:rPr>
          <w:color w:val="auto"/>
        </w:rPr>
        <w:t>ино-Балкарской Республики в 20</w:t>
      </w:r>
      <w:r w:rsidR="00812A46" w:rsidRPr="00812A46">
        <w:rPr>
          <w:color w:val="auto"/>
        </w:rPr>
        <w:t>24</w:t>
      </w:r>
      <w:r w:rsidRPr="00812A46">
        <w:rPr>
          <w:color w:val="auto"/>
        </w:rPr>
        <w:t xml:space="preserve"> году являлись:</w:t>
      </w:r>
    </w:p>
    <w:p w14:paraId="39B41BFB" w14:textId="77777777" w:rsidR="00955AD4" w:rsidRPr="000409D4" w:rsidRDefault="009709C3" w:rsidP="00774860">
      <w:pPr>
        <w:numPr>
          <w:ilvl w:val="0"/>
          <w:numId w:val="6"/>
        </w:numPr>
        <w:ind w:left="0" w:firstLine="709"/>
        <w:contextualSpacing/>
        <w:rPr>
          <w:color w:val="auto"/>
        </w:rPr>
      </w:pPr>
      <w:r w:rsidRPr="000409D4">
        <w:rPr>
          <w:rFonts w:eastAsia="Calibri"/>
          <w:color w:val="auto"/>
        </w:rPr>
        <w:t xml:space="preserve">выработка и реализация ответственной бюджетной политики, обеспечивающей сбалансированность и устойчивость бюджетной системы </w:t>
      </w:r>
      <w:r w:rsidR="00955AD4" w:rsidRPr="000409D4">
        <w:rPr>
          <w:rFonts w:eastAsia="Calibri"/>
          <w:color w:val="auto"/>
        </w:rPr>
        <w:t>в условиях внешнего санкционного давления, оказывающего влияние на развитие отраслей экономики и финансового сектора;</w:t>
      </w:r>
    </w:p>
    <w:p w14:paraId="4DA23EC1" w14:textId="77777777" w:rsidR="00EF3EF0" w:rsidRPr="000409D4" w:rsidRDefault="00EF3EF0" w:rsidP="00774860">
      <w:pPr>
        <w:pStyle w:val="1"/>
        <w:numPr>
          <w:ilvl w:val="0"/>
          <w:numId w:val="7"/>
        </w:numPr>
        <w:spacing w:before="0" w:after="0"/>
        <w:ind w:left="0" w:firstLine="709"/>
        <w:rPr>
          <w:color w:val="auto"/>
        </w:rPr>
      </w:pPr>
      <w:r w:rsidRPr="000409D4">
        <w:rPr>
          <w:color w:val="auto"/>
        </w:rPr>
        <w:t>повышение эффективности бюджетных расходов;</w:t>
      </w:r>
    </w:p>
    <w:p w14:paraId="644E5265" w14:textId="77777777" w:rsidR="00EF3EF0" w:rsidRPr="000409D4" w:rsidRDefault="00EF3EF0" w:rsidP="00774860">
      <w:pPr>
        <w:pStyle w:val="1"/>
        <w:numPr>
          <w:ilvl w:val="0"/>
          <w:numId w:val="7"/>
        </w:numPr>
        <w:spacing w:before="0" w:after="0"/>
        <w:ind w:left="0" w:firstLine="709"/>
        <w:rPr>
          <w:color w:val="auto"/>
        </w:rPr>
      </w:pPr>
      <w:r w:rsidRPr="000409D4">
        <w:rPr>
          <w:color w:val="auto"/>
        </w:rPr>
        <w:t>эффективное управление государственным долгом;</w:t>
      </w:r>
    </w:p>
    <w:p w14:paraId="2BBBD631" w14:textId="77777777" w:rsidR="00EF3EF0" w:rsidRPr="000409D4" w:rsidRDefault="00EF3EF0" w:rsidP="00774860">
      <w:pPr>
        <w:pStyle w:val="1"/>
        <w:numPr>
          <w:ilvl w:val="0"/>
          <w:numId w:val="7"/>
        </w:numPr>
        <w:spacing w:before="0" w:after="0"/>
        <w:ind w:left="0" w:firstLine="709"/>
        <w:rPr>
          <w:color w:val="auto"/>
        </w:rPr>
      </w:pPr>
      <w:r w:rsidRPr="000409D4">
        <w:rPr>
          <w:color w:val="auto"/>
        </w:rPr>
        <w:t>совершенствование системы межбюджетных отношений;</w:t>
      </w:r>
    </w:p>
    <w:p w14:paraId="6014E60C" w14:textId="77777777" w:rsidR="00EF3EF0" w:rsidRPr="000409D4" w:rsidRDefault="00EF3EF0" w:rsidP="00774860">
      <w:pPr>
        <w:pStyle w:val="1"/>
        <w:numPr>
          <w:ilvl w:val="0"/>
          <w:numId w:val="7"/>
        </w:numPr>
        <w:spacing w:before="0" w:after="0"/>
        <w:ind w:left="0" w:firstLine="709"/>
        <w:rPr>
          <w:color w:val="auto"/>
        </w:rPr>
      </w:pPr>
      <w:r w:rsidRPr="000409D4">
        <w:rPr>
          <w:color w:val="auto"/>
        </w:rPr>
        <w:t>обеспечение контроля за соблюдением бюджетного законодательства;</w:t>
      </w:r>
    </w:p>
    <w:p w14:paraId="1CCA48CE" w14:textId="77777777" w:rsidR="00EF3EF0" w:rsidRPr="000409D4" w:rsidRDefault="00EF3EF0" w:rsidP="00774860">
      <w:pPr>
        <w:pStyle w:val="1"/>
        <w:numPr>
          <w:ilvl w:val="0"/>
          <w:numId w:val="7"/>
        </w:numPr>
        <w:spacing w:before="0" w:after="0"/>
        <w:ind w:left="0" w:firstLine="709"/>
        <w:rPr>
          <w:color w:val="auto"/>
        </w:rPr>
      </w:pPr>
      <w:r w:rsidRPr="000409D4">
        <w:rPr>
          <w:color w:val="auto"/>
        </w:rPr>
        <w:t>обеспечение открытости и прозрачности управления общественными финансами.</w:t>
      </w:r>
    </w:p>
    <w:p w14:paraId="1757D6A3" w14:textId="380D8CC3" w:rsidR="007A2CD5" w:rsidRDefault="007A2CD5" w:rsidP="00F174DB">
      <w:pPr>
        <w:rPr>
          <w:color w:val="FF0000"/>
        </w:rPr>
      </w:pPr>
      <w:r w:rsidRPr="002711B6">
        <w:rPr>
          <w:color w:val="auto"/>
        </w:rPr>
        <w:t>В целях повышения устойчивости консолидированного бюджета республики, финансовой дисциплины муниципальных образований, исполнения</w:t>
      </w:r>
      <w:r w:rsidRPr="007A2CD5">
        <w:rPr>
          <w:color w:val="FF0000"/>
        </w:rPr>
        <w:t xml:space="preserve"> </w:t>
      </w:r>
      <w:r w:rsidRPr="001B0886">
        <w:rPr>
          <w:color w:val="auto"/>
        </w:rPr>
        <w:t>Соглашения с Министерством финансов Российской Федерации о мерах по социально-экономическому развитию КБР и оздоровлению государстве</w:t>
      </w:r>
      <w:r w:rsidR="00D3598D">
        <w:rPr>
          <w:color w:val="auto"/>
        </w:rPr>
        <w:t xml:space="preserve">нных финансов от 28.12.2023 </w:t>
      </w:r>
      <w:r w:rsidR="00C314E4">
        <w:rPr>
          <w:color w:val="auto"/>
        </w:rPr>
        <w:t>года</w:t>
      </w:r>
      <w:r w:rsidRPr="001B0886">
        <w:rPr>
          <w:color w:val="auto"/>
        </w:rPr>
        <w:t xml:space="preserve"> № 2023-00467</w:t>
      </w:r>
      <w:r w:rsidR="007F2A28">
        <w:rPr>
          <w:color w:val="FF0000"/>
        </w:rPr>
        <w:t xml:space="preserve"> </w:t>
      </w:r>
      <w:r w:rsidR="007F2A28" w:rsidRPr="007F2A28">
        <w:t>заключены соглашения со 119</w:t>
      </w:r>
      <w:r w:rsidRPr="007F2A28">
        <w:t xml:space="preserve"> муниципальными образованиями, предусматривающие меры по социально-экономическому развитию и оздоровлению муниципальных финансов муниципальных образований.</w:t>
      </w:r>
    </w:p>
    <w:p w14:paraId="7A58E13F" w14:textId="461C2EFA" w:rsidR="00D3598D" w:rsidRDefault="00D3598D" w:rsidP="001B0886">
      <w:pPr>
        <w:rPr>
          <w:color w:val="auto"/>
        </w:rPr>
      </w:pPr>
      <w:r w:rsidRPr="00D3598D">
        <w:rPr>
          <w:color w:val="auto"/>
        </w:rPr>
        <w:t>В соответствии Федеральным зако</w:t>
      </w:r>
      <w:r>
        <w:rPr>
          <w:color w:val="auto"/>
        </w:rPr>
        <w:t xml:space="preserve">ном от 02.11.2023 </w:t>
      </w:r>
      <w:r w:rsidR="00C314E4">
        <w:rPr>
          <w:color w:val="auto"/>
        </w:rPr>
        <w:t>года</w:t>
      </w:r>
      <w:r>
        <w:rPr>
          <w:color w:val="auto"/>
        </w:rPr>
        <w:t xml:space="preserve"> </w:t>
      </w:r>
      <w:r w:rsidRPr="00D3598D">
        <w:rPr>
          <w:color w:val="auto"/>
        </w:rPr>
        <w:t>№</w:t>
      </w:r>
      <w:r>
        <w:rPr>
          <w:color w:val="auto"/>
        </w:rPr>
        <w:t xml:space="preserve"> </w:t>
      </w:r>
      <w:r w:rsidRPr="00D3598D">
        <w:rPr>
          <w:color w:val="auto"/>
        </w:rPr>
        <w:t xml:space="preserve">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средства в объеме 1 875,5 млн рублей, высвобождаемые в результате снижения объема погашения задолженности в соответствии с Дополнительными соглашениями к Соглашению от </w:t>
      </w:r>
      <w:r>
        <w:rPr>
          <w:color w:val="auto"/>
        </w:rPr>
        <w:t>0</w:t>
      </w:r>
      <w:r w:rsidRPr="00D3598D">
        <w:rPr>
          <w:color w:val="auto"/>
        </w:rPr>
        <w:t>6</w:t>
      </w:r>
      <w:r>
        <w:rPr>
          <w:color w:val="auto"/>
        </w:rPr>
        <w:t>.12.</w:t>
      </w:r>
      <w:r w:rsidRPr="00D3598D">
        <w:rPr>
          <w:color w:val="auto"/>
        </w:rPr>
        <w:t xml:space="preserve">2017 </w:t>
      </w:r>
      <w:r w:rsidR="00C314E4">
        <w:rPr>
          <w:color w:val="auto"/>
        </w:rPr>
        <w:t>года</w:t>
      </w:r>
      <w:r w:rsidRPr="00D3598D">
        <w:rPr>
          <w:color w:val="auto"/>
        </w:rPr>
        <w:t xml:space="preserve"> № 01-01-06/06-304 о предоставлении бюджету Кабардино-Балкарской Республики из федерального бюджета бюджетного кредита для частичного покрытия дефицита бюджета Кабардино-Балкарской Республики и Дополнительными соглашениями к Соглашению от 14</w:t>
      </w:r>
      <w:r>
        <w:rPr>
          <w:color w:val="auto"/>
        </w:rPr>
        <w:t>.12.</w:t>
      </w:r>
      <w:r w:rsidRPr="00D3598D">
        <w:rPr>
          <w:color w:val="auto"/>
        </w:rPr>
        <w:t xml:space="preserve">2020 </w:t>
      </w:r>
      <w:r w:rsidR="00C314E4">
        <w:rPr>
          <w:color w:val="auto"/>
        </w:rPr>
        <w:t>года</w:t>
      </w:r>
      <w:r>
        <w:rPr>
          <w:color w:val="auto"/>
        </w:rPr>
        <w:br/>
      </w:r>
      <w:r w:rsidRPr="00D3598D">
        <w:rPr>
          <w:color w:val="auto"/>
        </w:rPr>
        <w:t>№ 01-01-06/06-1018 о предоставлении бюджету Кабардино-Балкарской Республики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 были направлены на финансирование мероприятий, связанных с предотвращением влияния ухудшения геополитической и экономической ситуации на развитие отраслей экономики, реализацию новых инвестиционных проектов, а также на обеспечение расходных обязательств, связанных с реализацией региональных проектов, обеспечивающих достижение целей, показателей и результатов федеральных проектов.</w:t>
      </w:r>
    </w:p>
    <w:p w14:paraId="53EB405B" w14:textId="18546FFC" w:rsidR="001B0886" w:rsidRPr="00904F1D" w:rsidRDefault="001B0886" w:rsidP="001B0886">
      <w:pPr>
        <w:rPr>
          <w:rFonts w:eastAsia="Calibri"/>
          <w:color w:val="auto"/>
        </w:rPr>
      </w:pPr>
      <w:r w:rsidRPr="00904F1D">
        <w:rPr>
          <w:color w:val="auto"/>
        </w:rPr>
        <w:t xml:space="preserve">По итогам 2024 года бюджетный эффект от выполнения мероприятий Программы оздоровления государственных финансов (оптимизации расходов) Кабардино-Балкарской Республики на 2018 - 2026 годы при прогнозном значении 257,2 млн рублей </w:t>
      </w:r>
      <w:r w:rsidRPr="00904F1D">
        <w:rPr>
          <w:rFonts w:eastAsia="Calibri"/>
          <w:color w:val="auto"/>
        </w:rPr>
        <w:t xml:space="preserve">составил 4 156,3 млн рублей (в 16,2 раза больше установленных целевых показателей), в том числе по увеличению доходов – 3 698,6 млн рублей (в 43,7 раза больше), по оптимизации расходов – 457,7 млн рублей (в 2,6 раза). </w:t>
      </w:r>
    </w:p>
    <w:p w14:paraId="0310CBD0" w14:textId="77777777" w:rsidR="001B0886" w:rsidRDefault="001B0886" w:rsidP="001B0886">
      <w:pPr>
        <w:widowControl/>
        <w:autoSpaceDE w:val="0"/>
        <w:autoSpaceDN w:val="0"/>
        <w:adjustRightInd w:val="0"/>
        <w:rPr>
          <w:rFonts w:eastAsia="Trebuchet MS"/>
          <w:color w:val="auto"/>
        </w:rPr>
      </w:pPr>
      <w:r w:rsidRPr="00DD1269">
        <w:rPr>
          <w:rFonts w:eastAsia="Trebuchet MS"/>
          <w:color w:val="auto"/>
        </w:rPr>
        <w:t>Министерством в целях реализации мер поддержки, оказываемых бюджету Кабардино-Балкарской Республики из федерального бюджета, в 2024 году заключены с Министерством финансов Российской Федерации следующие соглашения:</w:t>
      </w:r>
    </w:p>
    <w:p w14:paraId="36679B7E" w14:textId="2182C623" w:rsidR="001B0886" w:rsidRPr="002C3BBE" w:rsidRDefault="00D3598D" w:rsidP="001B0886">
      <w:pPr>
        <w:widowControl/>
        <w:autoSpaceDE w:val="0"/>
        <w:autoSpaceDN w:val="0"/>
        <w:adjustRightInd w:val="0"/>
        <w:rPr>
          <w:rFonts w:eastAsia="Trebuchet MS"/>
          <w:color w:val="auto"/>
        </w:rPr>
      </w:pPr>
      <w:r>
        <w:rPr>
          <w:rFonts w:eastAsia="Trebuchet MS"/>
          <w:color w:val="auto"/>
        </w:rPr>
        <w:t>Соглашение от 30.01.</w:t>
      </w:r>
      <w:r w:rsidR="001B0886">
        <w:rPr>
          <w:rFonts w:eastAsia="Trebuchet MS"/>
          <w:color w:val="auto"/>
        </w:rPr>
        <w:t xml:space="preserve">2024 </w:t>
      </w:r>
      <w:r w:rsidR="00C314E4">
        <w:rPr>
          <w:rFonts w:eastAsia="Trebuchet MS"/>
          <w:color w:val="auto"/>
        </w:rPr>
        <w:t>года</w:t>
      </w:r>
      <w:r w:rsidR="001B0886">
        <w:rPr>
          <w:rFonts w:eastAsia="Trebuchet MS"/>
          <w:color w:val="auto"/>
        </w:rPr>
        <w:t xml:space="preserve"> № 01-06-10/06-58 </w:t>
      </w:r>
      <w:r w:rsidR="001B0886" w:rsidRPr="002C3BBE">
        <w:rPr>
          <w:rFonts w:eastAsia="Trebuchet MS"/>
          <w:color w:val="auto"/>
        </w:rPr>
        <w:t>о предоставлении бюджету Кабардино-Балкарской Республики дотации на частичную компенсацию дополнительных расходов на повышение оплаты труда работников бюджетной сферы и иные цели</w:t>
      </w:r>
      <w:r w:rsidR="001B0886">
        <w:rPr>
          <w:rFonts w:eastAsia="Trebuchet MS"/>
          <w:color w:val="auto"/>
        </w:rPr>
        <w:t>;</w:t>
      </w:r>
    </w:p>
    <w:p w14:paraId="3FC4FBB4" w14:textId="261D5E1C" w:rsidR="001B0886" w:rsidRPr="003D4623" w:rsidRDefault="001B0886" w:rsidP="001B0886">
      <w:pPr>
        <w:widowControl/>
        <w:autoSpaceDE w:val="0"/>
        <w:autoSpaceDN w:val="0"/>
        <w:adjustRightInd w:val="0"/>
        <w:rPr>
          <w:rFonts w:eastAsia="Trebuchet MS"/>
          <w:color w:val="auto"/>
        </w:rPr>
      </w:pPr>
      <w:r w:rsidRPr="003D4623">
        <w:rPr>
          <w:rFonts w:eastAsia="Trebuchet MS"/>
          <w:color w:val="auto"/>
        </w:rPr>
        <w:t>Дополнительное соглашение от 11</w:t>
      </w:r>
      <w:r w:rsidR="00D3598D">
        <w:rPr>
          <w:rFonts w:eastAsia="Trebuchet MS"/>
          <w:color w:val="auto"/>
        </w:rPr>
        <w:t>.11.</w:t>
      </w:r>
      <w:r w:rsidRPr="003D4623">
        <w:rPr>
          <w:rFonts w:eastAsia="Trebuchet MS"/>
          <w:color w:val="auto"/>
        </w:rPr>
        <w:t xml:space="preserve">2024 </w:t>
      </w:r>
      <w:r w:rsidR="00C314E4">
        <w:rPr>
          <w:rFonts w:eastAsia="Trebuchet MS"/>
          <w:color w:val="auto"/>
        </w:rPr>
        <w:t>года</w:t>
      </w:r>
      <w:r w:rsidRPr="003D4623">
        <w:rPr>
          <w:rFonts w:eastAsia="Trebuchet MS"/>
          <w:color w:val="auto"/>
        </w:rPr>
        <w:t xml:space="preserve"> № 10 к Соглашению от </w:t>
      </w:r>
      <w:r w:rsidR="00D3598D">
        <w:rPr>
          <w:rFonts w:eastAsia="Trebuchet MS"/>
          <w:color w:val="auto"/>
        </w:rPr>
        <w:br/>
        <w:t>0</w:t>
      </w:r>
      <w:r w:rsidRPr="003D4623">
        <w:rPr>
          <w:rFonts w:eastAsia="Trebuchet MS"/>
          <w:color w:val="auto"/>
        </w:rPr>
        <w:t>6</w:t>
      </w:r>
      <w:r w:rsidR="00D3598D">
        <w:rPr>
          <w:rFonts w:eastAsia="Trebuchet MS"/>
          <w:color w:val="auto"/>
        </w:rPr>
        <w:t>.12.2</w:t>
      </w:r>
      <w:r w:rsidRPr="003D4623">
        <w:rPr>
          <w:rFonts w:eastAsia="Trebuchet MS"/>
          <w:color w:val="auto"/>
        </w:rPr>
        <w:t xml:space="preserve">017 </w:t>
      </w:r>
      <w:r w:rsidR="00C314E4">
        <w:rPr>
          <w:rFonts w:eastAsia="Trebuchet MS"/>
          <w:color w:val="auto"/>
        </w:rPr>
        <w:t>года</w:t>
      </w:r>
      <w:r w:rsidRPr="003D4623">
        <w:rPr>
          <w:rFonts w:eastAsia="Trebuchet MS"/>
          <w:color w:val="auto"/>
        </w:rPr>
        <w:t xml:space="preserve"> № 01-01-06/06-304 о предоставлении бюджету Кабардино-Балкарской Республики из федерального бюджета бюджетного кредита для частичного покрытия дефицита бюджета Кабардино-Балкарской Республики;</w:t>
      </w:r>
    </w:p>
    <w:p w14:paraId="02F90B73" w14:textId="3FABCCBD" w:rsidR="001B0886" w:rsidRPr="003D4623" w:rsidRDefault="001B0886" w:rsidP="001B0886">
      <w:pPr>
        <w:widowControl/>
        <w:autoSpaceDE w:val="0"/>
        <w:autoSpaceDN w:val="0"/>
        <w:adjustRightInd w:val="0"/>
        <w:rPr>
          <w:rFonts w:eastAsia="Trebuchet MS"/>
          <w:color w:val="auto"/>
        </w:rPr>
      </w:pPr>
      <w:r w:rsidRPr="003D4623">
        <w:rPr>
          <w:rFonts w:eastAsia="Trebuchet MS"/>
          <w:color w:val="auto"/>
        </w:rPr>
        <w:t>Дополнительное соглашение от 11</w:t>
      </w:r>
      <w:r w:rsidR="00D3598D">
        <w:rPr>
          <w:rFonts w:eastAsia="Trebuchet MS"/>
          <w:color w:val="auto"/>
        </w:rPr>
        <w:t>.11.</w:t>
      </w:r>
      <w:r w:rsidRPr="003D4623">
        <w:rPr>
          <w:rFonts w:eastAsia="Trebuchet MS"/>
          <w:color w:val="auto"/>
        </w:rPr>
        <w:t xml:space="preserve">2024 </w:t>
      </w:r>
      <w:r w:rsidR="00C314E4">
        <w:rPr>
          <w:rFonts w:eastAsia="Trebuchet MS"/>
          <w:color w:val="auto"/>
        </w:rPr>
        <w:t>года</w:t>
      </w:r>
      <w:r w:rsidRPr="003D4623">
        <w:rPr>
          <w:rFonts w:eastAsia="Trebuchet MS"/>
          <w:color w:val="auto"/>
        </w:rPr>
        <w:t xml:space="preserve"> № 4 к Соглашению от 14</w:t>
      </w:r>
      <w:r w:rsidR="00D3598D">
        <w:rPr>
          <w:rFonts w:eastAsia="Trebuchet MS"/>
          <w:color w:val="auto"/>
        </w:rPr>
        <w:t>.12.</w:t>
      </w:r>
      <w:r w:rsidRPr="003D4623">
        <w:rPr>
          <w:rFonts w:eastAsia="Trebuchet MS"/>
          <w:color w:val="auto"/>
        </w:rPr>
        <w:t xml:space="preserve">2020 </w:t>
      </w:r>
      <w:r w:rsidR="00C314E4">
        <w:rPr>
          <w:rFonts w:eastAsia="Trebuchet MS"/>
          <w:color w:val="auto"/>
        </w:rPr>
        <w:t>года</w:t>
      </w:r>
      <w:r w:rsidRPr="003D4623">
        <w:rPr>
          <w:rFonts w:eastAsia="Trebuchet MS"/>
          <w:color w:val="auto"/>
        </w:rPr>
        <w:t xml:space="preserve"> № 01-01-06/06-1018 о предоставлении бюджету Кабардино-Балкарской Республики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Федерации;</w:t>
      </w:r>
    </w:p>
    <w:p w14:paraId="2738F333" w14:textId="4051A546" w:rsidR="001B0886" w:rsidRPr="00840A81" w:rsidRDefault="001B0886" w:rsidP="001B0886">
      <w:pPr>
        <w:widowControl/>
        <w:autoSpaceDE w:val="0"/>
        <w:autoSpaceDN w:val="0"/>
        <w:adjustRightInd w:val="0"/>
        <w:rPr>
          <w:rFonts w:eastAsia="Trebuchet MS"/>
          <w:color w:val="auto"/>
        </w:rPr>
      </w:pPr>
      <w:r w:rsidRPr="00840A81">
        <w:rPr>
          <w:rFonts w:eastAsia="Trebuchet MS"/>
          <w:color w:val="auto"/>
        </w:rPr>
        <w:t>Дополнительное соглашение от 11</w:t>
      </w:r>
      <w:r w:rsidR="00D3598D">
        <w:rPr>
          <w:rFonts w:eastAsia="Trebuchet MS"/>
          <w:color w:val="auto"/>
        </w:rPr>
        <w:t>.11.</w:t>
      </w:r>
      <w:r w:rsidRPr="00840A81">
        <w:rPr>
          <w:rFonts w:eastAsia="Trebuchet MS"/>
          <w:color w:val="auto"/>
        </w:rPr>
        <w:t xml:space="preserve">2024 </w:t>
      </w:r>
      <w:r w:rsidR="00C314E4">
        <w:rPr>
          <w:rFonts w:eastAsia="Trebuchet MS"/>
          <w:color w:val="auto"/>
        </w:rPr>
        <w:t>года</w:t>
      </w:r>
      <w:r w:rsidRPr="00840A81">
        <w:rPr>
          <w:rFonts w:eastAsia="Trebuchet MS"/>
          <w:color w:val="auto"/>
        </w:rPr>
        <w:t xml:space="preserve"> № 4 к Соглашениям от 17</w:t>
      </w:r>
      <w:r w:rsidR="00D3598D">
        <w:rPr>
          <w:rFonts w:eastAsia="Trebuchet MS"/>
          <w:color w:val="auto"/>
        </w:rPr>
        <w:t>.08.</w:t>
      </w:r>
      <w:r w:rsidRPr="00840A81">
        <w:rPr>
          <w:rFonts w:eastAsia="Trebuchet MS"/>
          <w:color w:val="auto"/>
        </w:rPr>
        <w:t xml:space="preserve">2010 </w:t>
      </w:r>
      <w:r w:rsidR="00C314E4">
        <w:rPr>
          <w:rFonts w:eastAsia="Trebuchet MS"/>
          <w:color w:val="auto"/>
        </w:rPr>
        <w:t>года</w:t>
      </w:r>
      <w:r w:rsidRPr="00840A81">
        <w:rPr>
          <w:rFonts w:eastAsia="Trebuchet MS"/>
          <w:color w:val="auto"/>
        </w:rPr>
        <w:t xml:space="preserve"> № 01-01-06/06-300, </w:t>
      </w:r>
      <w:bookmarkStart w:id="2" w:name="_Hlk180490466"/>
      <w:r w:rsidRPr="00840A81">
        <w:rPr>
          <w:rFonts w:eastAsia="Trebuchet MS"/>
          <w:color w:val="auto"/>
        </w:rPr>
        <w:t xml:space="preserve">от </w:t>
      </w:r>
      <w:r w:rsidR="00D3598D">
        <w:rPr>
          <w:rFonts w:eastAsia="Trebuchet MS"/>
          <w:color w:val="auto"/>
        </w:rPr>
        <w:t>0</w:t>
      </w:r>
      <w:r w:rsidRPr="00840A81">
        <w:rPr>
          <w:rFonts w:eastAsia="Trebuchet MS"/>
          <w:color w:val="auto"/>
        </w:rPr>
        <w:t>1</w:t>
      </w:r>
      <w:r w:rsidR="00D3598D">
        <w:rPr>
          <w:rFonts w:eastAsia="Trebuchet MS"/>
          <w:color w:val="auto"/>
        </w:rPr>
        <w:t>.11.</w:t>
      </w:r>
      <w:r w:rsidRPr="00840A81">
        <w:rPr>
          <w:rFonts w:eastAsia="Trebuchet MS"/>
          <w:color w:val="auto"/>
        </w:rPr>
        <w:t xml:space="preserve">2010 </w:t>
      </w:r>
      <w:r w:rsidR="00C314E4">
        <w:rPr>
          <w:rFonts w:eastAsia="Trebuchet MS"/>
          <w:color w:val="auto"/>
        </w:rPr>
        <w:t>года</w:t>
      </w:r>
      <w:r w:rsidRPr="00840A81">
        <w:rPr>
          <w:rFonts w:eastAsia="Trebuchet MS"/>
          <w:color w:val="auto"/>
        </w:rPr>
        <w:t xml:space="preserve"> № 01-01-06/06-433</w:t>
      </w:r>
      <w:bookmarkEnd w:id="2"/>
      <w:r w:rsidRPr="00840A81">
        <w:rPr>
          <w:rFonts w:eastAsia="Trebuchet MS"/>
          <w:color w:val="auto"/>
        </w:rPr>
        <w:t xml:space="preserve">, </w:t>
      </w:r>
      <w:r w:rsidR="00D9608E">
        <w:rPr>
          <w:rFonts w:eastAsia="Trebuchet MS"/>
          <w:color w:val="auto"/>
        </w:rPr>
        <w:t>от 27.09.</w:t>
      </w:r>
      <w:r w:rsidRPr="00840A81">
        <w:rPr>
          <w:rFonts w:eastAsia="Trebuchet MS"/>
          <w:color w:val="auto"/>
        </w:rPr>
        <w:t xml:space="preserve">2011 </w:t>
      </w:r>
      <w:r w:rsidR="00C314E4">
        <w:rPr>
          <w:rFonts w:eastAsia="Trebuchet MS"/>
          <w:color w:val="auto"/>
        </w:rPr>
        <w:t>года</w:t>
      </w:r>
      <w:r w:rsidR="00D10704">
        <w:rPr>
          <w:rFonts w:eastAsia="Trebuchet MS"/>
          <w:color w:val="auto"/>
        </w:rPr>
        <w:t xml:space="preserve"> </w:t>
      </w:r>
      <w:r w:rsidR="00D10704">
        <w:rPr>
          <w:rFonts w:eastAsia="Trebuchet MS"/>
          <w:color w:val="auto"/>
        </w:rPr>
        <w:br/>
      </w:r>
      <w:r w:rsidRPr="00840A81">
        <w:rPr>
          <w:rFonts w:eastAsia="Trebuchet MS"/>
          <w:color w:val="auto"/>
        </w:rPr>
        <w:t>№ 01-01-06/06-365, от 27</w:t>
      </w:r>
      <w:r w:rsidR="00D9608E">
        <w:rPr>
          <w:rFonts w:eastAsia="Trebuchet MS"/>
          <w:color w:val="auto"/>
        </w:rPr>
        <w:t>.12.</w:t>
      </w:r>
      <w:r w:rsidRPr="00840A81">
        <w:rPr>
          <w:rFonts w:eastAsia="Trebuchet MS"/>
          <w:color w:val="auto"/>
        </w:rPr>
        <w:t xml:space="preserve">2011 </w:t>
      </w:r>
      <w:r w:rsidR="00C314E4">
        <w:rPr>
          <w:rFonts w:eastAsia="Trebuchet MS"/>
          <w:color w:val="auto"/>
        </w:rPr>
        <w:t>года</w:t>
      </w:r>
      <w:r w:rsidRPr="00840A81">
        <w:rPr>
          <w:rFonts w:eastAsia="Trebuchet MS"/>
          <w:color w:val="auto"/>
        </w:rPr>
        <w:t xml:space="preserve"> № 01-01-06/06-565 </w:t>
      </w:r>
      <w:r w:rsidRPr="005704A3">
        <w:rPr>
          <w:rFonts w:eastAsia="Trebuchet MS"/>
          <w:color w:val="auto"/>
        </w:rPr>
        <w:t xml:space="preserve">о предоставлении бюджету Кабардино-Балкарской Республики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</w:t>
      </w:r>
      <w:r w:rsidRPr="00840A81">
        <w:rPr>
          <w:rFonts w:eastAsia="Trebuchet MS"/>
          <w:color w:val="auto"/>
        </w:rPr>
        <w:t>(за исключением автомобильных дорог федерального значения).</w:t>
      </w:r>
    </w:p>
    <w:p w14:paraId="6EFD8EA2" w14:textId="77777777" w:rsidR="008B4869" w:rsidRDefault="00C52EBA" w:rsidP="008B4869">
      <w:pPr>
        <w:autoSpaceDE w:val="0"/>
        <w:autoSpaceDN w:val="0"/>
        <w:adjustRightInd w:val="0"/>
        <w:rPr>
          <w:color w:val="auto"/>
        </w:rPr>
      </w:pPr>
      <w:r w:rsidRPr="000409D4">
        <w:rPr>
          <w:color w:val="auto"/>
        </w:rPr>
        <w:t>По состоянию на 1 января 202</w:t>
      </w:r>
      <w:r w:rsidR="000409D4" w:rsidRPr="000409D4">
        <w:rPr>
          <w:color w:val="auto"/>
        </w:rPr>
        <w:t>5</w:t>
      </w:r>
      <w:r w:rsidRPr="000409D4">
        <w:rPr>
          <w:color w:val="auto"/>
        </w:rPr>
        <w:t xml:space="preserve"> года просроченная кредиторская задолженность консолидированного бюджета Кабардино-Балкарской Республики отсутствует.</w:t>
      </w:r>
    </w:p>
    <w:p w14:paraId="1F13FEB3" w14:textId="4C41C6E9" w:rsidR="00DC2A3C" w:rsidRPr="008B4869" w:rsidRDefault="00DC2A3C" w:rsidP="008B4869">
      <w:pPr>
        <w:autoSpaceDE w:val="0"/>
        <w:autoSpaceDN w:val="0"/>
        <w:adjustRightInd w:val="0"/>
      </w:pPr>
      <w:r w:rsidRPr="008B4869">
        <w:t>Фактические расходы на содержание органов государственной</w:t>
      </w:r>
      <w:r w:rsidR="00997F56" w:rsidRPr="008B4869">
        <w:t xml:space="preserve"> власти КБР </w:t>
      </w:r>
      <w:r w:rsidRPr="008B4869">
        <w:t>за 202</w:t>
      </w:r>
      <w:r w:rsidR="008B4869" w:rsidRPr="008B4869">
        <w:t>4</w:t>
      </w:r>
      <w:r w:rsidRPr="008B4869">
        <w:t xml:space="preserve"> год составили </w:t>
      </w:r>
      <w:r w:rsidR="008B4869" w:rsidRPr="008B4869">
        <w:t>8,4</w:t>
      </w:r>
      <w:r w:rsidRPr="008B4869">
        <w:t xml:space="preserve"> % от общей суммы налоговых и неналоговых доходов консолидированного бюджета КБР, при утвержденном нормативе 8,</w:t>
      </w:r>
      <w:r w:rsidR="008B4869" w:rsidRPr="008B4869">
        <w:t>9</w:t>
      </w:r>
      <w:r w:rsidRPr="008B4869">
        <w:t xml:space="preserve"> % (распоряжение Правительства РФ </w:t>
      </w:r>
      <w:r w:rsidR="008B4869" w:rsidRPr="008B4869">
        <w:t xml:space="preserve">от 29.12.2023 </w:t>
      </w:r>
      <w:r w:rsidR="00C314E4">
        <w:t>года</w:t>
      </w:r>
      <w:r w:rsidR="008B4869" w:rsidRPr="008B4869">
        <w:t xml:space="preserve"> № 4027-р</w:t>
      </w:r>
      <w:r w:rsidRPr="008B4869">
        <w:t>).</w:t>
      </w:r>
    </w:p>
    <w:p w14:paraId="0C17B142" w14:textId="415965C6" w:rsidR="00DC2A3C" w:rsidRPr="000F5201" w:rsidRDefault="00DC2A3C" w:rsidP="005103FE">
      <w:pPr>
        <w:autoSpaceDE w:val="0"/>
        <w:autoSpaceDN w:val="0"/>
        <w:adjustRightInd w:val="0"/>
      </w:pPr>
      <w:r w:rsidRPr="000F5201">
        <w:t>В 202</w:t>
      </w:r>
      <w:r w:rsidR="007078FA" w:rsidRPr="000F5201">
        <w:t>4</w:t>
      </w:r>
      <w:r w:rsidRPr="000F5201">
        <w:t xml:space="preserve"> году в целях обеспечения </w:t>
      </w:r>
      <w:r w:rsidR="007078FA" w:rsidRPr="000F5201">
        <w:t>повышения оплаты труда</w:t>
      </w:r>
      <w:r w:rsidRPr="000F5201">
        <w:t xml:space="preserve"> </w:t>
      </w:r>
      <w:r w:rsidR="007078FA" w:rsidRPr="000F5201">
        <w:t>четвертый</w:t>
      </w:r>
      <w:r w:rsidRPr="000F5201">
        <w:t xml:space="preserve"> год подряд осуществлено повышение оплаты труда работников бюджетной сферы с </w:t>
      </w:r>
      <w:r w:rsidR="00D9608E" w:rsidRPr="000F5201">
        <w:t>0</w:t>
      </w:r>
      <w:r w:rsidRPr="000F5201">
        <w:t>1</w:t>
      </w:r>
      <w:r w:rsidR="00D9608E" w:rsidRPr="000F5201">
        <w:t>.08.</w:t>
      </w:r>
      <w:r w:rsidRPr="000F5201">
        <w:t>202</w:t>
      </w:r>
      <w:r w:rsidR="007078FA" w:rsidRPr="000F5201">
        <w:t>4</w:t>
      </w:r>
      <w:r w:rsidRPr="000F5201">
        <w:t xml:space="preserve"> </w:t>
      </w:r>
      <w:r w:rsidR="00C314E4" w:rsidRPr="000F5201">
        <w:t>года</w:t>
      </w:r>
      <w:r w:rsidRPr="000F5201">
        <w:t xml:space="preserve"> в соответствии с распоряжением Правительства КБР от </w:t>
      </w:r>
      <w:r w:rsidR="005103FE" w:rsidRPr="000F5201">
        <w:t>26</w:t>
      </w:r>
      <w:r w:rsidRPr="000F5201">
        <w:t>.07.202</w:t>
      </w:r>
      <w:r w:rsidR="005103FE" w:rsidRPr="000F5201">
        <w:t>4</w:t>
      </w:r>
      <w:r w:rsidRPr="000F5201">
        <w:t xml:space="preserve"> </w:t>
      </w:r>
      <w:r w:rsidR="00C314E4" w:rsidRPr="000F5201">
        <w:t>года</w:t>
      </w:r>
      <w:r w:rsidRPr="000F5201">
        <w:t xml:space="preserve"> № 4</w:t>
      </w:r>
      <w:r w:rsidR="005103FE" w:rsidRPr="000F5201">
        <w:t>49</w:t>
      </w:r>
      <w:r w:rsidRPr="000F5201">
        <w:t xml:space="preserve">-рп на </w:t>
      </w:r>
      <w:r w:rsidR="00D9608E" w:rsidRPr="000F5201">
        <w:br/>
      </w:r>
      <w:r w:rsidRPr="000F5201">
        <w:t xml:space="preserve">10 %, что выше планируемого уровня инфляции. </w:t>
      </w:r>
    </w:p>
    <w:p w14:paraId="03F7ED13" w14:textId="77777777" w:rsidR="00DC2A3C" w:rsidRPr="005103FE" w:rsidRDefault="00DC2A3C" w:rsidP="00DC2A3C">
      <w:pPr>
        <w:autoSpaceDE w:val="0"/>
        <w:autoSpaceDN w:val="0"/>
        <w:adjustRightInd w:val="0"/>
        <w:rPr>
          <w:color w:val="auto"/>
        </w:rPr>
      </w:pPr>
      <w:r w:rsidRPr="005103FE">
        <w:rPr>
          <w:color w:val="auto"/>
        </w:rPr>
        <w:t>Аналогичные меры в части повышения оплаты труда приняты на муниципальном уровне.</w:t>
      </w:r>
    </w:p>
    <w:p w14:paraId="594EAFEF" w14:textId="77777777" w:rsidR="00DC2A3C" w:rsidRPr="005103FE" w:rsidRDefault="00DC2A3C" w:rsidP="00DC2A3C">
      <w:pPr>
        <w:autoSpaceDE w:val="0"/>
        <w:autoSpaceDN w:val="0"/>
        <w:adjustRightInd w:val="0"/>
        <w:rPr>
          <w:color w:val="auto"/>
        </w:rPr>
      </w:pPr>
      <w:r w:rsidRPr="005103FE">
        <w:rPr>
          <w:color w:val="auto"/>
        </w:rPr>
        <w:t xml:space="preserve">Субвенция на оплату труда, выделяемая местным бюджетам КБР, также проиндексирована на 10%. </w:t>
      </w:r>
    </w:p>
    <w:p w14:paraId="3AC03DB1" w14:textId="77777777" w:rsidR="00DC2A3C" w:rsidRPr="005103FE" w:rsidRDefault="00DC2A3C" w:rsidP="00DC2A3C">
      <w:pPr>
        <w:autoSpaceDE w:val="0"/>
        <w:autoSpaceDN w:val="0"/>
        <w:adjustRightInd w:val="0"/>
        <w:rPr>
          <w:color w:val="auto"/>
        </w:rPr>
      </w:pPr>
      <w:r w:rsidRPr="005103FE">
        <w:rPr>
          <w:color w:val="auto"/>
        </w:rPr>
        <w:t>Министерствам из республиканского бюджета КБР выделены бюджетные ассигнования на достижение индикативных показателей по заработной плате в части отдельных категорий работников социальной сферы.</w:t>
      </w:r>
    </w:p>
    <w:p w14:paraId="7C0B8863" w14:textId="5948D5CE" w:rsidR="00DC2A3C" w:rsidRPr="000B6ED4" w:rsidRDefault="00DC2A3C" w:rsidP="00DC2A3C">
      <w:pPr>
        <w:autoSpaceDE w:val="0"/>
        <w:autoSpaceDN w:val="0"/>
        <w:adjustRightInd w:val="0"/>
        <w:rPr>
          <w:color w:val="auto"/>
        </w:rPr>
      </w:pPr>
      <w:r w:rsidRPr="00927083">
        <w:rPr>
          <w:color w:val="auto"/>
        </w:rPr>
        <w:t xml:space="preserve">В целях обеспечения безусловного достижения целевых показателей уровня заработной платы отдельных категорий работников бюджетного сектора экономики и достижения прогнозного значения по среднемесячному доходу от трудовой деятельности в объеме </w:t>
      </w:r>
      <w:r w:rsidR="00927083" w:rsidRPr="00927083">
        <w:rPr>
          <w:color w:val="auto"/>
        </w:rPr>
        <w:t>32 329</w:t>
      </w:r>
      <w:r w:rsidRPr="00927083">
        <w:rPr>
          <w:color w:val="auto"/>
        </w:rPr>
        <w:t xml:space="preserve"> рублей с 1</w:t>
      </w:r>
      <w:r w:rsidR="00927083" w:rsidRPr="00927083">
        <w:rPr>
          <w:color w:val="auto"/>
        </w:rPr>
        <w:t>3,5</w:t>
      </w:r>
      <w:r w:rsidRPr="00927083">
        <w:rPr>
          <w:color w:val="auto"/>
        </w:rPr>
        <w:t>% ростом относительно достигнутого уровня за 202</w:t>
      </w:r>
      <w:r w:rsidR="00927083" w:rsidRPr="00927083">
        <w:rPr>
          <w:color w:val="auto"/>
        </w:rPr>
        <w:t>3</w:t>
      </w:r>
      <w:r w:rsidRPr="00927083">
        <w:rPr>
          <w:color w:val="auto"/>
        </w:rPr>
        <w:t xml:space="preserve"> год (</w:t>
      </w:r>
      <w:r w:rsidR="00927083" w:rsidRPr="00927083">
        <w:rPr>
          <w:color w:val="auto"/>
        </w:rPr>
        <w:t>28 479</w:t>
      </w:r>
      <w:r w:rsidRPr="00927083">
        <w:rPr>
          <w:color w:val="auto"/>
        </w:rPr>
        <w:t xml:space="preserve"> рубл</w:t>
      </w:r>
      <w:r w:rsidR="00927083" w:rsidRPr="00927083">
        <w:rPr>
          <w:color w:val="auto"/>
        </w:rPr>
        <w:t>ей</w:t>
      </w:r>
      <w:r w:rsidRPr="000B6ED4">
        <w:rPr>
          <w:color w:val="auto"/>
        </w:rPr>
        <w:t>) дополнительно из республиканского бюджета КБР выделены средства Минтруду КБР,</w:t>
      </w:r>
      <w:r w:rsidR="00D9608E">
        <w:rPr>
          <w:color w:val="auto"/>
        </w:rPr>
        <w:t xml:space="preserve"> Минздраву КБР. </w:t>
      </w:r>
      <w:proofErr w:type="spellStart"/>
      <w:r w:rsidRPr="000B6ED4">
        <w:rPr>
          <w:color w:val="auto"/>
        </w:rPr>
        <w:t>Минкультурой</w:t>
      </w:r>
      <w:proofErr w:type="spellEnd"/>
      <w:r w:rsidRPr="000B6ED4">
        <w:rPr>
          <w:color w:val="auto"/>
        </w:rPr>
        <w:t xml:space="preserve"> КБР на указанные цели также дополнительно направлены доходы, полученные от приносящей доход деятельности в объеме </w:t>
      </w:r>
      <w:r w:rsidR="00DE0600" w:rsidRPr="000B6ED4">
        <w:rPr>
          <w:color w:val="auto"/>
        </w:rPr>
        <w:t>57,4</w:t>
      </w:r>
      <w:r w:rsidRPr="000B6ED4">
        <w:rPr>
          <w:color w:val="auto"/>
        </w:rPr>
        <w:t xml:space="preserve"> млн рублей (включая поступления за счет реализации программы «Пушкинская карта» - 3</w:t>
      </w:r>
      <w:r w:rsidR="00DE0600" w:rsidRPr="000B6ED4">
        <w:rPr>
          <w:color w:val="auto"/>
        </w:rPr>
        <w:t>1</w:t>
      </w:r>
      <w:r w:rsidRPr="000B6ED4">
        <w:rPr>
          <w:color w:val="auto"/>
        </w:rPr>
        <w:t>,</w:t>
      </w:r>
      <w:r w:rsidR="00DE0600" w:rsidRPr="000B6ED4">
        <w:rPr>
          <w:color w:val="auto"/>
        </w:rPr>
        <w:t>9</w:t>
      </w:r>
      <w:r w:rsidRPr="000B6ED4">
        <w:rPr>
          <w:color w:val="auto"/>
        </w:rPr>
        <w:t xml:space="preserve"> млн. рублей).</w:t>
      </w:r>
    </w:p>
    <w:p w14:paraId="617C3D0B" w14:textId="77777777" w:rsidR="00DC2A3C" w:rsidRPr="00927083" w:rsidRDefault="00DC2A3C" w:rsidP="00DC2A3C">
      <w:pPr>
        <w:autoSpaceDE w:val="0"/>
        <w:autoSpaceDN w:val="0"/>
        <w:adjustRightInd w:val="0"/>
        <w:rPr>
          <w:color w:val="auto"/>
        </w:rPr>
      </w:pPr>
      <w:r w:rsidRPr="000B6ED4">
        <w:rPr>
          <w:color w:val="auto"/>
        </w:rPr>
        <w:t>Совместно с министерствами осуществляется доработка отраслевых систем оплаты труда в целях увеличения базовой части заработной</w:t>
      </w:r>
      <w:r w:rsidRPr="00927083">
        <w:rPr>
          <w:color w:val="auto"/>
        </w:rPr>
        <w:t xml:space="preserve"> платы.</w:t>
      </w:r>
    </w:p>
    <w:p w14:paraId="763EAB3B" w14:textId="4A9824DB" w:rsidR="00DC2A3C" w:rsidRPr="00C22CE2" w:rsidRDefault="00DC2A3C" w:rsidP="00DC2A3C">
      <w:pPr>
        <w:autoSpaceDE w:val="0"/>
        <w:autoSpaceDN w:val="0"/>
        <w:adjustRightInd w:val="0"/>
        <w:rPr>
          <w:color w:val="auto"/>
        </w:rPr>
      </w:pPr>
      <w:r w:rsidRPr="00C22CE2">
        <w:rPr>
          <w:color w:val="auto"/>
        </w:rPr>
        <w:t>В целом в 202</w:t>
      </w:r>
      <w:r w:rsidR="00C22CE2" w:rsidRPr="00C22CE2">
        <w:rPr>
          <w:color w:val="auto"/>
        </w:rPr>
        <w:t>4</w:t>
      </w:r>
      <w:r w:rsidRPr="00C22CE2">
        <w:rPr>
          <w:color w:val="auto"/>
        </w:rPr>
        <w:t xml:space="preserve"> году из республиканского бюджета КБР на повышение оплаты труда и достижение индикативных показателей выделено </w:t>
      </w:r>
      <w:r w:rsidR="00C22CE2" w:rsidRPr="00C22CE2">
        <w:rPr>
          <w:color w:val="auto"/>
        </w:rPr>
        <w:t>1 068,3</w:t>
      </w:r>
      <w:r w:rsidRPr="00C22CE2">
        <w:rPr>
          <w:color w:val="auto"/>
        </w:rPr>
        <w:t xml:space="preserve"> млн рублей.</w:t>
      </w:r>
    </w:p>
    <w:p w14:paraId="5D3BE746" w14:textId="7CFC9F9E" w:rsidR="00DC2A3C" w:rsidRPr="00D73306" w:rsidRDefault="00DC2A3C" w:rsidP="00DC2A3C">
      <w:pPr>
        <w:autoSpaceDE w:val="0"/>
        <w:autoSpaceDN w:val="0"/>
        <w:adjustRightInd w:val="0"/>
        <w:rPr>
          <w:color w:val="auto"/>
        </w:rPr>
      </w:pPr>
      <w:r w:rsidRPr="00C22CE2">
        <w:rPr>
          <w:color w:val="auto"/>
        </w:rPr>
        <w:t>Фонды оплаты труда учреждений на 202</w:t>
      </w:r>
      <w:r w:rsidR="00C22CE2" w:rsidRPr="00C22CE2">
        <w:rPr>
          <w:color w:val="auto"/>
        </w:rPr>
        <w:t>5</w:t>
      </w:r>
      <w:r w:rsidRPr="00C22CE2">
        <w:rPr>
          <w:color w:val="auto"/>
        </w:rPr>
        <w:t xml:space="preserve"> год запланированы с учетом принятых мер по повышению оплаты труда, а также повышения МРОТ с 1 января в размере </w:t>
      </w:r>
      <w:r w:rsidR="00EB6B64" w:rsidRPr="00C22CE2">
        <w:rPr>
          <w:color w:val="auto"/>
        </w:rPr>
        <w:br/>
      </w:r>
      <w:r w:rsidR="00C22CE2" w:rsidRPr="00C22CE2">
        <w:rPr>
          <w:color w:val="auto"/>
        </w:rPr>
        <w:t>22 440</w:t>
      </w:r>
      <w:r w:rsidRPr="00C22CE2">
        <w:rPr>
          <w:color w:val="auto"/>
        </w:rPr>
        <w:t xml:space="preserve"> рубл</w:t>
      </w:r>
      <w:r w:rsidR="00C22CE2" w:rsidRPr="00C22CE2">
        <w:rPr>
          <w:color w:val="auto"/>
        </w:rPr>
        <w:t>ей</w:t>
      </w:r>
      <w:r w:rsidRPr="00C22CE2">
        <w:rPr>
          <w:color w:val="auto"/>
        </w:rPr>
        <w:t xml:space="preserve">. </w:t>
      </w:r>
      <w:r w:rsidRPr="00D73306">
        <w:rPr>
          <w:color w:val="auto"/>
        </w:rPr>
        <w:t>Расходы республиканского бюджета КБР на указанные цели на 202</w:t>
      </w:r>
      <w:r w:rsidR="00C22CE2" w:rsidRPr="00D73306">
        <w:rPr>
          <w:color w:val="auto"/>
        </w:rPr>
        <w:t>5</w:t>
      </w:r>
      <w:r w:rsidRPr="00D73306">
        <w:rPr>
          <w:color w:val="auto"/>
        </w:rPr>
        <w:t xml:space="preserve"> год предусмотрены в объеме </w:t>
      </w:r>
      <w:r w:rsidR="00D73306" w:rsidRPr="00D73306">
        <w:rPr>
          <w:color w:val="auto"/>
        </w:rPr>
        <w:t>21 337,5</w:t>
      </w:r>
      <w:r w:rsidRPr="00D73306">
        <w:rPr>
          <w:color w:val="auto"/>
        </w:rPr>
        <w:t xml:space="preserve"> млн рублей с темпом роста относительно 202</w:t>
      </w:r>
      <w:r w:rsidR="00C22CE2" w:rsidRPr="00D73306">
        <w:rPr>
          <w:color w:val="auto"/>
        </w:rPr>
        <w:t>4</w:t>
      </w:r>
      <w:r w:rsidR="00D73306" w:rsidRPr="00D73306">
        <w:rPr>
          <w:color w:val="auto"/>
        </w:rPr>
        <w:t xml:space="preserve"> года в 114,8</w:t>
      </w:r>
      <w:r w:rsidRPr="00D73306">
        <w:rPr>
          <w:color w:val="auto"/>
        </w:rPr>
        <w:t>% (первоначально утвержденные расходы).</w:t>
      </w:r>
    </w:p>
    <w:p w14:paraId="5E24578C" w14:textId="77777777" w:rsidR="00FE51F8" w:rsidRPr="00D73306" w:rsidRDefault="00FE51F8" w:rsidP="00FE51F8">
      <w:pPr>
        <w:autoSpaceDE w:val="0"/>
        <w:autoSpaceDN w:val="0"/>
        <w:adjustRightInd w:val="0"/>
        <w:rPr>
          <w:color w:val="auto"/>
        </w:rPr>
      </w:pPr>
      <w:r w:rsidRPr="00D73306">
        <w:rPr>
          <w:color w:val="auto"/>
        </w:rPr>
        <w:t xml:space="preserve">По результатам проведенной претензионной и исковой работы необоснованных взысканий средств республиканского бюджета не допущено. </w:t>
      </w:r>
    </w:p>
    <w:p w14:paraId="333F7E03" w14:textId="2FF67B7C" w:rsidR="000A2162" w:rsidRPr="00C2740C" w:rsidRDefault="00115041" w:rsidP="009968E8">
      <w:pPr>
        <w:autoSpaceDE w:val="0"/>
        <w:autoSpaceDN w:val="0"/>
        <w:adjustRightInd w:val="0"/>
        <w:rPr>
          <w:rFonts w:eastAsiaTheme="minorHAnsi"/>
        </w:rPr>
      </w:pPr>
      <w:r w:rsidRPr="00D73306">
        <w:rPr>
          <w:color w:val="auto"/>
        </w:rPr>
        <w:t>В 202</w:t>
      </w:r>
      <w:r w:rsidR="00606E72" w:rsidRPr="00D73306">
        <w:rPr>
          <w:color w:val="auto"/>
        </w:rPr>
        <w:t>4</w:t>
      </w:r>
      <w:r w:rsidRPr="00D73306">
        <w:rPr>
          <w:color w:val="auto"/>
        </w:rPr>
        <w:t xml:space="preserve"> году Министерством финансов</w:t>
      </w:r>
      <w:r w:rsidR="00F47CE4" w:rsidRPr="00C2740C">
        <w:t xml:space="preserve"> К</w:t>
      </w:r>
      <w:r w:rsidRPr="00C2740C">
        <w:t>абардино-Балкарской Республики</w:t>
      </w:r>
      <w:r w:rsidR="00F47CE4" w:rsidRPr="00C2740C">
        <w:t xml:space="preserve"> проведен мониторинг качества финансового менеджмента, осуществляемого главными распорядителями средств республиканского бюджета Кабардино-Балкарской Республики</w:t>
      </w:r>
      <w:r w:rsidR="000A2162" w:rsidRPr="00C2740C">
        <w:t xml:space="preserve"> (далее – ГРБС)</w:t>
      </w:r>
      <w:r w:rsidR="00F47CE4" w:rsidRPr="00C2740C">
        <w:rPr>
          <w:rFonts w:eastAsiaTheme="minorHAnsi"/>
        </w:rPr>
        <w:t xml:space="preserve"> за 202</w:t>
      </w:r>
      <w:r w:rsidR="00606E72" w:rsidRPr="00C2740C">
        <w:rPr>
          <w:rFonts w:eastAsiaTheme="minorHAnsi"/>
        </w:rPr>
        <w:t>3</w:t>
      </w:r>
      <w:r w:rsidR="00F47CE4" w:rsidRPr="00C2740C">
        <w:rPr>
          <w:rFonts w:eastAsiaTheme="minorHAnsi"/>
        </w:rPr>
        <w:t xml:space="preserve"> год.</w:t>
      </w:r>
      <w:r w:rsidR="00E4713B" w:rsidRPr="00C2740C">
        <w:rPr>
          <w:rFonts w:eastAsiaTheme="minorHAnsi"/>
        </w:rPr>
        <w:t xml:space="preserve"> По результатам проведенного мониторинга </w:t>
      </w:r>
      <w:r w:rsidR="000A2162" w:rsidRPr="00C2740C">
        <w:rPr>
          <w:rFonts w:eastAsiaTheme="minorHAnsi"/>
        </w:rPr>
        <w:t>места распределились следующим образом:</w:t>
      </w:r>
    </w:p>
    <w:p w14:paraId="25D1FF00" w14:textId="6991C80B" w:rsidR="000A2162" w:rsidRPr="00C2740C" w:rsidRDefault="000A2162" w:rsidP="000A2162">
      <w:pPr>
        <w:autoSpaceDE w:val="0"/>
        <w:autoSpaceDN w:val="0"/>
        <w:adjustRightInd w:val="0"/>
      </w:pPr>
      <w:r w:rsidRPr="00C2740C">
        <w:t xml:space="preserve">I группа (высокая степень достижения результата) – </w:t>
      </w:r>
      <w:r w:rsidR="00606E72" w:rsidRPr="00C2740C">
        <w:t>4</w:t>
      </w:r>
      <w:r w:rsidRPr="00C2740C">
        <w:t xml:space="preserve"> ГРБС;</w:t>
      </w:r>
    </w:p>
    <w:p w14:paraId="0430688A" w14:textId="4144D2DF" w:rsidR="000A2162" w:rsidRPr="00C2740C" w:rsidRDefault="000A2162" w:rsidP="000A2162">
      <w:pPr>
        <w:autoSpaceDE w:val="0"/>
        <w:autoSpaceDN w:val="0"/>
        <w:adjustRightInd w:val="0"/>
      </w:pPr>
      <w:r w:rsidRPr="00C2740C">
        <w:t xml:space="preserve">II группа (средняя степень достижения результата) – </w:t>
      </w:r>
      <w:r w:rsidR="00606E72" w:rsidRPr="00C2740C">
        <w:t>8</w:t>
      </w:r>
      <w:r w:rsidRPr="00C2740C">
        <w:t xml:space="preserve"> ГРБС;</w:t>
      </w:r>
    </w:p>
    <w:p w14:paraId="502718D3" w14:textId="05237FF0" w:rsidR="000A2162" w:rsidRPr="00C2740C" w:rsidRDefault="000A2162" w:rsidP="000A2162">
      <w:pPr>
        <w:autoSpaceDE w:val="0"/>
        <w:autoSpaceDN w:val="0"/>
        <w:adjustRightInd w:val="0"/>
      </w:pPr>
      <w:r w:rsidRPr="00C2740C">
        <w:t>III группа (удовлетворительна ст</w:t>
      </w:r>
      <w:r w:rsidR="00C2740C" w:rsidRPr="00C2740C">
        <w:t>епень достижения результата) – 9</w:t>
      </w:r>
      <w:r w:rsidRPr="00C2740C">
        <w:t xml:space="preserve"> ГРБС;</w:t>
      </w:r>
    </w:p>
    <w:p w14:paraId="06F03451" w14:textId="5247F725" w:rsidR="000A2162" w:rsidRPr="00C2740C" w:rsidRDefault="000A2162" w:rsidP="000A2162">
      <w:pPr>
        <w:autoSpaceDE w:val="0"/>
        <w:autoSpaceDN w:val="0"/>
        <w:adjustRightInd w:val="0"/>
      </w:pPr>
      <w:r w:rsidRPr="00C2740C">
        <w:t xml:space="preserve">IV группа (низкая степень достижения результата) – </w:t>
      </w:r>
      <w:r w:rsidR="00C2740C" w:rsidRPr="00C2740C">
        <w:t>8</w:t>
      </w:r>
      <w:r w:rsidR="00CE0038" w:rsidRPr="00C2740C">
        <w:t xml:space="preserve"> </w:t>
      </w:r>
      <w:r w:rsidRPr="00C2740C">
        <w:t>ГРБС.</w:t>
      </w:r>
    </w:p>
    <w:p w14:paraId="4813BCD9" w14:textId="39D323BA" w:rsidR="000A2162" w:rsidRPr="00C2740C" w:rsidRDefault="00CD0836" w:rsidP="000A2162">
      <w:pPr>
        <w:autoSpaceDE w:val="0"/>
        <w:autoSpaceDN w:val="0"/>
        <w:adjustRightInd w:val="0"/>
        <w:rPr>
          <w:rFonts w:eastAsiaTheme="minorHAnsi"/>
        </w:rPr>
      </w:pPr>
      <w:r w:rsidRPr="00C2740C">
        <w:rPr>
          <w:rFonts w:eastAsiaTheme="minorHAnsi"/>
        </w:rPr>
        <w:t>Средний показатель качества финансового менеджмента главных администраторов средств республиканского бюджета Кабардино-Балкарской Республики составил</w:t>
      </w:r>
      <w:r w:rsidR="00C2740C" w:rsidRPr="00C2740C">
        <w:rPr>
          <w:rFonts w:eastAsiaTheme="minorHAnsi"/>
        </w:rPr>
        <w:t xml:space="preserve"> 66,6</w:t>
      </w:r>
      <w:r w:rsidR="00CE0038" w:rsidRPr="00C2740C">
        <w:rPr>
          <w:rFonts w:eastAsiaTheme="minorHAnsi"/>
        </w:rPr>
        <w:t xml:space="preserve"> балла </w:t>
      </w:r>
      <w:r w:rsidR="00C2740C" w:rsidRPr="00C2740C">
        <w:rPr>
          <w:rFonts w:eastAsiaTheme="minorHAnsi"/>
        </w:rPr>
        <w:t>при плане 64</w:t>
      </w:r>
      <w:r w:rsidR="00CE0038" w:rsidRPr="00C2740C">
        <w:rPr>
          <w:rFonts w:eastAsiaTheme="minorHAnsi"/>
        </w:rPr>
        <w:t xml:space="preserve"> балл</w:t>
      </w:r>
      <w:r w:rsidR="00C2740C" w:rsidRPr="00C2740C">
        <w:rPr>
          <w:rFonts w:eastAsiaTheme="minorHAnsi"/>
        </w:rPr>
        <w:t>а</w:t>
      </w:r>
      <w:r w:rsidR="00CE0038" w:rsidRPr="00C2740C">
        <w:rPr>
          <w:rFonts w:eastAsiaTheme="minorHAnsi"/>
        </w:rPr>
        <w:t>.</w:t>
      </w:r>
    </w:p>
    <w:p w14:paraId="3840BE3A" w14:textId="7280BC38" w:rsidR="00C13E32" w:rsidRPr="00734A49" w:rsidRDefault="00C13E32" w:rsidP="00C13E32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734A49">
        <w:rPr>
          <w:rFonts w:eastAsiaTheme="minorHAnsi"/>
          <w:color w:val="auto"/>
        </w:rPr>
        <w:t xml:space="preserve">По оценке эффективности деятельности руководителей исполнительных органов государственной власти Кабардино-Балкарской Республики, проведенной в соответствии с распоряжением Правительства Кабардино-Балкарской Республики </w:t>
      </w:r>
      <w:r w:rsidR="00C52EBA" w:rsidRPr="00734A49">
        <w:rPr>
          <w:rFonts w:eastAsiaTheme="minorHAnsi"/>
          <w:color w:val="auto"/>
        </w:rPr>
        <w:br/>
      </w:r>
      <w:r w:rsidRPr="00734A49">
        <w:rPr>
          <w:rFonts w:eastAsiaTheme="minorHAnsi"/>
          <w:color w:val="auto"/>
        </w:rPr>
        <w:t>от 12</w:t>
      </w:r>
      <w:r w:rsidR="00D9608E">
        <w:rPr>
          <w:rFonts w:eastAsiaTheme="minorHAnsi"/>
          <w:color w:val="auto"/>
        </w:rPr>
        <w:t>.03.</w:t>
      </w:r>
      <w:r w:rsidRPr="00734A49">
        <w:rPr>
          <w:rFonts w:eastAsiaTheme="minorHAnsi"/>
          <w:color w:val="auto"/>
        </w:rPr>
        <w:t xml:space="preserve">2018 </w:t>
      </w:r>
      <w:r w:rsidR="00C314E4">
        <w:rPr>
          <w:rFonts w:eastAsiaTheme="minorHAnsi"/>
          <w:color w:val="auto"/>
        </w:rPr>
        <w:t>года</w:t>
      </w:r>
      <w:r w:rsidRPr="00734A49">
        <w:rPr>
          <w:rFonts w:eastAsiaTheme="minorHAnsi"/>
          <w:color w:val="auto"/>
        </w:rPr>
        <w:t xml:space="preserve"> № 134-рп в 202</w:t>
      </w:r>
      <w:r w:rsidR="00734A49" w:rsidRPr="00734A49">
        <w:rPr>
          <w:rFonts w:eastAsiaTheme="minorHAnsi"/>
          <w:color w:val="auto"/>
        </w:rPr>
        <w:t>4</w:t>
      </w:r>
      <w:r w:rsidRPr="00734A49">
        <w:rPr>
          <w:rFonts w:eastAsiaTheme="minorHAnsi"/>
          <w:color w:val="auto"/>
        </w:rPr>
        <w:t xml:space="preserve"> году по итогам 202</w:t>
      </w:r>
      <w:r w:rsidR="00734A49" w:rsidRPr="00734A49">
        <w:rPr>
          <w:rFonts w:eastAsiaTheme="minorHAnsi"/>
          <w:color w:val="auto"/>
        </w:rPr>
        <w:t>3</w:t>
      </w:r>
      <w:r w:rsidRPr="00734A49">
        <w:rPr>
          <w:rFonts w:eastAsiaTheme="minorHAnsi"/>
          <w:color w:val="auto"/>
        </w:rPr>
        <w:t xml:space="preserve"> года, Министерство финансов Кабардино-Балкарской Республики заняло</w:t>
      </w:r>
      <w:r w:rsidR="004761B3" w:rsidRPr="00734A49">
        <w:rPr>
          <w:rFonts w:eastAsiaTheme="minorHAnsi"/>
          <w:color w:val="auto"/>
        </w:rPr>
        <w:t xml:space="preserve"> </w:t>
      </w:r>
      <w:r w:rsidR="009007F9" w:rsidRPr="00734A49">
        <w:rPr>
          <w:rFonts w:eastAsiaTheme="minorHAnsi"/>
          <w:color w:val="auto"/>
        </w:rPr>
        <w:t>3</w:t>
      </w:r>
      <w:r w:rsidRPr="00734A49">
        <w:rPr>
          <w:rFonts w:eastAsiaTheme="minorHAnsi"/>
          <w:color w:val="auto"/>
        </w:rPr>
        <w:t xml:space="preserve"> место. </w:t>
      </w:r>
    </w:p>
    <w:p w14:paraId="26CE9867" w14:textId="7A0229B0" w:rsidR="003837A7" w:rsidRDefault="008042A0" w:rsidP="009968E8">
      <w:pPr>
        <w:autoSpaceDE w:val="0"/>
        <w:autoSpaceDN w:val="0"/>
        <w:adjustRightInd w:val="0"/>
        <w:rPr>
          <w:color w:val="auto"/>
        </w:rPr>
      </w:pPr>
      <w:r w:rsidRPr="00F44D7C">
        <w:rPr>
          <w:color w:val="auto"/>
        </w:rPr>
        <w:t>Эффективность</w:t>
      </w:r>
      <w:r w:rsidR="00EF3EF0" w:rsidRPr="00F44D7C">
        <w:rPr>
          <w:color w:val="auto"/>
        </w:rPr>
        <w:t xml:space="preserve"> работы </w:t>
      </w:r>
      <w:r w:rsidR="00B16FC5" w:rsidRPr="00F44D7C">
        <w:rPr>
          <w:color w:val="auto"/>
        </w:rPr>
        <w:t>по управлению государственными финансами</w:t>
      </w:r>
      <w:r w:rsidR="00EF3EF0" w:rsidRPr="00F44D7C">
        <w:rPr>
          <w:color w:val="auto"/>
        </w:rPr>
        <w:t xml:space="preserve"> получила высокую оценку на федеральном уровне. По оценке Мин</w:t>
      </w:r>
      <w:r w:rsidR="00A1338A" w:rsidRPr="00F44D7C">
        <w:rPr>
          <w:color w:val="auto"/>
        </w:rPr>
        <w:t>истерства финансов Российской Федерации</w:t>
      </w:r>
      <w:r w:rsidR="00B17745" w:rsidRPr="00F44D7C">
        <w:rPr>
          <w:color w:val="auto"/>
        </w:rPr>
        <w:t>, проведенной в 202</w:t>
      </w:r>
      <w:r w:rsidR="00F44D7C" w:rsidRPr="00F44D7C">
        <w:rPr>
          <w:color w:val="auto"/>
        </w:rPr>
        <w:t>4</w:t>
      </w:r>
      <w:r w:rsidR="00B17745" w:rsidRPr="00F44D7C">
        <w:rPr>
          <w:color w:val="auto"/>
        </w:rPr>
        <w:t xml:space="preserve"> году по итогам 202</w:t>
      </w:r>
      <w:r w:rsidR="00F44D7C" w:rsidRPr="00F44D7C">
        <w:rPr>
          <w:color w:val="auto"/>
        </w:rPr>
        <w:t>3</w:t>
      </w:r>
      <w:r w:rsidR="00B17745" w:rsidRPr="00F44D7C">
        <w:rPr>
          <w:color w:val="auto"/>
        </w:rPr>
        <w:t xml:space="preserve"> года,</w:t>
      </w:r>
      <w:r w:rsidR="00EF3EF0" w:rsidRPr="00F44D7C">
        <w:rPr>
          <w:color w:val="auto"/>
        </w:rPr>
        <w:t xml:space="preserve"> республика </w:t>
      </w:r>
      <w:r w:rsidR="00F44D7C" w:rsidRPr="00F44D7C">
        <w:rPr>
          <w:color w:val="auto"/>
        </w:rPr>
        <w:t>5</w:t>
      </w:r>
      <w:r w:rsidR="009E6C8F" w:rsidRPr="00F44D7C">
        <w:rPr>
          <w:color w:val="auto"/>
        </w:rPr>
        <w:t xml:space="preserve"> раз подряд </w:t>
      </w:r>
      <w:r w:rsidR="00EF3EF0" w:rsidRPr="00F44D7C">
        <w:rPr>
          <w:color w:val="auto"/>
        </w:rPr>
        <w:t>вошла в группу регионов-лидеров</w:t>
      </w:r>
      <w:r w:rsidR="00B50BE1" w:rsidRPr="00F44D7C">
        <w:rPr>
          <w:color w:val="auto"/>
        </w:rPr>
        <w:t>,</w:t>
      </w:r>
      <w:r w:rsidR="00EF3EF0" w:rsidRPr="00F44D7C">
        <w:rPr>
          <w:color w:val="auto"/>
        </w:rPr>
        <w:t xml:space="preserve"> характеризующихся высоким качеством управления региональными финансами.</w:t>
      </w:r>
      <w:r w:rsidR="00B00B57" w:rsidRPr="00F44D7C">
        <w:rPr>
          <w:color w:val="auto"/>
        </w:rPr>
        <w:t xml:space="preserve"> Результаты оценки качества управления региональными финансами за 202</w:t>
      </w:r>
      <w:r w:rsidR="00F44D7C" w:rsidRPr="00F44D7C">
        <w:rPr>
          <w:color w:val="auto"/>
        </w:rPr>
        <w:t>4</w:t>
      </w:r>
      <w:r w:rsidR="00B00B57" w:rsidRPr="00F44D7C">
        <w:rPr>
          <w:color w:val="auto"/>
        </w:rPr>
        <w:t xml:space="preserve"> год будут опубликованы в сентябре 202</w:t>
      </w:r>
      <w:r w:rsidR="00F44D7C" w:rsidRPr="00F44D7C">
        <w:rPr>
          <w:color w:val="auto"/>
        </w:rPr>
        <w:t>5</w:t>
      </w:r>
      <w:r w:rsidR="00B00B57" w:rsidRPr="00F44D7C">
        <w:rPr>
          <w:color w:val="auto"/>
        </w:rPr>
        <w:t xml:space="preserve"> года. </w:t>
      </w:r>
    </w:p>
    <w:p w14:paraId="400633E8" w14:textId="16BC92F9" w:rsidR="00F44D7C" w:rsidRDefault="00F44D7C" w:rsidP="009968E8">
      <w:pPr>
        <w:autoSpaceDE w:val="0"/>
        <w:autoSpaceDN w:val="0"/>
        <w:adjustRightInd w:val="0"/>
        <w:rPr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0297B36" wp14:editId="2B2199AE">
            <wp:simplePos x="923925" y="647700"/>
            <wp:positionH relativeFrom="margin">
              <wp:align>center</wp:align>
            </wp:positionH>
            <wp:positionV relativeFrom="margin">
              <wp:align>top</wp:align>
            </wp:positionV>
            <wp:extent cx="4019550" cy="2677795"/>
            <wp:effectExtent l="57150" t="57150" r="38100" b="273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677795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9832C" w14:textId="60AB05EE" w:rsidR="00F44D7C" w:rsidRDefault="00F44D7C" w:rsidP="009968E8">
      <w:pPr>
        <w:autoSpaceDE w:val="0"/>
        <w:autoSpaceDN w:val="0"/>
        <w:adjustRightInd w:val="0"/>
        <w:rPr>
          <w:color w:val="auto"/>
        </w:rPr>
      </w:pPr>
    </w:p>
    <w:p w14:paraId="425650CE" w14:textId="77777777" w:rsidR="00F44D7C" w:rsidRPr="00F44D7C" w:rsidRDefault="00F44D7C" w:rsidP="009968E8">
      <w:pPr>
        <w:autoSpaceDE w:val="0"/>
        <w:autoSpaceDN w:val="0"/>
        <w:adjustRightInd w:val="0"/>
        <w:rPr>
          <w:color w:val="auto"/>
        </w:rPr>
      </w:pPr>
    </w:p>
    <w:p w14:paraId="5EB97F62" w14:textId="77777777" w:rsidR="00AE1B17" w:rsidRPr="00034CD9" w:rsidRDefault="00AE1B17" w:rsidP="009968E8">
      <w:pPr>
        <w:autoSpaceDE w:val="0"/>
        <w:autoSpaceDN w:val="0"/>
        <w:adjustRightInd w:val="0"/>
        <w:rPr>
          <w:color w:val="FF0000"/>
          <w:sz w:val="16"/>
          <w:szCs w:val="16"/>
        </w:rPr>
      </w:pPr>
    </w:p>
    <w:p w14:paraId="0D58B5E3" w14:textId="3EFDE244" w:rsidR="00EF3EF0" w:rsidRPr="00034CD9" w:rsidRDefault="00EF3EF0" w:rsidP="00AE1B17">
      <w:pPr>
        <w:autoSpaceDE w:val="0"/>
        <w:autoSpaceDN w:val="0"/>
        <w:adjustRightInd w:val="0"/>
        <w:ind w:left="2977" w:hanging="142"/>
        <w:rPr>
          <w:color w:val="FF0000"/>
        </w:rPr>
      </w:pPr>
    </w:p>
    <w:p w14:paraId="1F466C6E" w14:textId="77777777" w:rsidR="003837A7" w:rsidRPr="00034CD9" w:rsidRDefault="003837A7" w:rsidP="009968E8">
      <w:pPr>
        <w:autoSpaceDE w:val="0"/>
        <w:autoSpaceDN w:val="0"/>
        <w:adjustRightInd w:val="0"/>
        <w:rPr>
          <w:color w:val="FF0000"/>
        </w:rPr>
      </w:pPr>
    </w:p>
    <w:p w14:paraId="1EEDD1FE" w14:textId="77777777" w:rsidR="00F44D7C" w:rsidRDefault="00F44D7C" w:rsidP="006315C7">
      <w:pPr>
        <w:contextualSpacing/>
        <w:rPr>
          <w:color w:val="000000"/>
        </w:rPr>
      </w:pPr>
    </w:p>
    <w:p w14:paraId="38D3F48C" w14:textId="77777777" w:rsidR="00F44D7C" w:rsidRDefault="00F44D7C" w:rsidP="006315C7">
      <w:pPr>
        <w:contextualSpacing/>
        <w:rPr>
          <w:color w:val="000000"/>
        </w:rPr>
      </w:pPr>
    </w:p>
    <w:p w14:paraId="270BB8FD" w14:textId="77777777" w:rsidR="00F44D7C" w:rsidRDefault="00F44D7C" w:rsidP="006315C7">
      <w:pPr>
        <w:contextualSpacing/>
        <w:rPr>
          <w:color w:val="000000"/>
        </w:rPr>
      </w:pPr>
    </w:p>
    <w:p w14:paraId="28259B88" w14:textId="77777777" w:rsidR="00F44D7C" w:rsidRDefault="00F44D7C" w:rsidP="006315C7">
      <w:pPr>
        <w:contextualSpacing/>
        <w:rPr>
          <w:color w:val="000000"/>
        </w:rPr>
      </w:pPr>
    </w:p>
    <w:p w14:paraId="6C247591" w14:textId="77777777" w:rsidR="00F44D7C" w:rsidRDefault="00F44D7C" w:rsidP="006315C7">
      <w:pPr>
        <w:contextualSpacing/>
        <w:rPr>
          <w:color w:val="000000"/>
        </w:rPr>
      </w:pPr>
    </w:p>
    <w:p w14:paraId="4A84F278" w14:textId="77777777" w:rsidR="00F44D7C" w:rsidRDefault="00F44D7C" w:rsidP="006315C7">
      <w:pPr>
        <w:contextualSpacing/>
        <w:rPr>
          <w:color w:val="000000"/>
        </w:rPr>
      </w:pPr>
    </w:p>
    <w:p w14:paraId="46FBB642" w14:textId="77777777" w:rsidR="00F44D7C" w:rsidRDefault="00F44D7C" w:rsidP="006315C7">
      <w:pPr>
        <w:contextualSpacing/>
        <w:rPr>
          <w:color w:val="000000"/>
        </w:rPr>
      </w:pPr>
    </w:p>
    <w:p w14:paraId="1E02B2B5" w14:textId="77777777" w:rsidR="00F44D7C" w:rsidRDefault="00F44D7C" w:rsidP="006315C7">
      <w:pPr>
        <w:contextualSpacing/>
        <w:rPr>
          <w:color w:val="000000"/>
        </w:rPr>
      </w:pPr>
    </w:p>
    <w:p w14:paraId="1636DE25" w14:textId="77777777" w:rsidR="00F44D7C" w:rsidRDefault="00F44D7C" w:rsidP="006315C7">
      <w:pPr>
        <w:contextualSpacing/>
        <w:rPr>
          <w:color w:val="000000"/>
        </w:rPr>
      </w:pPr>
    </w:p>
    <w:p w14:paraId="7C2EB3A2" w14:textId="097216F5" w:rsidR="006315C7" w:rsidRPr="006315C7" w:rsidRDefault="006315C7" w:rsidP="006315C7">
      <w:pPr>
        <w:contextualSpacing/>
        <w:rPr>
          <w:color w:val="000000"/>
        </w:rPr>
      </w:pPr>
      <w:r w:rsidRPr="006315C7">
        <w:rPr>
          <w:color w:val="000000"/>
        </w:rPr>
        <w:t xml:space="preserve">В 2024 году </w:t>
      </w:r>
      <w:r w:rsidR="00F44D7C">
        <w:rPr>
          <w:color w:val="000000"/>
        </w:rPr>
        <w:t xml:space="preserve">была продолжена </w:t>
      </w:r>
      <w:r w:rsidRPr="006315C7">
        <w:rPr>
          <w:color w:val="000000"/>
        </w:rPr>
        <w:t>работа по повышению открытости и прозрачности бюджетного процесса в Кабардино-Балкарской Республике, в том числе:</w:t>
      </w:r>
    </w:p>
    <w:p w14:paraId="26AE545A" w14:textId="77777777" w:rsidR="006315C7" w:rsidRPr="006315C7" w:rsidRDefault="006315C7" w:rsidP="006315C7">
      <w:pPr>
        <w:keepNext/>
        <w:keepLines/>
        <w:outlineLvl w:val="2"/>
        <w:rPr>
          <w:color w:val="000000"/>
        </w:rPr>
      </w:pPr>
      <w:bookmarkStart w:id="3" w:name="_Toc128735817"/>
      <w:bookmarkStart w:id="4" w:name="_Toc129858660"/>
      <w:bookmarkStart w:id="5" w:name="_Toc129882070"/>
      <w:bookmarkStart w:id="6" w:name="_Toc130394835"/>
      <w:bookmarkStart w:id="7" w:name="_Toc130809873"/>
      <w:bookmarkStart w:id="8" w:name="_Toc131001514"/>
      <w:bookmarkStart w:id="9" w:name="_Toc131085633"/>
      <w:bookmarkStart w:id="10" w:name="_Toc161837293"/>
      <w:bookmarkStart w:id="11" w:name="_Toc162008701"/>
      <w:r w:rsidRPr="006315C7">
        <w:rPr>
          <w:color w:val="000000"/>
        </w:rPr>
        <w:t>- проведены публичные слушания по годовому отчету об исполнении республиканского бюджета за 2023 год, а также публичные слушания по проекту закона </w:t>
      </w:r>
      <w:r w:rsidRPr="006315C7">
        <w:rPr>
          <w:rFonts w:ascii="Calibri Light" w:eastAsia="Calibri" w:hAnsi="Calibri Light"/>
          <w:bCs/>
          <w:color w:val="000000"/>
        </w:rPr>
        <w:t>«</w:t>
      </w:r>
      <w:r w:rsidRPr="006315C7">
        <w:rPr>
          <w:color w:val="000000"/>
        </w:rPr>
        <w:t>О республиканском бюджете КБР на 2025 год и на плановый период 2026 и 2027 годов</w:t>
      </w:r>
      <w:r w:rsidRPr="006315C7">
        <w:rPr>
          <w:rFonts w:ascii="Calibri Light" w:eastAsia="Calibri" w:hAnsi="Calibri Light"/>
          <w:bCs/>
          <w:color w:val="000000"/>
        </w:rPr>
        <w:t>»</w:t>
      </w:r>
      <w:r w:rsidRPr="006315C7">
        <w:rPr>
          <w:color w:val="000000"/>
        </w:rPr>
        <w:t>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8E6B5F9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- организованы ежеквартальные заседания Общественного совета при Министерстве финансов Кабардино-Балкарской Республики;</w:t>
      </w:r>
    </w:p>
    <w:p w14:paraId="15DFCA8E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- разработаны и опубликованы информационные брошюры «Бюджет для граждан» к закону о республиканском бюджете Кабардино-Балкарской Республики, годовому отчету об исполнении республиканского бюджета Кабардино-Балкарской Республики за 2023 год, проекту закона</w:t>
      </w:r>
      <w:r w:rsidRPr="006315C7">
        <w:rPr>
          <w:rFonts w:eastAsia="Calibri"/>
          <w:b/>
          <w:color w:val="000000"/>
        </w:rPr>
        <w:t xml:space="preserve"> «</w:t>
      </w:r>
      <w:r w:rsidRPr="006315C7">
        <w:rPr>
          <w:color w:val="000000"/>
        </w:rPr>
        <w:t>О республиканском бюджете КБР на 2025 год и на плановый период 2026 и 2027 годов</w:t>
      </w:r>
      <w:r w:rsidRPr="006315C7">
        <w:rPr>
          <w:rFonts w:eastAsia="Calibri"/>
          <w:b/>
          <w:color w:val="000000"/>
        </w:rPr>
        <w:t>»</w:t>
      </w:r>
      <w:r w:rsidRPr="006315C7">
        <w:rPr>
          <w:color w:val="000000"/>
        </w:rPr>
        <w:t>;</w:t>
      </w:r>
    </w:p>
    <w:p w14:paraId="456A6CCC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- организован и проведен республиканский этап Всероссийского конкурса проектов по представлению бюджетов в доступной для граждан форме. На конкурс поступило 4 заявки от финансовых органов муниципальных образований и 3 заявки от физических лиц по следующим номинациям:</w:t>
      </w:r>
    </w:p>
    <w:p w14:paraId="1EDCA554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«Современные формы представления проекта местного бюджета для граждан» - 3 заявки;</w:t>
      </w:r>
    </w:p>
    <w:p w14:paraId="11BF4B7B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«Бюджет для граждан от СМИ» - 1 заявка;</w:t>
      </w:r>
    </w:p>
    <w:p w14:paraId="72BF577E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«Лучшая настольная игра о бюджете для граждан» - 1 заявка;</w:t>
      </w:r>
    </w:p>
    <w:p w14:paraId="318C6440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«Бюджет для граждан в 2030 году» - 1 заявка;</w:t>
      </w:r>
    </w:p>
    <w:p w14:paraId="71EEBF3E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«Лучшее предложение по изменению бюджетного законодательства» - 1 заявка.</w:t>
      </w:r>
    </w:p>
    <w:p w14:paraId="6F2B9F1D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Информация о победителях конкурса размещена на официальном портале Министерства финансов Кабардино-Балкарской Республики.</w:t>
      </w:r>
    </w:p>
    <w:p w14:paraId="77840375" w14:textId="3CDBD71E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Конкурсные проекты победителей направлены в Финансовый университет при Правительстве Российской Федерации для участия во втором туре федерального конкурса. По итогам второго федерального тура конкурсный проект в номинации «Бюджет для граждан в 2030 году» занял 3 место.</w:t>
      </w:r>
    </w:p>
    <w:p w14:paraId="1E859D50" w14:textId="77777777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>- проведен мониторинг своевременного размещения государственными учреждениями Кабардино-Балкарской Республики отчетных документов на официальном сайте в сети «Интернет» по размещению информации о государственных и муниципальных учреждениях (bus.gov.ru). По результатам оценки уровня открытости бюджетных данных субъектов Российской Федерации по разделу «Публичные сведения о деятельности государственных учреждений» за 2024 год Кабардино-Балкарская Республика вошла в группу с очень высоким уровнем открытости бюджетных данных;</w:t>
      </w:r>
    </w:p>
    <w:p w14:paraId="06F0B8A5" w14:textId="53684A93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 xml:space="preserve">- </w:t>
      </w:r>
      <w:r w:rsidRPr="006315C7">
        <w:rPr>
          <w:rFonts w:eastAsia="Calibri"/>
          <w:color w:val="000000"/>
        </w:rPr>
        <w:t xml:space="preserve">регулярно на едином портале бюджетной системы Российской Федерации размещалась информация, предусмотренная Приказом Министерства финансов Российской Федерации от 28.12.2016 </w:t>
      </w:r>
      <w:r w:rsidR="00C314E4">
        <w:rPr>
          <w:rFonts w:eastAsia="Calibri"/>
          <w:color w:val="000000"/>
        </w:rPr>
        <w:t>года</w:t>
      </w:r>
      <w:r w:rsidRPr="006315C7">
        <w:rPr>
          <w:rFonts w:eastAsia="Calibri"/>
          <w:color w:val="000000"/>
        </w:rPr>
        <w:t xml:space="preserve"> № 243н, за 2024 год только в подсистеме «Бюджетное планирование» размещен 461 набор информации;</w:t>
      </w:r>
    </w:p>
    <w:p w14:paraId="5BE8365B" w14:textId="32550352" w:rsidR="006315C7" w:rsidRPr="006315C7" w:rsidRDefault="006315C7" w:rsidP="006315C7">
      <w:pPr>
        <w:autoSpaceDE w:val="0"/>
        <w:autoSpaceDN w:val="0"/>
        <w:adjustRightInd w:val="0"/>
        <w:contextualSpacing/>
        <w:rPr>
          <w:color w:val="000000"/>
        </w:rPr>
      </w:pPr>
      <w:r w:rsidRPr="006315C7">
        <w:rPr>
          <w:color w:val="000000"/>
        </w:rPr>
        <w:t xml:space="preserve">- организована системная и методическая работа по своевременному размещению информационных и аналитических материалов, используемых Министерством финансов Российской Федерации для рейтингования субъектов </w:t>
      </w:r>
      <w:r w:rsidR="00D9608E" w:rsidRPr="006315C7">
        <w:rPr>
          <w:color w:val="000000"/>
        </w:rPr>
        <w:t>Российской Федерации</w:t>
      </w:r>
      <w:r w:rsidRPr="006315C7">
        <w:rPr>
          <w:color w:val="000000"/>
        </w:rPr>
        <w:t xml:space="preserve"> по уровню открытости бюджетных данных.</w:t>
      </w:r>
    </w:p>
    <w:p w14:paraId="775796BD" w14:textId="77777777" w:rsidR="00765023" w:rsidRPr="00034CD9" w:rsidRDefault="00765023" w:rsidP="00EF3EF0">
      <w:pPr>
        <w:autoSpaceDE w:val="0"/>
        <w:autoSpaceDN w:val="0"/>
        <w:adjustRightInd w:val="0"/>
        <w:rPr>
          <w:color w:val="FF0000"/>
        </w:rPr>
      </w:pPr>
    </w:p>
    <w:p w14:paraId="763ED355" w14:textId="00DCE75A" w:rsidR="00F811F4" w:rsidRPr="00034CD9" w:rsidRDefault="00F811F4" w:rsidP="00034CD9">
      <w:pPr>
        <w:pStyle w:val="24"/>
        <w:spacing w:before="0" w:after="0"/>
        <w:ind w:left="431" w:hanging="431"/>
        <w:rPr>
          <w:color w:val="000000" w:themeColor="text1"/>
        </w:rPr>
      </w:pPr>
      <w:bookmarkStart w:id="12" w:name="_Toc482701239"/>
      <w:bookmarkStart w:id="13" w:name="_Toc131085634"/>
      <w:bookmarkStart w:id="14" w:name="_Toc162008702"/>
      <w:r w:rsidRPr="00C32F32">
        <w:rPr>
          <w:color w:val="568D11" w:themeColor="accent3" w:themeShade="80"/>
        </w:rPr>
        <w:t>Деятельность Министерства финансов КБР в области</w:t>
      </w:r>
      <w:bookmarkStart w:id="15" w:name="_Toc482701240"/>
      <w:bookmarkEnd w:id="12"/>
      <w:r w:rsidR="007609AB">
        <w:rPr>
          <w:color w:val="568D11" w:themeColor="accent3" w:themeShade="80"/>
        </w:rPr>
        <w:t xml:space="preserve"> </w:t>
      </w:r>
      <w:r w:rsidRPr="00C32F32">
        <w:rPr>
          <w:color w:val="568D11" w:themeColor="accent3" w:themeShade="80"/>
        </w:rPr>
        <w:t>составления и исполнения республиканского бюджета</w:t>
      </w:r>
      <w:bookmarkEnd w:id="13"/>
      <w:bookmarkEnd w:id="15"/>
      <w:bookmarkEnd w:id="14"/>
      <w:r w:rsidR="00997CA7">
        <w:rPr>
          <w:color w:val="568D11" w:themeColor="accent3" w:themeShade="80"/>
        </w:rPr>
        <w:t xml:space="preserve"> </w:t>
      </w:r>
    </w:p>
    <w:p w14:paraId="633E5BB0" w14:textId="77777777" w:rsidR="007C4014" w:rsidRDefault="007C4014" w:rsidP="00084D6E">
      <w:pPr>
        <w:widowControl/>
        <w:contextualSpacing/>
        <w:rPr>
          <w:color w:val="FF0000"/>
        </w:rPr>
      </w:pPr>
    </w:p>
    <w:p w14:paraId="50A40145" w14:textId="77777777" w:rsidR="000C03D2" w:rsidRPr="000C03D2" w:rsidRDefault="00084D6E" w:rsidP="00AE43B3">
      <w:pPr>
        <w:widowControl/>
        <w:contextualSpacing/>
        <w:rPr>
          <w:color w:val="auto"/>
        </w:rPr>
      </w:pPr>
      <w:r w:rsidRPr="000C03D2">
        <w:rPr>
          <w:color w:val="auto"/>
        </w:rPr>
        <w:t>Одной из важных мер, гарантирующих стабильность и устойчивость бюджетной системы, является принятие закона о республиканском бюджете на очередной финансовый год и на плановый период, формирование которого обеспечивается Министерством финансов КБР в рамках своих полномочий.</w:t>
      </w:r>
      <w:r w:rsidR="00734A49" w:rsidRPr="000C03D2">
        <w:rPr>
          <w:color w:val="auto"/>
        </w:rPr>
        <w:t xml:space="preserve"> </w:t>
      </w:r>
    </w:p>
    <w:p w14:paraId="6A5059DC" w14:textId="5B89CDAB" w:rsidR="00084D6E" w:rsidRPr="000C03D2" w:rsidRDefault="00734A49" w:rsidP="00AE43B3">
      <w:pPr>
        <w:widowControl/>
        <w:contextualSpacing/>
        <w:rPr>
          <w:color w:val="auto"/>
        </w:rPr>
      </w:pPr>
      <w:r w:rsidRPr="000C03D2">
        <w:rPr>
          <w:color w:val="auto"/>
        </w:rPr>
        <w:t>Формирование проекта республиканского бюджета</w:t>
      </w:r>
      <w:r w:rsidR="000C03D2" w:rsidRPr="000C03D2">
        <w:rPr>
          <w:color w:val="auto"/>
        </w:rPr>
        <w:t xml:space="preserve"> в 2024 году</w:t>
      </w:r>
      <w:r w:rsidRPr="000C03D2">
        <w:rPr>
          <w:color w:val="auto"/>
        </w:rPr>
        <w:t xml:space="preserve"> проходило в условиях продолжающегося санкционного давления.</w:t>
      </w:r>
    </w:p>
    <w:p w14:paraId="27942E7B" w14:textId="23638A59" w:rsidR="00084D6E" w:rsidRPr="000C03D2" w:rsidRDefault="00084D6E" w:rsidP="00AE43B3">
      <w:pPr>
        <w:widowControl/>
        <w:contextualSpacing/>
        <w:rPr>
          <w:color w:val="auto"/>
        </w:rPr>
      </w:pPr>
      <w:r w:rsidRPr="000C03D2">
        <w:rPr>
          <w:color w:val="auto"/>
        </w:rPr>
        <w:t>В рамках составления проекта республиканского бюджета КБР Министерством финансов КБР были проведены следующие мероприятия:</w:t>
      </w:r>
    </w:p>
    <w:p w14:paraId="7AC7EB30" w14:textId="77777777" w:rsidR="00084D6E" w:rsidRPr="000C03D2" w:rsidRDefault="00084D6E" w:rsidP="00AE43B3">
      <w:pPr>
        <w:widowControl/>
        <w:contextualSpacing/>
        <w:rPr>
          <w:color w:val="auto"/>
        </w:rPr>
      </w:pPr>
      <w:r w:rsidRPr="000C03D2">
        <w:rPr>
          <w:color w:val="auto"/>
        </w:rPr>
        <w:t>- разработаны и доведены до главных распорядителей бюджетных средств методические указания по распределению бюджетных ассигнований республиканского бюджета Кабардино-Балкарской Республики на очередной финансовый год и плановый период;</w:t>
      </w:r>
    </w:p>
    <w:p w14:paraId="62968DB7" w14:textId="77777777" w:rsidR="00084D6E" w:rsidRPr="000C03D2" w:rsidRDefault="00084D6E" w:rsidP="00AE43B3">
      <w:pPr>
        <w:widowControl/>
        <w:contextualSpacing/>
        <w:rPr>
          <w:color w:val="auto"/>
        </w:rPr>
      </w:pPr>
      <w:r w:rsidRPr="000C03D2">
        <w:rPr>
          <w:color w:val="auto"/>
        </w:rPr>
        <w:t>- разработаны основные направления налоговой, бюджетной и долговой политики на очередной финансовый год и плановый период;</w:t>
      </w:r>
    </w:p>
    <w:p w14:paraId="44C79A4B" w14:textId="77777777" w:rsidR="00084D6E" w:rsidRPr="000C03D2" w:rsidRDefault="00084D6E" w:rsidP="00AE43B3">
      <w:pPr>
        <w:widowControl/>
        <w:contextualSpacing/>
        <w:rPr>
          <w:color w:val="auto"/>
        </w:rPr>
      </w:pPr>
      <w:r w:rsidRPr="000C03D2">
        <w:rPr>
          <w:color w:val="auto"/>
        </w:rPr>
        <w:t>- выполнена сверка исходных данных для расчета распределения дотаций и субвенций, главным распорядителем которых является Министерство финансов Российской Федерации;</w:t>
      </w:r>
    </w:p>
    <w:p w14:paraId="38770FE8" w14:textId="72C27C5E" w:rsidR="00084D6E" w:rsidRPr="000C03D2" w:rsidRDefault="00084D6E" w:rsidP="00AE43B3">
      <w:pPr>
        <w:rPr>
          <w:color w:val="auto"/>
        </w:rPr>
      </w:pPr>
      <w:r w:rsidRPr="000C03D2">
        <w:rPr>
          <w:color w:val="auto"/>
        </w:rPr>
        <w:t xml:space="preserve">- в целях распределения объема дотации на выравнивание бюджетной обеспеченности составлен и представлен в Министерство финансов Российской Федерации реестр расходных обязательств Кабардино-Балкарской Республики, свод реестров расходных обязательств муниципальных образований и справочная таблица по финансированию полномочий субъектов Российской Федерации и </w:t>
      </w:r>
      <w:r w:rsidR="000C03D2">
        <w:rPr>
          <w:color w:val="auto"/>
        </w:rPr>
        <w:t>муниципальных образований.</w:t>
      </w:r>
    </w:p>
    <w:p w14:paraId="7CC46FEF" w14:textId="77777777" w:rsidR="00791E69" w:rsidRPr="00791E69" w:rsidRDefault="00084D6E" w:rsidP="00791E69">
      <w:pPr>
        <w:autoSpaceDE w:val="0"/>
        <w:autoSpaceDN w:val="0"/>
        <w:adjustRightInd w:val="0"/>
        <w:ind w:firstLine="720"/>
        <w:contextualSpacing/>
        <w:rPr>
          <w:rFonts w:eastAsia="Calibri"/>
          <w:color w:val="auto"/>
        </w:rPr>
      </w:pPr>
      <w:r w:rsidRPr="000C03D2">
        <w:rPr>
          <w:color w:val="auto"/>
        </w:rPr>
        <w:t>Закон о бюджете на 202</w:t>
      </w:r>
      <w:r w:rsidR="000C03D2" w:rsidRPr="000C03D2">
        <w:rPr>
          <w:color w:val="auto"/>
        </w:rPr>
        <w:t>5</w:t>
      </w:r>
      <w:r w:rsidRPr="000C03D2">
        <w:rPr>
          <w:color w:val="auto"/>
        </w:rPr>
        <w:t>-202</w:t>
      </w:r>
      <w:r w:rsidR="000C03D2" w:rsidRPr="000C03D2">
        <w:rPr>
          <w:color w:val="auto"/>
        </w:rPr>
        <w:t>7</w:t>
      </w:r>
      <w:r w:rsidRPr="000C03D2">
        <w:rPr>
          <w:color w:val="auto"/>
        </w:rPr>
        <w:t xml:space="preserve"> годы </w:t>
      </w:r>
      <w:r w:rsidR="00791E69" w:rsidRPr="00791E69">
        <w:rPr>
          <w:rFonts w:eastAsia="Calibri"/>
          <w:color w:val="auto"/>
        </w:rPr>
        <w:t xml:space="preserve">составлен по программному принципу на основании утверждённого Перечня государственных программ. </w:t>
      </w:r>
    </w:p>
    <w:p w14:paraId="37172250" w14:textId="2F7A2AB0" w:rsidR="00084D6E" w:rsidRPr="000C03D2" w:rsidRDefault="00084D6E" w:rsidP="00791E69">
      <w:pPr>
        <w:autoSpaceDE w:val="0"/>
        <w:autoSpaceDN w:val="0"/>
        <w:adjustRightInd w:val="0"/>
        <w:ind w:firstLine="720"/>
        <w:contextualSpacing/>
        <w:rPr>
          <w:color w:val="auto"/>
        </w:rPr>
      </w:pPr>
      <w:r w:rsidRPr="000C03D2">
        <w:rPr>
          <w:color w:val="auto"/>
        </w:rPr>
        <w:t>Основные характеристики принятого в 202</w:t>
      </w:r>
      <w:r w:rsidR="000C03D2" w:rsidRPr="000C03D2">
        <w:rPr>
          <w:color w:val="auto"/>
        </w:rPr>
        <w:t>4</w:t>
      </w:r>
      <w:r w:rsidRPr="000C03D2">
        <w:rPr>
          <w:color w:val="auto"/>
        </w:rPr>
        <w:t xml:space="preserve"> году закона </w:t>
      </w:r>
      <w:r w:rsidR="00A32071" w:rsidRPr="000C03D2">
        <w:rPr>
          <w:color w:val="auto"/>
        </w:rPr>
        <w:t>«</w:t>
      </w:r>
      <w:r w:rsidRPr="000C03D2">
        <w:rPr>
          <w:color w:val="auto"/>
        </w:rPr>
        <w:t>О республиканском бюджете на 20</w:t>
      </w:r>
      <w:r w:rsidR="000C03D2" w:rsidRPr="000C03D2">
        <w:rPr>
          <w:color w:val="auto"/>
        </w:rPr>
        <w:t>25</w:t>
      </w:r>
      <w:r w:rsidRPr="000C03D2">
        <w:rPr>
          <w:color w:val="auto"/>
        </w:rPr>
        <w:t xml:space="preserve"> год и на плановый период 202</w:t>
      </w:r>
      <w:r w:rsidR="000C03D2" w:rsidRPr="000C03D2">
        <w:rPr>
          <w:color w:val="auto"/>
        </w:rPr>
        <w:t>6</w:t>
      </w:r>
      <w:r w:rsidRPr="000C03D2">
        <w:rPr>
          <w:color w:val="auto"/>
        </w:rPr>
        <w:t xml:space="preserve"> и 202</w:t>
      </w:r>
      <w:r w:rsidR="000C03D2" w:rsidRPr="000C03D2">
        <w:rPr>
          <w:color w:val="auto"/>
        </w:rPr>
        <w:t>7</w:t>
      </w:r>
      <w:r w:rsidRPr="000C03D2">
        <w:rPr>
          <w:color w:val="auto"/>
        </w:rPr>
        <w:t xml:space="preserve"> годов</w:t>
      </w:r>
      <w:r w:rsidR="00A32071" w:rsidRPr="000C03D2">
        <w:rPr>
          <w:color w:val="auto"/>
        </w:rPr>
        <w:t>»</w:t>
      </w:r>
      <w:r w:rsidRPr="000C03D2">
        <w:rPr>
          <w:color w:val="auto"/>
        </w:rPr>
        <w:t xml:space="preserve"> обеспечивают все первоочередные расходные обязательства, сохраняют сбалансированность республиканского бюджета при соблюдении всех ограничений. </w:t>
      </w:r>
    </w:p>
    <w:p w14:paraId="0D8C2EBB" w14:textId="545BA253" w:rsidR="0027553F" w:rsidRDefault="0027553F" w:rsidP="00AE43B3">
      <w:pPr>
        <w:widowControl/>
        <w:contextualSpacing/>
        <w:rPr>
          <w:color w:val="auto"/>
        </w:rPr>
      </w:pPr>
      <w:r w:rsidRPr="00A2708E">
        <w:rPr>
          <w:color w:val="auto"/>
        </w:rPr>
        <w:t>В соответствии с пунктом 2.1.1. Соглашения о мерах по социально</w:t>
      </w:r>
      <w:r w:rsidR="00793168">
        <w:rPr>
          <w:color w:val="auto"/>
        </w:rPr>
        <w:t>-</w:t>
      </w:r>
      <w:r w:rsidRPr="00A2708E">
        <w:rPr>
          <w:color w:val="auto"/>
        </w:rPr>
        <w:t xml:space="preserve"> экономическому развитию и оздоровлению государственных финансов </w:t>
      </w:r>
      <w:r w:rsidR="00793168">
        <w:rPr>
          <w:color w:val="auto"/>
        </w:rPr>
        <w:br/>
      </w:r>
      <w:r w:rsidRPr="00A2708E">
        <w:rPr>
          <w:color w:val="auto"/>
        </w:rPr>
        <w:t>Кабардино-Балкар</w:t>
      </w:r>
      <w:r w:rsidR="00793168">
        <w:rPr>
          <w:color w:val="auto"/>
        </w:rPr>
        <w:t xml:space="preserve">ской Республики от 28.12.2023 </w:t>
      </w:r>
      <w:r w:rsidR="00C314E4">
        <w:rPr>
          <w:color w:val="auto"/>
        </w:rPr>
        <w:t>года</w:t>
      </w:r>
      <w:r w:rsidRPr="00A2708E">
        <w:rPr>
          <w:color w:val="auto"/>
        </w:rPr>
        <w:t xml:space="preserve"> № 2023-00467 проект закона Кабардино-Балкарской Республики «О республиканском бюджете </w:t>
      </w:r>
      <w:r w:rsidR="00793168">
        <w:rPr>
          <w:color w:val="auto"/>
        </w:rPr>
        <w:br/>
      </w:r>
      <w:r w:rsidRPr="00A2708E">
        <w:rPr>
          <w:color w:val="auto"/>
        </w:rPr>
        <w:t>Кабардино-Балкарской Республики на 202</w:t>
      </w:r>
      <w:r>
        <w:rPr>
          <w:color w:val="auto"/>
        </w:rPr>
        <w:t>5</w:t>
      </w:r>
      <w:r w:rsidRPr="00A2708E">
        <w:rPr>
          <w:color w:val="auto"/>
        </w:rPr>
        <w:t xml:space="preserve"> год и на плановый период 202</w:t>
      </w:r>
      <w:r>
        <w:rPr>
          <w:color w:val="auto"/>
        </w:rPr>
        <w:t>6</w:t>
      </w:r>
      <w:r w:rsidRPr="00A2708E">
        <w:rPr>
          <w:color w:val="auto"/>
        </w:rPr>
        <w:t xml:space="preserve"> и 202</w:t>
      </w:r>
      <w:r>
        <w:rPr>
          <w:color w:val="auto"/>
        </w:rPr>
        <w:t>7</w:t>
      </w:r>
      <w:r w:rsidRPr="00A2708E">
        <w:rPr>
          <w:color w:val="auto"/>
        </w:rPr>
        <w:t xml:space="preserve"> годов», основные параметры бюджета по видам доходов, по видам расходов, разделам, подразделам, по видам источников финансирования дефицита бюджета, а также информация о потребности и предусмотренных средствах консолидированного бюджета</w:t>
      </w:r>
      <w:r w:rsidR="00793168">
        <w:rPr>
          <w:color w:val="auto"/>
        </w:rPr>
        <w:t xml:space="preserve"> </w:t>
      </w:r>
      <w:r w:rsidRPr="00A2708E">
        <w:rPr>
          <w:color w:val="auto"/>
        </w:rPr>
        <w:t>Кабардино-Балкарской Республики на повышение оплаты труда работников бюджетной сферы в 202</w:t>
      </w:r>
      <w:r>
        <w:rPr>
          <w:color w:val="auto"/>
        </w:rPr>
        <w:t>5</w:t>
      </w:r>
      <w:r w:rsidRPr="00A2708E">
        <w:rPr>
          <w:color w:val="auto"/>
        </w:rPr>
        <w:t>-202</w:t>
      </w:r>
      <w:r>
        <w:rPr>
          <w:color w:val="auto"/>
        </w:rPr>
        <w:t>7</w:t>
      </w:r>
      <w:r w:rsidRPr="00A2708E">
        <w:rPr>
          <w:color w:val="auto"/>
        </w:rPr>
        <w:t xml:space="preserve"> годах были своевременно направлены в Министерство финансов Россий</w:t>
      </w:r>
      <w:r w:rsidR="00793168">
        <w:rPr>
          <w:color w:val="auto"/>
        </w:rPr>
        <w:t>ской Федерации на согласование.</w:t>
      </w:r>
    </w:p>
    <w:p w14:paraId="55E98357" w14:textId="77F7D416" w:rsidR="005F1CD3" w:rsidRPr="000C03D2" w:rsidRDefault="005F1CD3" w:rsidP="00AE43B3">
      <w:pPr>
        <w:widowControl/>
        <w:contextualSpacing/>
        <w:rPr>
          <w:color w:val="auto"/>
        </w:rPr>
      </w:pPr>
      <w:r w:rsidRPr="000C03D2">
        <w:rPr>
          <w:color w:val="auto"/>
        </w:rPr>
        <w:t>Проект закона Кабардино-Балкарской Республики «О республиканском бюджете Кабардино-Балкарской Республики на 202</w:t>
      </w:r>
      <w:r w:rsidR="000C03D2" w:rsidRPr="000C03D2">
        <w:rPr>
          <w:color w:val="auto"/>
        </w:rPr>
        <w:t>5</w:t>
      </w:r>
      <w:r w:rsidRPr="000C03D2">
        <w:rPr>
          <w:color w:val="auto"/>
        </w:rPr>
        <w:t xml:space="preserve"> год и на плановый период 202</w:t>
      </w:r>
      <w:r w:rsidR="000C03D2" w:rsidRPr="000C03D2">
        <w:rPr>
          <w:color w:val="auto"/>
        </w:rPr>
        <w:t>6</w:t>
      </w:r>
      <w:r w:rsidRPr="000C03D2">
        <w:rPr>
          <w:color w:val="auto"/>
        </w:rPr>
        <w:t xml:space="preserve"> и 202</w:t>
      </w:r>
      <w:r w:rsidR="000C03D2" w:rsidRPr="000C03D2">
        <w:rPr>
          <w:color w:val="auto"/>
        </w:rPr>
        <w:t>7</w:t>
      </w:r>
      <w:r w:rsidRPr="000C03D2">
        <w:rPr>
          <w:color w:val="auto"/>
        </w:rPr>
        <w:t xml:space="preserve"> годов» внесен на заседание Правительства Кабардино-Балкарской Республики и одобрен распоряжением Правительства КБР </w:t>
      </w:r>
      <w:r w:rsidR="000C03D2" w:rsidRPr="000C03D2">
        <w:rPr>
          <w:color w:val="auto"/>
        </w:rPr>
        <w:t xml:space="preserve">от 28.10.2024 </w:t>
      </w:r>
      <w:r w:rsidR="00C314E4">
        <w:rPr>
          <w:color w:val="auto"/>
        </w:rPr>
        <w:t>года</w:t>
      </w:r>
      <w:r w:rsidR="000C03D2" w:rsidRPr="000C03D2">
        <w:rPr>
          <w:color w:val="auto"/>
        </w:rPr>
        <w:t xml:space="preserve"> № 661-рп</w:t>
      </w:r>
      <w:r w:rsidRPr="000C03D2">
        <w:rPr>
          <w:color w:val="auto"/>
        </w:rPr>
        <w:t>, рассмотрен на заседаниях</w:t>
      </w:r>
      <w:r w:rsidR="002649A8">
        <w:rPr>
          <w:color w:val="auto"/>
        </w:rPr>
        <w:t xml:space="preserve"> профильных</w:t>
      </w:r>
      <w:r w:rsidRPr="000C03D2">
        <w:rPr>
          <w:color w:val="auto"/>
        </w:rPr>
        <w:t xml:space="preserve"> комитетов Парламента республики с участием отраслевых министерств и ведомств Кабардино-Балкарской Республики, а также </w:t>
      </w:r>
      <w:r w:rsidR="002649A8">
        <w:rPr>
          <w:color w:val="auto"/>
        </w:rPr>
        <w:t xml:space="preserve">прошел процедуру </w:t>
      </w:r>
      <w:r w:rsidRPr="000C03D2">
        <w:rPr>
          <w:color w:val="auto"/>
        </w:rPr>
        <w:t>публичных слушани</w:t>
      </w:r>
      <w:r w:rsidR="002649A8">
        <w:rPr>
          <w:color w:val="auto"/>
        </w:rPr>
        <w:t>й</w:t>
      </w:r>
      <w:r w:rsidRPr="000C03D2">
        <w:rPr>
          <w:color w:val="auto"/>
        </w:rPr>
        <w:t>. Принятие законодательным органом проекта бюджета во втором чтении стало завершающей стадией сложной и объемной работы по формированию главного финансового документа республики, прошедшего все стадии бюджетного процесса.</w:t>
      </w:r>
    </w:p>
    <w:p w14:paraId="7A607E6A" w14:textId="2CC6A980" w:rsidR="006E042B" w:rsidRPr="002649A8" w:rsidRDefault="006E042B" w:rsidP="00AE43B3">
      <w:pPr>
        <w:widowControl/>
        <w:contextualSpacing/>
        <w:rPr>
          <w:rFonts w:eastAsia="Trebuchet MS"/>
          <w:color w:val="auto"/>
        </w:rPr>
      </w:pPr>
      <w:r w:rsidRPr="002649A8">
        <w:rPr>
          <w:color w:val="auto"/>
        </w:rPr>
        <w:t>Исполнение республиканского бюджета в 202</w:t>
      </w:r>
      <w:r w:rsidR="002649A8" w:rsidRPr="002649A8">
        <w:rPr>
          <w:color w:val="auto"/>
        </w:rPr>
        <w:t>4</w:t>
      </w:r>
      <w:r w:rsidRPr="002649A8">
        <w:rPr>
          <w:color w:val="auto"/>
        </w:rPr>
        <w:t xml:space="preserve"> году осуществлялось в соответствии с </w:t>
      </w:r>
      <w:r w:rsidRPr="002649A8">
        <w:rPr>
          <w:rFonts w:eastAsia="Trebuchet MS"/>
          <w:color w:val="auto"/>
        </w:rPr>
        <w:t>Законом Кабардино-Балкарской Республики от 29.12.202</w:t>
      </w:r>
      <w:r w:rsidR="002649A8" w:rsidRPr="002649A8">
        <w:rPr>
          <w:rFonts w:eastAsia="Trebuchet MS"/>
          <w:color w:val="auto"/>
        </w:rPr>
        <w:t>3</w:t>
      </w:r>
      <w:r w:rsidRPr="002649A8">
        <w:rPr>
          <w:rFonts w:eastAsia="Trebuchet MS"/>
          <w:color w:val="auto"/>
        </w:rPr>
        <w:t xml:space="preserve"> </w:t>
      </w:r>
      <w:r w:rsidR="00C314E4">
        <w:rPr>
          <w:rFonts w:eastAsia="Trebuchet MS"/>
          <w:color w:val="auto"/>
        </w:rPr>
        <w:t>года</w:t>
      </w:r>
      <w:r w:rsidRPr="002649A8">
        <w:rPr>
          <w:rFonts w:eastAsia="Trebuchet MS"/>
          <w:color w:val="auto"/>
        </w:rPr>
        <w:t xml:space="preserve"> </w:t>
      </w:r>
      <w:r w:rsidRPr="002649A8">
        <w:rPr>
          <w:rFonts w:eastAsia="Trebuchet MS"/>
          <w:color w:val="auto"/>
        </w:rPr>
        <w:br/>
        <w:t>№ 6</w:t>
      </w:r>
      <w:r w:rsidR="002649A8" w:rsidRPr="002649A8">
        <w:rPr>
          <w:rFonts w:eastAsia="Trebuchet MS"/>
          <w:color w:val="auto"/>
        </w:rPr>
        <w:t>2</w:t>
      </w:r>
      <w:r w:rsidRPr="002649A8">
        <w:rPr>
          <w:rFonts w:eastAsia="Trebuchet MS"/>
          <w:color w:val="auto"/>
        </w:rPr>
        <w:t xml:space="preserve">-РЗ «О республиканском бюджете Кабардино-Балкарской Республики на </w:t>
      </w:r>
      <w:r w:rsidRPr="002649A8">
        <w:rPr>
          <w:rFonts w:eastAsia="Trebuchet MS"/>
          <w:color w:val="auto"/>
        </w:rPr>
        <w:br/>
        <w:t>202</w:t>
      </w:r>
      <w:r w:rsidR="002649A8" w:rsidRPr="002649A8">
        <w:rPr>
          <w:rFonts w:eastAsia="Trebuchet MS"/>
          <w:color w:val="auto"/>
        </w:rPr>
        <w:t>4</w:t>
      </w:r>
      <w:r w:rsidRPr="002649A8">
        <w:rPr>
          <w:rFonts w:eastAsia="Trebuchet MS"/>
          <w:color w:val="auto"/>
        </w:rPr>
        <w:t xml:space="preserve"> год и на плановый период 202</w:t>
      </w:r>
      <w:r w:rsidR="002649A8" w:rsidRPr="002649A8">
        <w:rPr>
          <w:rFonts w:eastAsia="Trebuchet MS"/>
          <w:color w:val="auto"/>
        </w:rPr>
        <w:t>5</w:t>
      </w:r>
      <w:r w:rsidRPr="002649A8">
        <w:rPr>
          <w:rFonts w:eastAsia="Trebuchet MS"/>
          <w:color w:val="auto"/>
        </w:rPr>
        <w:t xml:space="preserve"> и 202</w:t>
      </w:r>
      <w:r w:rsidR="002649A8" w:rsidRPr="002649A8">
        <w:rPr>
          <w:rFonts w:eastAsia="Trebuchet MS"/>
          <w:color w:val="auto"/>
        </w:rPr>
        <w:t>6</w:t>
      </w:r>
      <w:r w:rsidRPr="002649A8">
        <w:rPr>
          <w:rFonts w:eastAsia="Trebuchet MS"/>
          <w:color w:val="auto"/>
        </w:rPr>
        <w:t xml:space="preserve"> годов».</w:t>
      </w:r>
    </w:p>
    <w:p w14:paraId="62DE923B" w14:textId="5F2B0544" w:rsidR="006E042B" w:rsidRPr="00D22E5A" w:rsidRDefault="006E042B" w:rsidP="00D22E5A">
      <w:pPr>
        <w:widowControl/>
        <w:contextualSpacing/>
        <w:rPr>
          <w:color w:val="auto"/>
        </w:rPr>
      </w:pPr>
      <w:r w:rsidRPr="00D22E5A">
        <w:rPr>
          <w:color w:val="auto"/>
        </w:rPr>
        <w:t>В целях организации исп</w:t>
      </w:r>
      <w:r w:rsidR="00D22E5A" w:rsidRPr="00D22E5A">
        <w:rPr>
          <w:color w:val="auto"/>
        </w:rPr>
        <w:t>олнения закона о бюджете на 2024</w:t>
      </w:r>
      <w:r w:rsidRPr="00D22E5A">
        <w:rPr>
          <w:color w:val="auto"/>
        </w:rPr>
        <w:t>-202</w:t>
      </w:r>
      <w:r w:rsidR="00D22E5A" w:rsidRPr="00D22E5A">
        <w:rPr>
          <w:color w:val="auto"/>
        </w:rPr>
        <w:t>6</w:t>
      </w:r>
      <w:r w:rsidRPr="00D22E5A">
        <w:rPr>
          <w:color w:val="auto"/>
        </w:rPr>
        <w:t xml:space="preserve"> годы </w:t>
      </w:r>
      <w:r w:rsidR="00D22E5A" w:rsidRPr="00D22E5A">
        <w:rPr>
          <w:color w:val="auto"/>
        </w:rPr>
        <w:t xml:space="preserve">утверждено </w:t>
      </w:r>
      <w:r w:rsidRPr="00D22E5A">
        <w:rPr>
          <w:color w:val="auto"/>
        </w:rPr>
        <w:t>постановление Правительства КБР от 2</w:t>
      </w:r>
      <w:r w:rsidR="00D22E5A" w:rsidRPr="00D22E5A">
        <w:rPr>
          <w:color w:val="auto"/>
        </w:rPr>
        <w:t>6.02</w:t>
      </w:r>
      <w:r w:rsidRPr="00D22E5A">
        <w:rPr>
          <w:color w:val="auto"/>
        </w:rPr>
        <w:t>.202</w:t>
      </w:r>
      <w:r w:rsidR="00D22E5A" w:rsidRPr="00D22E5A">
        <w:rPr>
          <w:color w:val="auto"/>
        </w:rPr>
        <w:t xml:space="preserve">4 </w:t>
      </w:r>
      <w:r w:rsidR="00C314E4">
        <w:rPr>
          <w:color w:val="auto"/>
        </w:rPr>
        <w:t>года</w:t>
      </w:r>
      <w:r w:rsidR="00D22E5A" w:rsidRPr="00D22E5A">
        <w:rPr>
          <w:color w:val="auto"/>
        </w:rPr>
        <w:t xml:space="preserve"> № 30</w:t>
      </w:r>
      <w:r w:rsidRPr="00D22E5A">
        <w:rPr>
          <w:color w:val="auto"/>
        </w:rPr>
        <w:t>-ПП «</w:t>
      </w:r>
      <w:r w:rsidR="00D22E5A" w:rsidRPr="00D22E5A">
        <w:rPr>
          <w:color w:val="auto"/>
        </w:rPr>
        <w:t xml:space="preserve">Об особенностях реализации Закона Кабардино-Балкарской Республики «О республиканском бюджете Кабардино-Балкарской Республики на 2024 год и на плановый период 2025 и 2026 годов» и о внесении изменений в постановление Правительства Кабардино-Балкарской Республики от </w:t>
      </w:r>
      <w:r w:rsidR="00793168">
        <w:rPr>
          <w:color w:val="auto"/>
        </w:rPr>
        <w:t>0</w:t>
      </w:r>
      <w:r w:rsidR="00D22E5A" w:rsidRPr="00D22E5A">
        <w:rPr>
          <w:color w:val="auto"/>
        </w:rPr>
        <w:t>3</w:t>
      </w:r>
      <w:r w:rsidR="00793168">
        <w:rPr>
          <w:color w:val="auto"/>
        </w:rPr>
        <w:t>.07.2</w:t>
      </w:r>
      <w:r w:rsidR="00D22E5A" w:rsidRPr="00D22E5A">
        <w:rPr>
          <w:color w:val="auto"/>
        </w:rPr>
        <w:t xml:space="preserve">018 </w:t>
      </w:r>
      <w:r w:rsidR="00C314E4">
        <w:rPr>
          <w:color w:val="auto"/>
        </w:rPr>
        <w:t>года</w:t>
      </w:r>
      <w:r w:rsidR="00D22E5A" w:rsidRPr="00D22E5A">
        <w:rPr>
          <w:color w:val="auto"/>
        </w:rPr>
        <w:t xml:space="preserve"> № 126-ПП</w:t>
      </w:r>
      <w:r w:rsidRPr="00D22E5A">
        <w:rPr>
          <w:color w:val="auto"/>
        </w:rPr>
        <w:t>».</w:t>
      </w:r>
    </w:p>
    <w:p w14:paraId="0F9CC6AA" w14:textId="166E1E69" w:rsidR="00084D6E" w:rsidRPr="00D22E5A" w:rsidRDefault="006E042B" w:rsidP="00AE43B3">
      <w:pPr>
        <w:widowControl/>
        <w:contextualSpacing/>
        <w:rPr>
          <w:color w:val="auto"/>
        </w:rPr>
      </w:pPr>
      <w:r w:rsidRPr="00D22E5A">
        <w:rPr>
          <w:color w:val="auto"/>
        </w:rPr>
        <w:t xml:space="preserve">Для </w:t>
      </w:r>
      <w:r w:rsidR="00084D6E" w:rsidRPr="00D22E5A">
        <w:rPr>
          <w:color w:val="auto"/>
        </w:rPr>
        <w:t>обеспечения финансирования расходов республиканского бюджета бюджетные ассигнования и лимиты бюджетных обязательств на 202</w:t>
      </w:r>
      <w:r w:rsidR="00D22E5A" w:rsidRPr="00D22E5A">
        <w:rPr>
          <w:color w:val="auto"/>
        </w:rPr>
        <w:t>4</w:t>
      </w:r>
      <w:r w:rsidR="00084D6E" w:rsidRPr="00D22E5A">
        <w:rPr>
          <w:color w:val="auto"/>
        </w:rPr>
        <w:t xml:space="preserve"> год были своевременно доведены до 29 главных распорядителей средств республиканского бюджета Кабардино-Балкарской Республики, сводная бюджетная роспись респу</w:t>
      </w:r>
      <w:r w:rsidR="00B64217" w:rsidRPr="00D22E5A">
        <w:rPr>
          <w:color w:val="auto"/>
        </w:rPr>
        <w:t>бликанского бюджета утверждена 01</w:t>
      </w:r>
      <w:r w:rsidR="00084D6E" w:rsidRPr="00D22E5A">
        <w:rPr>
          <w:color w:val="auto"/>
        </w:rPr>
        <w:t>.</w:t>
      </w:r>
      <w:r w:rsidR="00B64217" w:rsidRPr="00D22E5A">
        <w:rPr>
          <w:color w:val="auto"/>
        </w:rPr>
        <w:t>01</w:t>
      </w:r>
      <w:r w:rsidR="00084D6E" w:rsidRPr="00D22E5A">
        <w:rPr>
          <w:color w:val="auto"/>
          <w:shd w:val="clear" w:color="auto" w:fill="FFFFFF"/>
        </w:rPr>
        <w:t>.202</w:t>
      </w:r>
      <w:r w:rsidR="00D22E5A" w:rsidRPr="00D22E5A">
        <w:rPr>
          <w:color w:val="auto"/>
          <w:shd w:val="clear" w:color="auto" w:fill="FFFFFF"/>
        </w:rPr>
        <w:t>4</w:t>
      </w:r>
      <w:r w:rsidR="00084D6E" w:rsidRPr="00D22E5A">
        <w:rPr>
          <w:color w:val="auto"/>
          <w:shd w:val="clear" w:color="auto" w:fill="FFFFFF"/>
        </w:rPr>
        <w:t xml:space="preserve"> </w:t>
      </w:r>
      <w:r w:rsidR="00C314E4">
        <w:rPr>
          <w:color w:val="auto"/>
          <w:shd w:val="clear" w:color="auto" w:fill="FFFFFF"/>
        </w:rPr>
        <w:t>года</w:t>
      </w:r>
      <w:r w:rsidR="00084D6E" w:rsidRPr="00D22E5A">
        <w:rPr>
          <w:color w:val="auto"/>
        </w:rPr>
        <w:t>, финансирование открыто в первый рабочий день года.</w:t>
      </w:r>
    </w:p>
    <w:p w14:paraId="0C7E2A73" w14:textId="70FD8C19" w:rsidR="002E0D37" w:rsidRPr="00D22E5A" w:rsidRDefault="00F2054D" w:rsidP="00AE43B3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rFonts w:eastAsiaTheme="minorHAnsi"/>
          <w:color w:val="auto"/>
        </w:rPr>
      </w:pPr>
      <w:r w:rsidRPr="00D22E5A">
        <w:rPr>
          <w:rFonts w:eastAsiaTheme="minorHAnsi"/>
          <w:color w:val="auto"/>
        </w:rPr>
        <w:t>В 202</w:t>
      </w:r>
      <w:r w:rsidR="00D22E5A" w:rsidRPr="00D22E5A">
        <w:rPr>
          <w:rFonts w:eastAsiaTheme="minorHAnsi"/>
          <w:color w:val="auto"/>
        </w:rPr>
        <w:t>4</w:t>
      </w:r>
      <w:r w:rsidRPr="00D22E5A">
        <w:rPr>
          <w:rFonts w:eastAsiaTheme="minorHAnsi"/>
          <w:color w:val="auto"/>
        </w:rPr>
        <w:t xml:space="preserve"> году было </w:t>
      </w:r>
      <w:r w:rsidR="00FD2436" w:rsidRPr="00D22E5A">
        <w:rPr>
          <w:rFonts w:eastAsiaTheme="minorHAnsi"/>
          <w:color w:val="auto"/>
        </w:rPr>
        <w:t xml:space="preserve">проверено и обработано </w:t>
      </w:r>
      <w:r w:rsidR="00D22E5A" w:rsidRPr="00D22E5A">
        <w:rPr>
          <w:rFonts w:eastAsiaTheme="minorHAnsi"/>
          <w:color w:val="auto"/>
        </w:rPr>
        <w:t>3099</w:t>
      </w:r>
      <w:r w:rsidR="00FD2436" w:rsidRPr="00D22E5A">
        <w:rPr>
          <w:rFonts w:eastAsiaTheme="minorHAnsi"/>
          <w:color w:val="auto"/>
        </w:rPr>
        <w:t xml:space="preserve"> уведомлени</w:t>
      </w:r>
      <w:r w:rsidR="00793168">
        <w:rPr>
          <w:rFonts w:eastAsiaTheme="minorHAnsi"/>
          <w:color w:val="auto"/>
        </w:rPr>
        <w:t>й</w:t>
      </w:r>
      <w:r w:rsidR="00FD2436" w:rsidRPr="00D22E5A">
        <w:rPr>
          <w:rFonts w:eastAsiaTheme="minorHAnsi"/>
          <w:color w:val="auto"/>
        </w:rPr>
        <w:t xml:space="preserve"> об изменении бюджетных назначений.</w:t>
      </w:r>
    </w:p>
    <w:p w14:paraId="5F2F2437" w14:textId="77777777" w:rsidR="0027553F" w:rsidRPr="00B31643" w:rsidRDefault="0027553F" w:rsidP="0027553F">
      <w:pPr>
        <w:contextualSpacing/>
        <w:rPr>
          <w:color w:val="auto"/>
        </w:rPr>
      </w:pPr>
      <w:r w:rsidRPr="00B31643">
        <w:rPr>
          <w:b/>
          <w:color w:val="auto"/>
        </w:rPr>
        <w:t xml:space="preserve">Исполнение основных параметров </w:t>
      </w:r>
      <w:r w:rsidRPr="00B31643">
        <w:rPr>
          <w:color w:val="auto"/>
        </w:rPr>
        <w:t xml:space="preserve">республиканского бюджета </w:t>
      </w:r>
      <w:r w:rsidRPr="00B31643">
        <w:rPr>
          <w:color w:val="auto"/>
        </w:rPr>
        <w:br/>
      </w:r>
      <w:r w:rsidRPr="00B31643">
        <w:rPr>
          <w:rFonts w:eastAsia="Trebuchet MS"/>
          <w:color w:val="auto"/>
        </w:rPr>
        <w:t xml:space="preserve">Кабардино-Балкарской Республики </w:t>
      </w:r>
      <w:r w:rsidRPr="00B31643">
        <w:rPr>
          <w:color w:val="auto"/>
        </w:rPr>
        <w:t>за 2024 год характеризуется следующим образом:</w:t>
      </w:r>
    </w:p>
    <w:p w14:paraId="2E8D32CA" w14:textId="0B6C64C7" w:rsidR="0027553F" w:rsidRPr="00B31643" w:rsidRDefault="0027553F" w:rsidP="0027553F">
      <w:pPr>
        <w:spacing w:before="120" w:after="120"/>
        <w:contextualSpacing/>
        <w:rPr>
          <w:color w:val="auto"/>
        </w:rPr>
      </w:pPr>
      <w:r w:rsidRPr="00B31643">
        <w:rPr>
          <w:b/>
          <w:color w:val="auto"/>
        </w:rPr>
        <w:t>Доходы</w:t>
      </w:r>
      <w:r w:rsidRPr="00B31643">
        <w:rPr>
          <w:color w:val="auto"/>
        </w:rPr>
        <w:t xml:space="preserve"> республиканского бюджета исполнены в объеме 62 405,5 млн рублей или 103,1 % от годовых плановых назначений, с темпом к аналогичному периоду прошлого года 98,9 %. Налоговые и неналоговые доходы исполнены на 108,2 % от плановых назначений и составили 21 117,0 млн рублей</w:t>
      </w:r>
      <w:r w:rsidR="009377CF">
        <w:rPr>
          <w:color w:val="auto"/>
        </w:rPr>
        <w:t>, с темпом к 2023 году 118%.</w:t>
      </w:r>
    </w:p>
    <w:p w14:paraId="79E23CEE" w14:textId="77777777" w:rsidR="0027553F" w:rsidRPr="00DF4B5D" w:rsidRDefault="0027553F" w:rsidP="0027553F">
      <w:pPr>
        <w:spacing w:before="120" w:after="120"/>
        <w:contextualSpacing/>
        <w:rPr>
          <w:color w:val="auto"/>
        </w:rPr>
      </w:pPr>
      <w:r w:rsidRPr="00DF4B5D">
        <w:rPr>
          <w:bCs/>
          <w:color w:val="auto"/>
        </w:rPr>
        <w:t xml:space="preserve">Безвозмездные поступления исполнены в объеме 41 288,5 млн рублей или </w:t>
      </w:r>
      <w:r w:rsidRPr="00DF4B5D">
        <w:rPr>
          <w:bCs/>
          <w:color w:val="auto"/>
        </w:rPr>
        <w:br/>
        <w:t>100,7 % от плановых назначений, с темпом к аналогичному периоду 91,4 %.</w:t>
      </w:r>
    </w:p>
    <w:p w14:paraId="77487696" w14:textId="75D382F3" w:rsidR="00F26502" w:rsidRPr="00FE3197" w:rsidRDefault="00F26502" w:rsidP="00AE43B3">
      <w:pPr>
        <w:spacing w:before="120" w:after="120"/>
        <w:contextualSpacing/>
      </w:pPr>
      <w:r w:rsidRPr="00FE3197">
        <w:rPr>
          <w:b/>
        </w:rPr>
        <w:t>Расходы</w:t>
      </w:r>
      <w:r w:rsidRPr="00FE3197">
        <w:t xml:space="preserve"> республиканского бюджета исполнены в объеме 63</w:t>
      </w:r>
      <w:r w:rsidR="00BC75DB" w:rsidRPr="00FE3197">
        <w:t> 162,8</w:t>
      </w:r>
      <w:r w:rsidR="00B31270" w:rsidRPr="00FE3197">
        <w:t xml:space="preserve"> млн рублей (на уровне исполнения прошлого года) или 9</w:t>
      </w:r>
      <w:r w:rsidR="00BC75DB" w:rsidRPr="00FE3197">
        <w:t>8,9</w:t>
      </w:r>
      <w:r w:rsidRPr="00FE3197">
        <w:t xml:space="preserve"> % от запланированных годовых назначений. </w:t>
      </w:r>
    </w:p>
    <w:p w14:paraId="31FA49B6" w14:textId="77777777" w:rsidR="0027553F" w:rsidRPr="00DF4B5D" w:rsidRDefault="0027553F" w:rsidP="0027553F">
      <w:pPr>
        <w:spacing w:before="120" w:after="120"/>
        <w:contextualSpacing/>
        <w:rPr>
          <w:color w:val="auto"/>
        </w:rPr>
      </w:pPr>
      <w:r w:rsidRPr="00DF4B5D">
        <w:rPr>
          <w:b/>
          <w:color w:val="auto"/>
        </w:rPr>
        <w:t>Дефицит</w:t>
      </w:r>
      <w:r w:rsidRPr="00DF4B5D">
        <w:rPr>
          <w:color w:val="auto"/>
        </w:rPr>
        <w:t xml:space="preserve"> – 757,3 млн рублей.</w:t>
      </w:r>
    </w:p>
    <w:p w14:paraId="69EA9046" w14:textId="77777777" w:rsidR="00725A75" w:rsidRPr="00034CD9" w:rsidRDefault="00725A75" w:rsidP="00AE43B3">
      <w:pPr>
        <w:jc w:val="center"/>
        <w:rPr>
          <w:b/>
          <w:bCs/>
          <w:color w:val="FF0000"/>
        </w:rPr>
      </w:pPr>
    </w:p>
    <w:p w14:paraId="66ADC05E" w14:textId="77777777" w:rsidR="0027553F" w:rsidRPr="003B3D9A" w:rsidRDefault="0027553F" w:rsidP="0027553F">
      <w:pPr>
        <w:jc w:val="center"/>
        <w:rPr>
          <w:b/>
          <w:bCs/>
          <w:i/>
          <w:color w:val="auto"/>
        </w:rPr>
      </w:pPr>
      <w:r w:rsidRPr="003B3D9A">
        <w:rPr>
          <w:b/>
          <w:bCs/>
          <w:color w:val="auto"/>
        </w:rPr>
        <w:t>ИСПОЛНЕНИЕ ОСНОВНЫХ ПАРАМЕТРОВ РЕСПУБЛИКАНСКОГО БЮДЖЕТА КБР ЗА 2024 год</w:t>
      </w:r>
    </w:p>
    <w:p w14:paraId="32B9C86A" w14:textId="77777777" w:rsidR="0027553F" w:rsidRPr="003B3D9A" w:rsidRDefault="0027553F" w:rsidP="0027553F">
      <w:pPr>
        <w:rPr>
          <w:color w:val="auto"/>
          <w:sz w:val="10"/>
          <w:szCs w:val="10"/>
        </w:rPr>
      </w:pPr>
    </w:p>
    <w:p w14:paraId="1C4A646D" w14:textId="77777777" w:rsidR="0027553F" w:rsidRPr="003B3D9A" w:rsidRDefault="0027553F" w:rsidP="0027553F">
      <w:pPr>
        <w:jc w:val="right"/>
        <w:rPr>
          <w:i/>
          <w:iCs/>
          <w:color w:val="auto"/>
          <w:sz w:val="24"/>
          <w:szCs w:val="24"/>
        </w:rPr>
      </w:pPr>
      <w:r w:rsidRPr="003B3D9A">
        <w:rPr>
          <w:i/>
          <w:iCs/>
          <w:color w:val="auto"/>
          <w:sz w:val="24"/>
          <w:szCs w:val="24"/>
        </w:rPr>
        <w:t>(млн рублей)</w:t>
      </w:r>
    </w:p>
    <w:p w14:paraId="6CFB5BDF" w14:textId="77777777" w:rsidR="00FB79EA" w:rsidRPr="00034CD9" w:rsidRDefault="00FB79EA" w:rsidP="0082617E">
      <w:pPr>
        <w:jc w:val="right"/>
        <w:rPr>
          <w:i/>
          <w:iCs/>
          <w:color w:val="FF0000"/>
          <w:sz w:val="24"/>
          <w:szCs w:val="24"/>
        </w:rPr>
      </w:pPr>
    </w:p>
    <w:tbl>
      <w:tblPr>
        <w:tblW w:w="10377" w:type="dxa"/>
        <w:tblInd w:w="108" w:type="dxa"/>
        <w:tblLook w:val="04A0" w:firstRow="1" w:lastRow="0" w:firstColumn="1" w:lastColumn="0" w:noHBand="0" w:noVBand="1"/>
      </w:tblPr>
      <w:tblGrid>
        <w:gridCol w:w="3291"/>
        <w:gridCol w:w="1417"/>
        <w:gridCol w:w="1276"/>
        <w:gridCol w:w="1387"/>
        <w:gridCol w:w="1856"/>
        <w:gridCol w:w="1150"/>
      </w:tblGrid>
      <w:tr w:rsidR="00E1243C" w:rsidRPr="005043B2" w14:paraId="225D6518" w14:textId="77777777" w:rsidTr="00CB25D6">
        <w:trPr>
          <w:trHeight w:val="698"/>
        </w:trPr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ADC" w:themeFill="accent3" w:themeFillTint="33"/>
            <w:vAlign w:val="center"/>
            <w:hideMark/>
          </w:tcPr>
          <w:p w14:paraId="020075A6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3B2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FADC" w:themeFill="accent3" w:themeFillTint="33"/>
            <w:vAlign w:val="center"/>
            <w:hideMark/>
          </w:tcPr>
          <w:p w14:paraId="66AE09B0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043B2">
              <w:rPr>
                <w:b/>
                <w:bCs/>
                <w:color w:val="000000"/>
                <w:lang w:eastAsia="ru-RU"/>
              </w:rPr>
              <w:t>Годовой план 202</w:t>
            </w:r>
            <w:r>
              <w:rPr>
                <w:b/>
                <w:bCs/>
                <w:color w:val="000000"/>
                <w:lang w:eastAsia="ru-RU"/>
              </w:rPr>
              <w:t>4</w:t>
            </w:r>
            <w:r w:rsidRPr="005043B2">
              <w:rPr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ADC" w:themeFill="accent3" w:themeFillTint="33"/>
            <w:vAlign w:val="center"/>
            <w:hideMark/>
          </w:tcPr>
          <w:p w14:paraId="3DB6A179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 w:rsidRPr="005043B2">
              <w:rPr>
                <w:b/>
                <w:bCs/>
                <w:color w:val="auto"/>
                <w:lang w:eastAsia="ru-RU"/>
              </w:rPr>
              <w:t>Исполнено за 202</w:t>
            </w:r>
            <w:r>
              <w:rPr>
                <w:b/>
                <w:bCs/>
                <w:color w:val="auto"/>
                <w:lang w:eastAsia="ru-RU"/>
              </w:rPr>
              <w:t>4</w:t>
            </w:r>
            <w:r w:rsidRPr="005043B2">
              <w:rPr>
                <w:b/>
                <w:bCs/>
                <w:color w:val="auto"/>
                <w:lang w:eastAsia="ru-RU"/>
              </w:rPr>
              <w:t xml:space="preserve"> год</w:t>
            </w:r>
          </w:p>
        </w:tc>
      </w:tr>
      <w:tr w:rsidR="00E1243C" w:rsidRPr="005043B2" w14:paraId="0609121B" w14:textId="77777777" w:rsidTr="00CB25D6">
        <w:trPr>
          <w:trHeight w:val="1409"/>
        </w:trPr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ADC" w:themeFill="accent3" w:themeFillTint="33"/>
            <w:vAlign w:val="center"/>
            <w:hideMark/>
          </w:tcPr>
          <w:p w14:paraId="73FBFDCB" w14:textId="77777777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FADC" w:themeFill="accent3" w:themeFillTint="33"/>
            <w:vAlign w:val="center"/>
            <w:hideMark/>
          </w:tcPr>
          <w:p w14:paraId="254437C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043B2">
              <w:rPr>
                <w:b/>
                <w:bCs/>
                <w:color w:val="000000"/>
                <w:lang w:eastAsia="ru-RU"/>
              </w:rPr>
              <w:t>млн 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ADC" w:themeFill="accent3" w:themeFillTint="33"/>
            <w:vAlign w:val="center"/>
            <w:hideMark/>
          </w:tcPr>
          <w:p w14:paraId="451D9268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043B2">
              <w:rPr>
                <w:b/>
                <w:bCs/>
                <w:color w:val="000000"/>
                <w:lang w:eastAsia="ru-RU"/>
              </w:rPr>
              <w:t>млн рублей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FADC" w:themeFill="accent3" w:themeFillTint="33"/>
            <w:vAlign w:val="center"/>
            <w:hideMark/>
          </w:tcPr>
          <w:p w14:paraId="1A867EF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 w:rsidRPr="005043B2">
              <w:rPr>
                <w:b/>
                <w:bCs/>
                <w:color w:val="auto"/>
                <w:lang w:eastAsia="ru-RU"/>
              </w:rPr>
              <w:t>в % к годовому плану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FADC" w:themeFill="accent3" w:themeFillTint="33"/>
            <w:vAlign w:val="center"/>
            <w:hideMark/>
          </w:tcPr>
          <w:p w14:paraId="34C0B14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>изменение</w:t>
            </w:r>
            <w:r w:rsidRPr="005043B2">
              <w:rPr>
                <w:b/>
                <w:bCs/>
                <w:color w:val="auto"/>
                <w:lang w:eastAsia="ru-RU"/>
              </w:rPr>
              <w:t xml:space="preserve"> к прошлому году, млн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FADC" w:themeFill="accent3" w:themeFillTint="33"/>
            <w:vAlign w:val="center"/>
            <w:hideMark/>
          </w:tcPr>
          <w:p w14:paraId="5F5CCBF3" w14:textId="3D9A4A1B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 w:rsidRPr="005043B2">
              <w:rPr>
                <w:b/>
                <w:bCs/>
                <w:color w:val="auto"/>
                <w:lang w:eastAsia="ru-RU"/>
              </w:rPr>
              <w:t>темп роста к 202</w:t>
            </w:r>
            <w:r>
              <w:rPr>
                <w:b/>
                <w:bCs/>
                <w:color w:val="auto"/>
                <w:lang w:eastAsia="ru-RU"/>
              </w:rPr>
              <w:t>3</w:t>
            </w:r>
            <w:r w:rsidRPr="005043B2">
              <w:rPr>
                <w:b/>
                <w:bCs/>
                <w:color w:val="auto"/>
                <w:lang w:eastAsia="ru-RU"/>
              </w:rPr>
              <w:t xml:space="preserve"> </w:t>
            </w:r>
            <w:r w:rsidR="0051479F">
              <w:rPr>
                <w:b/>
                <w:bCs/>
                <w:color w:val="auto"/>
                <w:lang w:eastAsia="ru-RU"/>
              </w:rPr>
              <w:t>года</w:t>
            </w:r>
          </w:p>
        </w:tc>
      </w:tr>
      <w:tr w:rsidR="00E1243C" w:rsidRPr="005043B2" w14:paraId="21E2C97D" w14:textId="77777777" w:rsidTr="00CB25D6">
        <w:trPr>
          <w:trHeight w:val="73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6B9" w:themeFill="accent3" w:themeFillTint="66"/>
            <w:vAlign w:val="center"/>
            <w:hideMark/>
          </w:tcPr>
          <w:p w14:paraId="25084DB5" w14:textId="77777777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3B2">
              <w:rPr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F6B9" w:themeFill="accent3" w:themeFillTint="66"/>
            <w:noWrap/>
            <w:vAlign w:val="center"/>
            <w:hideMark/>
          </w:tcPr>
          <w:p w14:paraId="4A99DF90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</w:rPr>
              <w:t>19 523,5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C2263B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</w:rPr>
              <w:t>21 117,0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vAlign w:val="center"/>
          </w:tcPr>
          <w:p w14:paraId="1E592DF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>108,2%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vAlign w:val="center"/>
          </w:tcPr>
          <w:p w14:paraId="5E46251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 xml:space="preserve">3 215,1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vAlign w:val="center"/>
          </w:tcPr>
          <w:p w14:paraId="4408D51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>118,0%</w:t>
            </w:r>
          </w:p>
        </w:tc>
      </w:tr>
      <w:tr w:rsidR="00E1243C" w:rsidRPr="005043B2" w14:paraId="6FFA0732" w14:textId="77777777" w:rsidTr="00CB25D6">
        <w:trPr>
          <w:trHeight w:val="46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F6B9" w:themeFill="accent3" w:themeFillTint="66"/>
            <w:vAlign w:val="center"/>
            <w:hideMark/>
          </w:tcPr>
          <w:p w14:paraId="145891DC" w14:textId="77777777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3B2">
              <w:rPr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F6B9" w:themeFill="accent3" w:themeFillTint="66"/>
            <w:noWrap/>
            <w:vAlign w:val="center"/>
            <w:hideMark/>
          </w:tcPr>
          <w:p w14:paraId="24E06969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000000"/>
              </w:rPr>
              <w:t>16 335,6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038955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000000"/>
              </w:rPr>
              <w:t>17 470,0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vAlign w:val="center"/>
          </w:tcPr>
          <w:p w14:paraId="25C72824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>106,9%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vAlign w:val="center"/>
          </w:tcPr>
          <w:p w14:paraId="645BC39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 xml:space="preserve">2 116,3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vAlign w:val="center"/>
          </w:tcPr>
          <w:p w14:paraId="2F6C7CB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>113,8%</w:t>
            </w:r>
          </w:p>
        </w:tc>
      </w:tr>
      <w:tr w:rsidR="00E1243C" w:rsidRPr="005043B2" w14:paraId="129BD882" w14:textId="77777777" w:rsidTr="00CB25D6">
        <w:trPr>
          <w:trHeight w:val="37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2ED44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000000"/>
                <w:lang w:eastAsia="ru-RU"/>
              </w:rPr>
            </w:pPr>
            <w:r w:rsidRPr="005043B2">
              <w:rPr>
                <w:color w:val="000000"/>
                <w:lang w:eastAsia="ru-RU"/>
              </w:rPr>
              <w:t>Налог на прибыль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853D5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2 491,7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E30AF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2 713,9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EE5E65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108,9%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A84B1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-77,0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54A71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97,2%</w:t>
            </w:r>
          </w:p>
        </w:tc>
      </w:tr>
      <w:tr w:rsidR="00E1243C" w:rsidRPr="005043B2" w14:paraId="7B0F0E47" w14:textId="77777777" w:rsidTr="00CB25D6">
        <w:trPr>
          <w:trHeight w:val="37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A5F3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000000"/>
                <w:lang w:eastAsia="ru-RU"/>
              </w:rPr>
            </w:pPr>
            <w:r w:rsidRPr="005043B2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45A5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5 551,0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B314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5 754,3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CEFB17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103,7%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8369F7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781,0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84DC94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115,7%</w:t>
            </w:r>
          </w:p>
        </w:tc>
      </w:tr>
      <w:tr w:rsidR="00E1243C" w:rsidRPr="005043B2" w14:paraId="226FFC8F" w14:textId="77777777" w:rsidTr="00CB25D6">
        <w:trPr>
          <w:trHeight w:val="112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A4F2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B81CD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4 207,3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F5D8F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4 693,3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A4E06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111,6%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40FA99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717,9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DAA81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118,1%</w:t>
            </w:r>
          </w:p>
        </w:tc>
      </w:tr>
      <w:tr w:rsidR="00E1243C" w:rsidRPr="005043B2" w14:paraId="79A451B8" w14:textId="77777777" w:rsidTr="00CB25D6">
        <w:trPr>
          <w:trHeight w:val="778"/>
        </w:trPr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3D38D13E" w14:textId="0FEB0860" w:rsidR="00E1243C" w:rsidRPr="002C664E" w:rsidRDefault="00E1243C" w:rsidP="00997CA7">
            <w:pPr>
              <w:widowControl/>
              <w:ind w:firstLine="0"/>
              <w:jc w:val="left"/>
              <w:outlineLvl w:val="0"/>
              <w:rPr>
                <w:i/>
                <w:iCs/>
                <w:color w:val="FF0000"/>
                <w:lang w:eastAsia="ru-RU"/>
              </w:rPr>
            </w:pPr>
            <w:bookmarkStart w:id="16" w:name="_Toc161837295"/>
            <w:bookmarkStart w:id="17" w:name="_Toc162008703"/>
            <w:r w:rsidRPr="005043B2">
              <w:rPr>
                <w:i/>
                <w:iCs/>
                <w:color w:val="000000"/>
                <w:lang w:eastAsia="ru-RU"/>
              </w:rPr>
              <w:t>Акцизы на алкогольную продукцию</w:t>
            </w:r>
            <w:bookmarkEnd w:id="16"/>
            <w:bookmarkEnd w:id="17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7C00274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i/>
                <w:iCs/>
                <w:color w:val="000000"/>
                <w:lang w:eastAsia="ru-RU"/>
              </w:rPr>
            </w:pPr>
            <w:bookmarkStart w:id="18" w:name="RANGE!B8"/>
            <w:r>
              <w:rPr>
                <w:i/>
                <w:iCs/>
                <w:color w:val="000000"/>
              </w:rPr>
              <w:t>1 021,4</w:t>
            </w:r>
            <w:bookmarkEnd w:id="18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C2AE832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i/>
                <w:iCs/>
                <w:color w:val="000000"/>
                <w:lang w:eastAsia="ru-RU"/>
              </w:rPr>
            </w:pPr>
            <w:bookmarkStart w:id="19" w:name="RANGE!C8"/>
            <w:r>
              <w:rPr>
                <w:i/>
                <w:iCs/>
                <w:color w:val="000000"/>
              </w:rPr>
              <w:t>1 444,2</w:t>
            </w:r>
            <w:bookmarkEnd w:id="19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051A87A8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141,4%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65D2E210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 xml:space="preserve">450,1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66377C31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145,3%</w:t>
            </w:r>
          </w:p>
        </w:tc>
      </w:tr>
      <w:tr w:rsidR="00E1243C" w:rsidRPr="005043B2" w14:paraId="2CEACEF5" w14:textId="77777777" w:rsidTr="00CB25D6">
        <w:trPr>
          <w:trHeight w:val="704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DFEB98" w14:textId="6BBFFDE2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i/>
                <w:iCs/>
                <w:color w:val="000000"/>
                <w:lang w:eastAsia="ru-RU"/>
              </w:rPr>
            </w:pPr>
            <w:bookmarkStart w:id="20" w:name="_Toc161837301"/>
            <w:bookmarkStart w:id="21" w:name="_Toc162008709"/>
            <w:r w:rsidRPr="005043B2">
              <w:rPr>
                <w:i/>
                <w:iCs/>
                <w:color w:val="000000"/>
                <w:lang w:eastAsia="ru-RU"/>
              </w:rPr>
              <w:t>Доходы от уплаты акцизов на ГСМ</w:t>
            </w:r>
            <w:bookmarkEnd w:id="20"/>
            <w:bookmarkEnd w:id="2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5DE17D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i/>
                <w:iCs/>
                <w:color w:val="000000"/>
                <w:lang w:eastAsia="ru-RU"/>
              </w:rPr>
            </w:pPr>
            <w:bookmarkStart w:id="22" w:name="RANGE!B9"/>
            <w:r>
              <w:rPr>
                <w:i/>
                <w:iCs/>
                <w:color w:val="000000"/>
              </w:rPr>
              <w:t>3 185,9</w:t>
            </w:r>
            <w:bookmarkEnd w:id="2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A045E2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i/>
                <w:iCs/>
                <w:color w:val="000000"/>
                <w:lang w:eastAsia="ru-RU"/>
              </w:rPr>
            </w:pPr>
            <w:bookmarkStart w:id="23" w:name="RANGE!C9"/>
            <w:r>
              <w:rPr>
                <w:i/>
                <w:iCs/>
                <w:color w:val="000000"/>
              </w:rPr>
              <w:t>3 249,1</w:t>
            </w:r>
            <w:bookmarkEnd w:id="23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A5E843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102,0%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CC213D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 xml:space="preserve">267,8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240544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</w:rPr>
              <w:t>109,0%</w:t>
            </w:r>
          </w:p>
        </w:tc>
      </w:tr>
      <w:tr w:rsidR="00E1243C" w:rsidRPr="005043B2" w14:paraId="377103C5" w14:textId="77777777" w:rsidTr="00CB25D6">
        <w:trPr>
          <w:trHeight w:val="375"/>
        </w:trPr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24AE5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D00E6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1 731,6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47B3F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1 972,3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B92230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113,9%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61607B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526,8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BF2EBD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136,4%</w:t>
            </w:r>
          </w:p>
        </w:tc>
      </w:tr>
      <w:tr w:rsidR="00E1243C" w:rsidRPr="005043B2" w14:paraId="17EFA604" w14:textId="77777777" w:rsidTr="00CB25D6">
        <w:trPr>
          <w:trHeight w:val="37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A60D4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516AB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2 265,7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72C04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2 224,0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E0914F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98,2%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336748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156,1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0DF7F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107,5%</w:t>
            </w:r>
          </w:p>
        </w:tc>
      </w:tr>
      <w:tr w:rsidR="00E1243C" w:rsidRPr="005043B2" w14:paraId="7CC8C6EF" w14:textId="77777777" w:rsidTr="00CB25D6">
        <w:trPr>
          <w:trHeight w:val="750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099A7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D39054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4DF9A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12DECD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148,2%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FA3FBA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7,9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6BB9E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150,8%</w:t>
            </w:r>
          </w:p>
        </w:tc>
      </w:tr>
      <w:tr w:rsidR="00E1243C" w:rsidRPr="005043B2" w14:paraId="603B1F30" w14:textId="77777777" w:rsidTr="00CB25D6">
        <w:trPr>
          <w:trHeight w:val="37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4B91C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BE2B6F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5070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3AAEB9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122,4%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D9E43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3,6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BD4CE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104,3%</w:t>
            </w:r>
          </w:p>
        </w:tc>
      </w:tr>
      <w:tr w:rsidR="00E1243C" w:rsidRPr="005043B2" w14:paraId="22604F34" w14:textId="77777777" w:rsidTr="00CB25D6">
        <w:trPr>
          <w:trHeight w:val="112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7144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E2F1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0988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89AD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3A90F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-0,1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7DE9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26,1%</w:t>
            </w:r>
          </w:p>
        </w:tc>
      </w:tr>
      <w:tr w:rsidR="00E1243C" w:rsidRPr="005043B2" w14:paraId="607FE421" w14:textId="77777777" w:rsidTr="00CB25D6">
        <w:trPr>
          <w:trHeight w:val="66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63CB4598" w14:textId="77777777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3B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839D1E8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3 187,9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D366429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3 647,0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vAlign w:val="center"/>
          </w:tcPr>
          <w:p w14:paraId="1AAD3930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>114,4%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vAlign w:val="center"/>
          </w:tcPr>
          <w:p w14:paraId="02779413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 xml:space="preserve">1 098,8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F6B9" w:themeFill="accent3" w:themeFillTint="66"/>
            <w:vAlign w:val="center"/>
          </w:tcPr>
          <w:p w14:paraId="407841C4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>143,1%</w:t>
            </w:r>
          </w:p>
        </w:tc>
      </w:tr>
      <w:tr w:rsidR="00E1243C" w:rsidRPr="005043B2" w14:paraId="39626E37" w14:textId="77777777" w:rsidTr="00CB25D6">
        <w:trPr>
          <w:trHeight w:val="699"/>
        </w:trPr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FB45C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96F640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1 904,8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1E45F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1 994,4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52D24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104,7%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5A99E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718,0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CE38B6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156,2%</w:t>
            </w:r>
          </w:p>
        </w:tc>
      </w:tr>
      <w:tr w:rsidR="00E1243C" w:rsidRPr="005043B2" w14:paraId="0B92CF81" w14:textId="77777777" w:rsidTr="00CB25D6">
        <w:trPr>
          <w:trHeight w:val="750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B147E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BDD773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FF4107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6E72C0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74,3%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34F4F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-18,7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73B17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17,6%</w:t>
            </w:r>
          </w:p>
        </w:tc>
      </w:tr>
      <w:tr w:rsidR="00E1243C" w:rsidRPr="005043B2" w14:paraId="255604AC" w14:textId="77777777" w:rsidTr="00CB25D6">
        <w:trPr>
          <w:trHeight w:val="112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F3BCB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000000"/>
                <w:lang w:eastAsia="ru-RU"/>
              </w:rPr>
            </w:pPr>
            <w:r w:rsidRPr="005043B2">
              <w:rPr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15898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324,3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8DA87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388,1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F43D84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119,7%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E8CDF0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105,8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3159F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137,5%</w:t>
            </w:r>
          </w:p>
        </w:tc>
      </w:tr>
      <w:tr w:rsidR="00E1243C" w:rsidRPr="005043B2" w14:paraId="11279557" w14:textId="77777777" w:rsidTr="00CB25D6">
        <w:trPr>
          <w:trHeight w:val="750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DF214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3CE0E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8DC115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352C8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2015,7%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F91D97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18,3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F103B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153,3%</w:t>
            </w:r>
          </w:p>
        </w:tc>
      </w:tr>
      <w:tr w:rsidR="00E1243C" w:rsidRPr="005043B2" w14:paraId="6F9E475E" w14:textId="77777777" w:rsidTr="00CB25D6">
        <w:trPr>
          <w:trHeight w:val="37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8DDA2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Административные платежи и сборы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7B5E14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4F105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2F18CB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26,2%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D704A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-0,1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D9690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21,9%</w:t>
            </w:r>
          </w:p>
        </w:tc>
      </w:tr>
      <w:tr w:rsidR="00E1243C" w:rsidRPr="005043B2" w14:paraId="08B571D4" w14:textId="77777777" w:rsidTr="00CB25D6">
        <w:trPr>
          <w:trHeight w:val="37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D297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AFC4F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934,7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2531D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1 199,0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F50E58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128,3%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3423A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287,2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47B346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131,5%</w:t>
            </w:r>
          </w:p>
        </w:tc>
      </w:tr>
      <w:tr w:rsidR="00E1243C" w:rsidRPr="005043B2" w14:paraId="3F6380FF" w14:textId="77777777" w:rsidTr="00CB25D6">
        <w:trPr>
          <w:trHeight w:val="37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8CFC" w14:textId="77777777" w:rsidR="00E1243C" w:rsidRPr="005043B2" w:rsidRDefault="00E1243C" w:rsidP="00997CA7">
            <w:pPr>
              <w:widowControl/>
              <w:ind w:firstLine="0"/>
              <w:jc w:val="left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97784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ABFD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6F9B56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>
              <w:t>55,8%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A71D78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 xml:space="preserve">-11,6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22354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t>43,4%</w:t>
            </w:r>
          </w:p>
        </w:tc>
      </w:tr>
      <w:tr w:rsidR="00E1243C" w:rsidRPr="005043B2" w14:paraId="5DB40139" w14:textId="77777777" w:rsidTr="00CB25D6">
        <w:trPr>
          <w:trHeight w:val="69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67588F0D" w14:textId="77777777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3B2">
              <w:rPr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B74CC73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</w:rPr>
              <w:t>40 988,3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AD432BD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</w:rPr>
              <w:t>41 288,5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</w:tcPr>
          <w:p w14:paraId="19AB6A2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>100,7%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</w:tcPr>
          <w:p w14:paraId="60135C49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>-3 904,1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</w:tcPr>
          <w:p w14:paraId="61C856BA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>91,4%</w:t>
            </w:r>
          </w:p>
        </w:tc>
      </w:tr>
      <w:tr w:rsidR="00E1243C" w:rsidRPr="005043B2" w14:paraId="01925CF3" w14:textId="77777777" w:rsidTr="00CB25D6">
        <w:trPr>
          <w:trHeight w:val="1843"/>
        </w:trPr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FD7E0" w14:textId="77777777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3B2">
              <w:rPr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2982F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000000"/>
              </w:rPr>
              <w:t>40 830,7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2337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000000"/>
              </w:rPr>
              <w:t>41 150,2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ABFC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>100,8%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B59F5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>-3 305,3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D5BC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>92,6%</w:t>
            </w:r>
          </w:p>
        </w:tc>
      </w:tr>
      <w:tr w:rsidR="00E1243C" w:rsidRPr="005043B2" w14:paraId="6B134A30" w14:textId="77777777" w:rsidTr="00CB25D6">
        <w:trPr>
          <w:trHeight w:val="630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48CF9" w14:textId="5139803C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color w:val="000000"/>
                <w:sz w:val="24"/>
                <w:szCs w:val="24"/>
                <w:lang w:eastAsia="ru-RU"/>
              </w:rPr>
            </w:pPr>
            <w:bookmarkStart w:id="24" w:name="_Toc161837307"/>
            <w:bookmarkStart w:id="25" w:name="_Toc162008715"/>
            <w:r w:rsidRPr="005043B2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  <w:bookmarkEnd w:id="24"/>
            <w:bookmarkEnd w:id="25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11D3A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26" w:name="RANGE!B25"/>
            <w:r>
              <w:rPr>
                <w:color w:val="000000"/>
              </w:rPr>
              <w:t>21 748,9</w:t>
            </w:r>
            <w:bookmarkEnd w:id="26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B072C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27" w:name="RANGE!C25"/>
            <w:r>
              <w:rPr>
                <w:color w:val="000000"/>
              </w:rPr>
              <w:t>21 748,9</w:t>
            </w:r>
            <w:bookmarkEnd w:id="27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F94E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100,0%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EE267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 w:rsidRPr="008134B4">
              <w:rPr>
                <w:color w:val="auto"/>
                <w:lang w:eastAsia="ru-RU"/>
              </w:rPr>
              <w:t>2 619,9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64AE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 w:rsidRPr="008134B4">
              <w:rPr>
                <w:color w:val="auto"/>
                <w:lang w:eastAsia="ru-RU"/>
              </w:rPr>
              <w:t>113,7%</w:t>
            </w:r>
          </w:p>
        </w:tc>
      </w:tr>
      <w:tr w:rsidR="00E1243C" w:rsidRPr="005043B2" w14:paraId="7B288F7E" w14:textId="77777777" w:rsidTr="00CB25D6">
        <w:trPr>
          <w:trHeight w:val="630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12119D" w14:textId="53E6DCEB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28" w:name="_Toc161837313"/>
            <w:bookmarkStart w:id="29" w:name="_Toc162008721"/>
            <w:r w:rsidRPr="005043B2">
              <w:rPr>
                <w:i/>
                <w:i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  <w:bookmarkEnd w:id="28"/>
            <w:bookmarkEnd w:id="29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3AAFBD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30" w:name="RANGE!B26"/>
            <w:r>
              <w:rPr>
                <w:color w:val="000000"/>
              </w:rPr>
              <w:t>20 213,6</w:t>
            </w:r>
            <w:bookmarkEnd w:id="3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E197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31" w:name="RANGE!C26"/>
            <w:r>
              <w:rPr>
                <w:color w:val="000000"/>
              </w:rPr>
              <w:t>20 213,6</w:t>
            </w:r>
            <w:bookmarkEnd w:id="31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487A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100,0%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5C5E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 w:rsidRPr="008134B4">
              <w:rPr>
                <w:color w:val="auto"/>
                <w:lang w:eastAsia="ru-RU"/>
              </w:rPr>
              <w:t>2 165,7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05923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 w:rsidRPr="008134B4">
              <w:rPr>
                <w:color w:val="auto"/>
                <w:lang w:eastAsia="ru-RU"/>
              </w:rPr>
              <w:t>112%</w:t>
            </w:r>
          </w:p>
        </w:tc>
      </w:tr>
      <w:tr w:rsidR="00E1243C" w:rsidRPr="005043B2" w14:paraId="0E333D21" w14:textId="77777777" w:rsidTr="00CB25D6">
        <w:trPr>
          <w:trHeight w:val="157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D7AC" w14:textId="7C6ADCDC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32" w:name="_Toc161837319"/>
            <w:bookmarkStart w:id="33" w:name="_Toc162008727"/>
            <w:r w:rsidRPr="005043B2">
              <w:rPr>
                <w:i/>
                <w:iCs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  <w:bookmarkEnd w:id="32"/>
            <w:bookmarkEnd w:id="3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C7EA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34" w:name="RANGE!B27"/>
            <w:r>
              <w:rPr>
                <w:color w:val="000000"/>
              </w:rPr>
              <w:t>1 348,1</w:t>
            </w:r>
            <w:bookmarkEnd w:id="3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51B1A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35" w:name="RANGE!C27"/>
            <w:r>
              <w:rPr>
                <w:color w:val="000000"/>
              </w:rPr>
              <w:t>1 348,1</w:t>
            </w:r>
            <w:bookmarkEnd w:id="35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D65AC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100,0%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25E49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 w:rsidRPr="008134B4">
              <w:rPr>
                <w:color w:val="auto"/>
                <w:lang w:eastAsia="ru-RU"/>
              </w:rPr>
              <w:t>395,8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7F873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 w:rsidRPr="008134B4">
              <w:rPr>
                <w:color w:val="auto"/>
                <w:lang w:eastAsia="ru-RU"/>
              </w:rPr>
              <w:t>141,6%</w:t>
            </w:r>
          </w:p>
        </w:tc>
      </w:tr>
      <w:tr w:rsidR="00E1243C" w:rsidRPr="005043B2" w14:paraId="140D00C3" w14:textId="77777777" w:rsidTr="00CB25D6">
        <w:trPr>
          <w:trHeight w:val="41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DD73" w14:textId="0F2619DA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36" w:name="_Toc161837325"/>
            <w:bookmarkStart w:id="37" w:name="_Toc162008733"/>
            <w:r w:rsidRPr="005043B2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(гранты) бюджетам субъектов Российской Федерации за достижение показателей деятельности органов исполнительной власти субъектов </w:t>
            </w:r>
            <w:r>
              <w:rPr>
                <w:i/>
                <w:iCs/>
                <w:color w:val="000000"/>
                <w:sz w:val="24"/>
                <w:szCs w:val="24"/>
                <w:lang w:eastAsia="ru-RU"/>
              </w:rPr>
              <w:t>РФ</w:t>
            </w:r>
            <w:bookmarkEnd w:id="36"/>
            <w:bookmarkEnd w:id="3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630A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000000"/>
                <w:lang w:eastAsia="ru-RU"/>
              </w:rPr>
            </w:pPr>
            <w:bookmarkStart w:id="38" w:name="RANGE!B28"/>
            <w:r>
              <w:rPr>
                <w:color w:val="000000"/>
              </w:rPr>
              <w:t>137,2</w:t>
            </w:r>
            <w:bookmarkEnd w:id="3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C3D71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000000"/>
                <w:lang w:eastAsia="ru-RU"/>
              </w:rPr>
            </w:pPr>
            <w:bookmarkStart w:id="39" w:name="RANGE!C28"/>
            <w:r>
              <w:rPr>
                <w:color w:val="000000"/>
              </w:rPr>
              <w:t>137,2</w:t>
            </w:r>
            <w:bookmarkEnd w:id="39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DE47B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100,0%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300A6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 w:rsidRPr="008134B4">
              <w:rPr>
                <w:color w:val="auto"/>
                <w:lang w:eastAsia="ru-RU"/>
              </w:rPr>
              <w:t>8,4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C276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 w:rsidRPr="008134B4">
              <w:rPr>
                <w:color w:val="auto"/>
                <w:lang w:eastAsia="ru-RU"/>
              </w:rPr>
              <w:t>106,5%</w:t>
            </w:r>
          </w:p>
        </w:tc>
      </w:tr>
      <w:tr w:rsidR="00E1243C" w:rsidRPr="005043B2" w14:paraId="3ABFB154" w14:textId="77777777" w:rsidTr="00CB25D6">
        <w:trPr>
          <w:trHeight w:val="41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2EECA" w14:textId="7C5F2142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color w:val="000000"/>
                <w:lang w:eastAsia="ru-RU"/>
              </w:rPr>
            </w:pPr>
            <w:bookmarkStart w:id="40" w:name="_Toc161837331"/>
            <w:bookmarkStart w:id="41" w:name="_Toc162008739"/>
            <w:r w:rsidRPr="005043B2">
              <w:rPr>
                <w:color w:val="000000"/>
                <w:lang w:eastAsia="ru-RU"/>
              </w:rPr>
              <w:t>Субсидии бюджетам бюджетной системы  Российской Федерации (межбюджетные субсидии)</w:t>
            </w:r>
            <w:bookmarkEnd w:id="40"/>
            <w:bookmarkEnd w:id="4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F8CD5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42" w:name="RANGE!B29"/>
            <w:r>
              <w:rPr>
                <w:color w:val="000000"/>
              </w:rPr>
              <w:t>17 030,7</w:t>
            </w:r>
            <w:bookmarkEnd w:id="4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8BDD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43" w:name="RANGE!C29"/>
            <w:r>
              <w:rPr>
                <w:color w:val="000000"/>
              </w:rPr>
              <w:t>17 326,0</w:t>
            </w:r>
            <w:bookmarkEnd w:id="43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477E0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101,7%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79700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-4 792,3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D7E8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78,3%</w:t>
            </w:r>
          </w:p>
        </w:tc>
      </w:tr>
      <w:tr w:rsidR="00E1243C" w:rsidRPr="005043B2" w14:paraId="4C3317D6" w14:textId="77777777" w:rsidTr="00CB25D6">
        <w:trPr>
          <w:trHeight w:val="750"/>
        </w:trPr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2B962" w14:textId="026BA410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color w:val="000000"/>
                <w:lang w:eastAsia="ru-RU"/>
              </w:rPr>
            </w:pPr>
            <w:bookmarkStart w:id="44" w:name="_Toc161837337"/>
            <w:bookmarkStart w:id="45" w:name="_Toc162008745"/>
            <w:r w:rsidRPr="005043B2">
              <w:rPr>
                <w:color w:val="000000"/>
                <w:lang w:eastAsia="ru-RU"/>
              </w:rPr>
              <w:t>Субвенции бюджетам бюджетной системы Российской Федерации</w:t>
            </w:r>
            <w:bookmarkEnd w:id="44"/>
            <w:bookmarkEnd w:id="45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EC495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46" w:name="RANGE!B30"/>
            <w:r>
              <w:rPr>
                <w:color w:val="000000"/>
              </w:rPr>
              <w:t>1 255,8</w:t>
            </w:r>
            <w:bookmarkEnd w:id="4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87C1D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47" w:name="RANGE!C30"/>
            <w:r>
              <w:rPr>
                <w:color w:val="000000"/>
              </w:rPr>
              <w:t>1 247,1</w:t>
            </w:r>
            <w:bookmarkEnd w:id="47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E6BA2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99,3%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3EC82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-83,1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51C15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93,8%</w:t>
            </w:r>
          </w:p>
        </w:tc>
      </w:tr>
      <w:tr w:rsidR="00E1243C" w:rsidRPr="005043B2" w14:paraId="0681CC66" w14:textId="77777777" w:rsidTr="00CB25D6">
        <w:trPr>
          <w:trHeight w:val="37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64E26" w14:textId="38CBA4C7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color w:val="000000"/>
                <w:lang w:eastAsia="ru-RU"/>
              </w:rPr>
            </w:pPr>
            <w:bookmarkStart w:id="48" w:name="_Toc161837343"/>
            <w:bookmarkStart w:id="49" w:name="_Toc162008751"/>
            <w:r w:rsidRPr="005043B2">
              <w:rPr>
                <w:color w:val="000000"/>
                <w:lang w:eastAsia="ru-RU"/>
              </w:rPr>
              <w:t>Иные межбюджетные трансферты</w:t>
            </w:r>
            <w:bookmarkEnd w:id="48"/>
            <w:bookmarkEnd w:id="49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90E6BD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50" w:name="RANGE!B31"/>
            <w:r>
              <w:rPr>
                <w:color w:val="000000"/>
              </w:rPr>
              <w:t>795,3</w:t>
            </w:r>
            <w:bookmarkEnd w:id="5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0BFD1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51" w:name="RANGE!C31"/>
            <w:r>
              <w:rPr>
                <w:color w:val="000000"/>
              </w:rPr>
              <w:t>828,2</w:t>
            </w:r>
            <w:bookmarkEnd w:id="51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BA8FE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104,1%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ED99C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-1 049,8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F1E7E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44,1%</w:t>
            </w:r>
          </w:p>
        </w:tc>
      </w:tr>
      <w:tr w:rsidR="00E1243C" w:rsidRPr="005043B2" w14:paraId="391215B0" w14:textId="77777777" w:rsidTr="00CB25D6">
        <w:trPr>
          <w:trHeight w:val="112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8B2C03" w14:textId="0DBAE5E4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color w:val="auto"/>
                <w:lang w:eastAsia="ru-RU"/>
              </w:rPr>
            </w:pPr>
            <w:bookmarkStart w:id="52" w:name="_Toc161837349"/>
            <w:bookmarkStart w:id="53" w:name="_Toc162008757"/>
            <w:r w:rsidRPr="005043B2">
              <w:rPr>
                <w:color w:val="auto"/>
                <w:lang w:eastAsia="ru-RU"/>
              </w:rPr>
              <w:t>Безвозмездные поступления от государственных (муниципальных) организаций</w:t>
            </w:r>
            <w:bookmarkEnd w:id="52"/>
            <w:bookmarkEnd w:id="53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244974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54" w:name="RANGE!B32"/>
            <w:r>
              <w:rPr>
                <w:color w:val="000000"/>
              </w:rPr>
              <w:t>150,0</w:t>
            </w:r>
            <w:bookmarkEnd w:id="54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2C33B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55" w:name="RANGE!C32"/>
            <w:r>
              <w:rPr>
                <w:color w:val="000000"/>
              </w:rPr>
              <w:t>141,9</w:t>
            </w:r>
            <w:bookmarkEnd w:id="55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6AFA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94,6%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CC9AB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-568,8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17E96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20%</w:t>
            </w:r>
          </w:p>
        </w:tc>
      </w:tr>
      <w:tr w:rsidR="00E1243C" w:rsidRPr="005043B2" w14:paraId="26871A0A" w14:textId="77777777" w:rsidTr="00CB25D6">
        <w:trPr>
          <w:trHeight w:val="41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6C893" w14:textId="424A7677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color w:val="auto"/>
                <w:lang w:eastAsia="ru-RU"/>
              </w:rPr>
            </w:pPr>
            <w:bookmarkStart w:id="56" w:name="_Toc161837355"/>
            <w:bookmarkStart w:id="57" w:name="_Toc162008763"/>
            <w:r w:rsidRPr="005043B2">
              <w:rPr>
                <w:color w:val="auto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субъектов Российской Федерации</w:t>
            </w:r>
            <w:bookmarkEnd w:id="56"/>
            <w:bookmarkEnd w:id="5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95565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58" w:name="RANGE!B33"/>
            <w:r>
              <w:rPr>
                <w:color w:val="000000"/>
              </w:rPr>
              <w:t>7,6</w:t>
            </w:r>
            <w:bookmarkEnd w:id="5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BAAF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59" w:name="RANGE!C33"/>
            <w:r>
              <w:rPr>
                <w:color w:val="000000"/>
              </w:rPr>
              <w:t>7,1</w:t>
            </w:r>
            <w:bookmarkEnd w:id="59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D837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93,3%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68D92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200D8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</w:p>
        </w:tc>
      </w:tr>
      <w:tr w:rsidR="00E1243C" w:rsidRPr="005043B2" w14:paraId="172B47F5" w14:textId="77777777" w:rsidTr="00CB25D6">
        <w:trPr>
          <w:trHeight w:val="375"/>
        </w:trPr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EB49F" w14:textId="74FA5F91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color w:val="000000"/>
                <w:lang w:eastAsia="ru-RU"/>
              </w:rPr>
            </w:pPr>
            <w:bookmarkStart w:id="60" w:name="_Toc161837361"/>
            <w:bookmarkStart w:id="61" w:name="_Toc162008769"/>
            <w:r w:rsidRPr="005043B2">
              <w:rPr>
                <w:color w:val="000000"/>
                <w:lang w:eastAsia="ru-RU"/>
              </w:rPr>
              <w:t>Прочие безвозмездные поступления</w:t>
            </w:r>
            <w:bookmarkEnd w:id="60"/>
            <w:bookmarkEnd w:id="61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63FA12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62" w:name="RANGE!B34"/>
            <w:r>
              <w:rPr>
                <w:color w:val="000000"/>
              </w:rPr>
              <w:t>0,0</w:t>
            </w:r>
            <w:bookmarkEnd w:id="6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7B3A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63" w:name="RANGE!C34"/>
            <w:r>
              <w:rPr>
                <w:color w:val="000000"/>
              </w:rPr>
              <w:t>8,4</w:t>
            </w:r>
            <w:bookmarkEnd w:id="63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2F1F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583F0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3798F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</w:p>
        </w:tc>
      </w:tr>
      <w:tr w:rsidR="00E1243C" w:rsidRPr="005043B2" w14:paraId="17EC2476" w14:textId="77777777" w:rsidTr="00CB25D6">
        <w:trPr>
          <w:trHeight w:val="262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42FC8" w14:textId="151B22DA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color w:val="000000"/>
                <w:lang w:eastAsia="ru-RU"/>
              </w:rPr>
            </w:pPr>
            <w:bookmarkStart w:id="64" w:name="_Toc161837367"/>
            <w:bookmarkStart w:id="65" w:name="_Toc162008775"/>
            <w:r w:rsidRPr="005043B2">
              <w:rPr>
                <w:color w:val="00000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  <w:bookmarkEnd w:id="64"/>
            <w:bookmarkEnd w:id="6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A0B2F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66" w:name="RANGE!B35"/>
            <w:r>
              <w:rPr>
                <w:color w:val="000000"/>
              </w:rPr>
              <w:t>0,0</w:t>
            </w:r>
            <w:bookmarkEnd w:id="6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E9E9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67" w:name="RANGE!C35"/>
            <w:r>
              <w:rPr>
                <w:color w:val="000000"/>
              </w:rPr>
              <w:t>74,0</w:t>
            </w:r>
            <w:bookmarkEnd w:id="67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94F69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838BA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F949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</w:p>
        </w:tc>
      </w:tr>
      <w:tr w:rsidR="00E1243C" w:rsidRPr="005043B2" w14:paraId="622F94C2" w14:textId="77777777" w:rsidTr="00CB25D6">
        <w:trPr>
          <w:trHeight w:val="1500"/>
        </w:trPr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F8C85" w14:textId="44FAB62B" w:rsidR="00E1243C" w:rsidRPr="005043B2" w:rsidRDefault="00E1243C" w:rsidP="00997CA7">
            <w:pPr>
              <w:widowControl/>
              <w:ind w:firstLine="0"/>
              <w:jc w:val="left"/>
              <w:outlineLvl w:val="0"/>
              <w:rPr>
                <w:color w:val="auto"/>
                <w:lang w:eastAsia="ru-RU"/>
              </w:rPr>
            </w:pPr>
            <w:bookmarkStart w:id="68" w:name="_Toc161837373"/>
            <w:bookmarkStart w:id="69" w:name="_Toc162008781"/>
            <w:r w:rsidRPr="005043B2">
              <w:rPr>
                <w:color w:val="auto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  <w:bookmarkEnd w:id="68"/>
            <w:bookmarkEnd w:id="69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FEB95B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70" w:name="RANGE!B36"/>
            <w:r>
              <w:rPr>
                <w:color w:val="000000"/>
              </w:rPr>
              <w:t>0,0</w:t>
            </w:r>
            <w:bookmarkEnd w:id="7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DF9B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bookmarkStart w:id="71" w:name="RANGE!C36"/>
            <w:r>
              <w:rPr>
                <w:color w:val="000000"/>
              </w:rPr>
              <w:t>-93,0</w:t>
            </w:r>
            <w:bookmarkEnd w:id="71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4076A" w14:textId="77777777" w:rsidR="00E1243C" w:rsidRPr="005043B2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  <w: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D39A2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8EAAD" w14:textId="77777777" w:rsidR="00E1243C" w:rsidRPr="008134B4" w:rsidRDefault="00E1243C" w:rsidP="00997CA7">
            <w:pPr>
              <w:widowControl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</w:p>
        </w:tc>
      </w:tr>
      <w:tr w:rsidR="00E1243C" w:rsidRPr="005043B2" w14:paraId="7D5DB813" w14:textId="77777777" w:rsidTr="00CB25D6">
        <w:trPr>
          <w:trHeight w:val="435"/>
        </w:trPr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D219" w:themeFill="accent3" w:themeFillShade="BF"/>
            <w:vAlign w:val="center"/>
            <w:hideMark/>
          </w:tcPr>
          <w:p w14:paraId="566AD33B" w14:textId="713810BF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2" w:name="RANGE!A50:B50"/>
            <w:r w:rsidRPr="005043B2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  <w:bookmarkEnd w:id="72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D219" w:themeFill="accent3" w:themeFillShade="BF"/>
            <w:vAlign w:val="center"/>
            <w:hideMark/>
          </w:tcPr>
          <w:p w14:paraId="5B3668D5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000000"/>
              </w:rPr>
              <w:t>60 511,8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vAlign w:val="center"/>
            <w:hideMark/>
          </w:tcPr>
          <w:p w14:paraId="51608A85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bookmarkStart w:id="73" w:name="RANGE!C37"/>
            <w:r>
              <w:rPr>
                <w:b/>
                <w:bCs/>
                <w:color w:val="000000"/>
              </w:rPr>
              <w:t>62 405,5</w:t>
            </w:r>
            <w:bookmarkEnd w:id="73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vAlign w:val="center"/>
          </w:tcPr>
          <w:p w14:paraId="7FAEF3AB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</w:rPr>
              <w:t>103,1%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vAlign w:val="center"/>
          </w:tcPr>
          <w:p w14:paraId="75C6E1C7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>-689,0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vAlign w:val="center"/>
          </w:tcPr>
          <w:p w14:paraId="69D07678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>98,9%</w:t>
            </w:r>
          </w:p>
        </w:tc>
      </w:tr>
      <w:tr w:rsidR="00E1243C" w:rsidRPr="005043B2" w14:paraId="394B07BF" w14:textId="77777777" w:rsidTr="00CB25D6">
        <w:trPr>
          <w:trHeight w:val="375"/>
        </w:trPr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6BB2FB" w14:textId="77777777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43B2">
              <w:rPr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BE0740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043B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28E156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FF0000"/>
                <w:lang w:eastAsia="ru-RU"/>
              </w:rPr>
            </w:pPr>
            <w:r w:rsidRPr="005043B2">
              <w:rPr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99E3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16CAF7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7547AA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auto"/>
                <w:lang w:eastAsia="ru-RU"/>
              </w:rPr>
            </w:pPr>
            <w:r w:rsidRPr="005043B2">
              <w:rPr>
                <w:color w:val="auto"/>
                <w:lang w:eastAsia="ru-RU"/>
              </w:rPr>
              <w:t> </w:t>
            </w:r>
          </w:p>
        </w:tc>
      </w:tr>
      <w:tr w:rsidR="00E1243C" w:rsidRPr="005043B2" w14:paraId="1B5DE16A" w14:textId="77777777" w:rsidTr="00CB25D6">
        <w:trPr>
          <w:trHeight w:val="37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vAlign w:val="bottom"/>
            <w:hideMark/>
          </w:tcPr>
          <w:p w14:paraId="0E74ECB4" w14:textId="77777777" w:rsidR="00E1243C" w:rsidRPr="00807E41" w:rsidRDefault="00E1243C" w:rsidP="00997CA7">
            <w:pPr>
              <w:widowControl/>
              <w:ind w:firstLine="0"/>
              <w:jc w:val="left"/>
              <w:rPr>
                <w:b/>
                <w:bCs/>
                <w:color w:val="000000"/>
                <w:lang w:eastAsia="ru-RU"/>
              </w:rPr>
            </w:pPr>
            <w:r w:rsidRPr="00807E41">
              <w:rPr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36A95F5A" w14:textId="77777777" w:rsidR="00E1243C" w:rsidRPr="00807E41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807E41">
              <w:rPr>
                <w:b/>
                <w:bCs/>
                <w:color w:val="000000"/>
                <w:lang w:eastAsia="ru-RU"/>
              </w:rPr>
              <w:t>63 883,6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1ABBCEBF" w14:textId="77777777" w:rsidR="00E1243C" w:rsidRPr="00807E41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807E41">
              <w:rPr>
                <w:b/>
                <w:bCs/>
                <w:color w:val="000000"/>
                <w:lang w:eastAsia="ru-RU"/>
              </w:rPr>
              <w:t>63 162,8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31F74111" w14:textId="77777777" w:rsidR="00E1243C" w:rsidRPr="00807E41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 w:rsidRPr="00807E41">
              <w:rPr>
                <w:b/>
                <w:bCs/>
                <w:color w:val="auto"/>
                <w:lang w:eastAsia="ru-RU"/>
              </w:rPr>
              <w:t>98,9%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7587EE2F" w14:textId="77777777" w:rsidR="00E1243C" w:rsidRPr="00807E41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 w:rsidRPr="00807E41">
              <w:rPr>
                <w:b/>
                <w:bCs/>
                <w:color w:val="auto"/>
                <w:lang w:eastAsia="ru-RU"/>
              </w:rPr>
              <w:t>45,5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7AC96613" w14:textId="77777777" w:rsidR="00E1243C" w:rsidRPr="00807E41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 w:rsidRPr="00807E41">
              <w:rPr>
                <w:b/>
                <w:bCs/>
                <w:color w:val="auto"/>
                <w:lang w:eastAsia="ru-RU"/>
              </w:rPr>
              <w:t>100,1%</w:t>
            </w:r>
          </w:p>
        </w:tc>
      </w:tr>
      <w:tr w:rsidR="00E1243C" w:rsidRPr="005043B2" w14:paraId="0FB1644B" w14:textId="77777777" w:rsidTr="00CB25D6">
        <w:trPr>
          <w:trHeight w:val="103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D5261" w14:textId="77777777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000000"/>
                <w:lang w:eastAsia="ru-RU"/>
              </w:rPr>
            </w:pPr>
            <w:r w:rsidRPr="005043B2">
              <w:rPr>
                <w:b/>
                <w:bCs/>
                <w:color w:val="000000"/>
                <w:lang w:eastAsia="ru-RU"/>
              </w:rPr>
              <w:t>Результат исполнения бюджета (дефицит «-», профицит «+»)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E6040" w14:textId="77777777" w:rsidR="00E1243C" w:rsidRPr="00CF47A2" w:rsidRDefault="00E1243C" w:rsidP="00997CA7">
            <w:pPr>
              <w:widowControl/>
              <w:ind w:firstLine="0"/>
              <w:jc w:val="center"/>
              <w:rPr>
                <w:b/>
                <w:bCs/>
                <w:lang w:eastAsia="ru-RU"/>
              </w:rPr>
            </w:pPr>
            <w:r w:rsidRPr="00CF47A2">
              <w:rPr>
                <w:b/>
                <w:bCs/>
                <w:lang w:eastAsia="ru-RU"/>
              </w:rPr>
              <w:t>-3 371,8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F71C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-757,3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BF8A4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FF0000"/>
                <w:lang w:eastAsia="ru-RU"/>
              </w:rPr>
            </w:pPr>
            <w:r w:rsidRPr="005043B2">
              <w:rPr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8B68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 w:rsidRPr="005043B2">
              <w:rPr>
                <w:b/>
                <w:bCs/>
                <w:color w:val="auto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72132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auto"/>
                <w:lang w:eastAsia="ru-RU"/>
              </w:rPr>
            </w:pPr>
            <w:r w:rsidRPr="005043B2">
              <w:rPr>
                <w:b/>
                <w:bCs/>
                <w:color w:val="auto"/>
                <w:lang w:eastAsia="ru-RU"/>
              </w:rPr>
              <w:t> </w:t>
            </w:r>
          </w:p>
        </w:tc>
      </w:tr>
      <w:tr w:rsidR="00E1243C" w:rsidRPr="005043B2" w14:paraId="51CA01F4" w14:textId="77777777" w:rsidTr="00CB25D6">
        <w:trPr>
          <w:trHeight w:val="375"/>
        </w:trPr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13EBB" w14:textId="77777777" w:rsidR="00E1243C" w:rsidRPr="005043B2" w:rsidRDefault="00E1243C" w:rsidP="00997CA7">
            <w:pPr>
              <w:widowControl/>
              <w:ind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3B2">
              <w:rPr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04939" w14:textId="77777777" w:rsidR="00E1243C" w:rsidRPr="005043B2" w:rsidRDefault="00E1243C" w:rsidP="00997CA7">
            <w:pPr>
              <w:widowControl/>
              <w:ind w:firstLine="0"/>
              <w:jc w:val="center"/>
              <w:rPr>
                <w:i/>
                <w:iCs/>
                <w:color w:val="000000"/>
                <w:lang w:eastAsia="ru-RU"/>
              </w:rPr>
            </w:pPr>
            <w:r w:rsidRPr="005043B2">
              <w:rPr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5FFE0" w14:textId="77777777" w:rsidR="00E1243C" w:rsidRPr="005043B2" w:rsidRDefault="00E1243C" w:rsidP="00997CA7">
            <w:pPr>
              <w:widowControl/>
              <w:ind w:firstLine="0"/>
              <w:jc w:val="center"/>
              <w:rPr>
                <w:i/>
                <w:iCs/>
                <w:color w:val="FF0000"/>
                <w:lang w:eastAsia="ru-RU"/>
              </w:rPr>
            </w:pPr>
            <w:r w:rsidRPr="005043B2">
              <w:rPr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60AF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i/>
                <w:iCs/>
                <w:color w:val="FF0000"/>
                <w:lang w:eastAsia="ru-RU"/>
              </w:rPr>
            </w:pPr>
            <w:r w:rsidRPr="005043B2">
              <w:rPr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08B36" w14:textId="77777777" w:rsidR="00E1243C" w:rsidRPr="005043B2" w:rsidRDefault="00E1243C" w:rsidP="00997CA7">
            <w:pPr>
              <w:widowControl/>
              <w:ind w:firstLine="0"/>
              <w:jc w:val="center"/>
              <w:rPr>
                <w:i/>
                <w:iCs/>
                <w:color w:val="FF0000"/>
                <w:lang w:eastAsia="ru-RU"/>
              </w:rPr>
            </w:pPr>
            <w:r w:rsidRPr="005043B2">
              <w:rPr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987C3" w14:textId="77777777" w:rsidR="00E1243C" w:rsidRPr="005043B2" w:rsidRDefault="00E1243C" w:rsidP="00997CA7">
            <w:pPr>
              <w:widowControl/>
              <w:ind w:firstLine="0"/>
              <w:jc w:val="center"/>
              <w:rPr>
                <w:i/>
                <w:iCs/>
                <w:color w:val="FF0000"/>
                <w:lang w:eastAsia="ru-RU"/>
              </w:rPr>
            </w:pPr>
            <w:r w:rsidRPr="005043B2">
              <w:rPr>
                <w:i/>
                <w:iCs/>
                <w:color w:val="FF0000"/>
                <w:lang w:eastAsia="ru-RU"/>
              </w:rPr>
              <w:t> </w:t>
            </w:r>
          </w:p>
        </w:tc>
      </w:tr>
      <w:tr w:rsidR="00E1243C" w:rsidRPr="005043B2" w14:paraId="2D9E0D01" w14:textId="77777777" w:rsidTr="00CB25D6">
        <w:trPr>
          <w:trHeight w:val="58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DDBC" w14:textId="77777777" w:rsidR="00E1243C" w:rsidRPr="005043B2" w:rsidRDefault="00E1243C" w:rsidP="00997CA7">
            <w:pPr>
              <w:widowControl/>
              <w:ind w:firstLine="0"/>
              <w:jc w:val="left"/>
              <w:rPr>
                <w:b/>
                <w:bCs/>
                <w:color w:val="auto"/>
                <w:lang w:eastAsia="ru-RU"/>
              </w:rPr>
            </w:pPr>
            <w:r w:rsidRPr="005043B2">
              <w:rPr>
                <w:b/>
                <w:bCs/>
                <w:color w:val="auto"/>
                <w:lang w:eastAsia="ru-RU"/>
              </w:rPr>
              <w:t>Государственный долг субъекта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C44F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FF0000"/>
                <w:lang w:eastAsia="ru-RU"/>
              </w:rPr>
            </w:pPr>
            <w:r w:rsidRPr="005043B2">
              <w:rPr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DD4FA" w14:textId="77777777" w:rsidR="00E1243C" w:rsidRPr="005043B2" w:rsidRDefault="00E1243C" w:rsidP="00997CA7">
            <w:pPr>
              <w:widowControl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5043B2">
              <w:rPr>
                <w:b/>
                <w:bCs/>
                <w:color w:val="000000"/>
                <w:lang w:eastAsia="ru-RU"/>
              </w:rPr>
              <w:t>7</w:t>
            </w:r>
            <w:r>
              <w:rPr>
                <w:b/>
                <w:bCs/>
                <w:color w:val="000000"/>
                <w:lang w:eastAsia="ru-RU"/>
              </w:rPr>
              <w:t> 559,7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04561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FF0000"/>
                <w:lang w:eastAsia="ru-RU"/>
              </w:rPr>
            </w:pPr>
            <w:r w:rsidRPr="005043B2">
              <w:rPr>
                <w:color w:val="FF000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24373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FF0000"/>
                <w:lang w:eastAsia="ru-RU"/>
              </w:rPr>
            </w:pPr>
            <w:r w:rsidRPr="005043B2">
              <w:rPr>
                <w:color w:val="FF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268DE" w14:textId="77777777" w:rsidR="00E1243C" w:rsidRPr="005043B2" w:rsidRDefault="00E1243C" w:rsidP="00997CA7">
            <w:pPr>
              <w:widowControl/>
              <w:ind w:firstLine="0"/>
              <w:jc w:val="center"/>
              <w:rPr>
                <w:color w:val="FF0000"/>
                <w:lang w:eastAsia="ru-RU"/>
              </w:rPr>
            </w:pPr>
            <w:r w:rsidRPr="005043B2">
              <w:rPr>
                <w:color w:val="FF0000"/>
                <w:lang w:eastAsia="ru-RU"/>
              </w:rPr>
              <w:t> </w:t>
            </w:r>
          </w:p>
        </w:tc>
      </w:tr>
    </w:tbl>
    <w:p w14:paraId="236598AF" w14:textId="77777777" w:rsidR="005043B2" w:rsidRDefault="005043B2" w:rsidP="0082617E">
      <w:pPr>
        <w:jc w:val="right"/>
        <w:rPr>
          <w:i/>
          <w:iCs/>
          <w:sz w:val="24"/>
          <w:szCs w:val="24"/>
        </w:rPr>
      </w:pPr>
    </w:p>
    <w:p w14:paraId="0B9F49B2" w14:textId="77777777" w:rsidR="00403272" w:rsidRPr="00034CD9" w:rsidRDefault="00403272" w:rsidP="0082617E">
      <w:pPr>
        <w:ind w:firstLine="0"/>
        <w:jc w:val="center"/>
        <w:rPr>
          <w:b/>
          <w:bCs/>
          <w:color w:val="FF0000"/>
        </w:rPr>
      </w:pPr>
      <w:bookmarkStart w:id="74" w:name="_Toc482701242"/>
    </w:p>
    <w:p w14:paraId="78DAD627" w14:textId="456CAA4A" w:rsidR="00F811F4" w:rsidRPr="00034CD9" w:rsidRDefault="00F811F4" w:rsidP="0082617E">
      <w:pPr>
        <w:ind w:firstLine="0"/>
        <w:jc w:val="center"/>
        <w:rPr>
          <w:b/>
          <w:bCs/>
          <w:color w:val="FF0000"/>
        </w:rPr>
      </w:pPr>
      <w:r w:rsidRPr="00855A5A">
        <w:rPr>
          <w:b/>
          <w:bCs/>
          <w:color w:val="auto"/>
        </w:rPr>
        <w:t>ИСПОЛНЕНИЕ ПО ДОХОДАМ</w:t>
      </w:r>
      <w:bookmarkEnd w:id="74"/>
      <w:r w:rsidR="00997CA7">
        <w:rPr>
          <w:b/>
          <w:bCs/>
          <w:color w:val="auto"/>
        </w:rPr>
        <w:t xml:space="preserve"> </w:t>
      </w:r>
    </w:p>
    <w:p w14:paraId="7E56819D" w14:textId="77777777" w:rsidR="00F811F4" w:rsidRPr="00034CD9" w:rsidRDefault="00F811F4" w:rsidP="0082617E">
      <w:pPr>
        <w:rPr>
          <w:color w:val="FF0000"/>
        </w:rPr>
      </w:pPr>
    </w:p>
    <w:p w14:paraId="6BE3A803" w14:textId="7376F91E" w:rsidR="00371C1E" w:rsidRPr="006B6ADE" w:rsidRDefault="00E1243C" w:rsidP="0065510E">
      <w:pPr>
        <w:rPr>
          <w:rFonts w:eastAsia="Calibri"/>
        </w:rPr>
      </w:pPr>
      <w:r w:rsidRPr="00A660F8">
        <w:rPr>
          <w:b/>
          <w:color w:val="auto"/>
        </w:rPr>
        <w:t xml:space="preserve">ДОХОДЫ </w:t>
      </w:r>
      <w:r w:rsidRPr="00A660F8">
        <w:rPr>
          <w:color w:val="auto"/>
        </w:rPr>
        <w:t xml:space="preserve">республиканского бюджета исполнены в объеме 62 405,5 млн рублей или 103,1 % от годовых плановых назначений. </w:t>
      </w:r>
      <w:r w:rsidR="00371C1E" w:rsidRPr="0065510E">
        <w:rPr>
          <w:color w:val="auto"/>
        </w:rPr>
        <w:t>Налоговые и неналоговые доходы республиканского бюджета к уровню 2023 года возросли на 18</w:t>
      </w:r>
      <w:proofErr w:type="gramStart"/>
      <w:r w:rsidR="00371C1E" w:rsidRPr="0065510E">
        <w:rPr>
          <w:color w:val="auto"/>
        </w:rPr>
        <w:t>%,  а</w:t>
      </w:r>
      <w:proofErr w:type="gramEnd"/>
      <w:r w:rsidR="00371C1E" w:rsidRPr="0065510E">
        <w:rPr>
          <w:color w:val="auto"/>
        </w:rPr>
        <w:t xml:space="preserve"> их дол</w:t>
      </w:r>
      <w:r w:rsidR="005F0B91" w:rsidRPr="0065510E">
        <w:rPr>
          <w:color w:val="auto"/>
        </w:rPr>
        <w:t>я</w:t>
      </w:r>
      <w:r w:rsidR="00371C1E" w:rsidRPr="0065510E">
        <w:rPr>
          <w:color w:val="auto"/>
        </w:rPr>
        <w:t xml:space="preserve"> в общей сумме доходов возросла </w:t>
      </w:r>
      <w:r w:rsidR="00371C1E" w:rsidRPr="0065510E">
        <w:rPr>
          <w:rFonts w:eastAsia="Calibri"/>
        </w:rPr>
        <w:t xml:space="preserve"> с 28,3 % в 2023 году до 33,8% в 2024 году.</w:t>
      </w:r>
      <w:r w:rsidR="00371C1E">
        <w:rPr>
          <w:rFonts w:eastAsia="Calibri"/>
        </w:rPr>
        <w:t xml:space="preserve"> </w:t>
      </w:r>
    </w:p>
    <w:p w14:paraId="57B75028" w14:textId="17B1791F" w:rsidR="00E1243C" w:rsidRDefault="00E1243C" w:rsidP="00E1243C">
      <w:pPr>
        <w:rPr>
          <w:color w:val="FF0000"/>
        </w:rPr>
      </w:pPr>
      <w:r w:rsidRPr="00A660F8">
        <w:rPr>
          <w:rFonts w:eastAsia="Calibri"/>
          <w:color w:val="auto"/>
        </w:rPr>
        <w:t>В общей сумме доходов республиканского бюджета удельный вес налоговых доходов составил 28,0 %, или 17 470,0 млн рублей, неналоговых доходов – 5,8 %, или 3 647,0 млн рублей, безвозмездных поступлений – 66,2 %, или 41 288,5 млн рублей.</w:t>
      </w:r>
    </w:p>
    <w:p w14:paraId="2E8AEC91" w14:textId="77777777" w:rsidR="00E1243C" w:rsidRPr="005D1D78" w:rsidRDefault="00E1243C" w:rsidP="00E1243C">
      <w:pPr>
        <w:rPr>
          <w:color w:val="auto"/>
        </w:rPr>
      </w:pPr>
      <w:r w:rsidRPr="005D1D78">
        <w:rPr>
          <w:color w:val="auto"/>
        </w:rPr>
        <w:t xml:space="preserve">Поступление налоговых доходов республиканского бюджета за 2024 год больше объемов поступлений за 2023 год на 2 116,3 млн рублей (113,8 %). </w:t>
      </w:r>
      <w:r w:rsidRPr="005D1D78">
        <w:rPr>
          <w:rFonts w:eastAsia="Calibri"/>
          <w:color w:val="auto"/>
        </w:rPr>
        <w:t xml:space="preserve">В 2024 году поступление </w:t>
      </w:r>
      <w:r w:rsidRPr="005D1D78">
        <w:rPr>
          <w:rFonts w:eastAsia="Calibri"/>
          <w:b/>
          <w:i/>
          <w:color w:val="auto"/>
        </w:rPr>
        <w:t>налоговых доходов</w:t>
      </w:r>
      <w:r w:rsidRPr="005D1D78">
        <w:rPr>
          <w:rFonts w:eastAsia="Calibri"/>
          <w:color w:val="auto"/>
        </w:rPr>
        <w:t xml:space="preserve"> республиканского бюджета обеспечено за счет следующих источников: </w:t>
      </w:r>
    </w:p>
    <w:p w14:paraId="22A24EF2" w14:textId="77777777" w:rsidR="00E1243C" w:rsidRPr="00A065B7" w:rsidRDefault="00E1243C" w:rsidP="00E1243C">
      <w:pPr>
        <w:pStyle w:val="a"/>
        <w:numPr>
          <w:ilvl w:val="0"/>
          <w:numId w:val="9"/>
        </w:numPr>
        <w:jc w:val="both"/>
        <w:rPr>
          <w:rFonts w:eastAsia="Calibri"/>
          <w:color w:val="auto"/>
        </w:rPr>
      </w:pPr>
      <w:r w:rsidRPr="00A065B7">
        <w:rPr>
          <w:color w:val="auto"/>
        </w:rPr>
        <w:t>налог на прибыль организаций – 2 713,9 млн рублей;</w:t>
      </w:r>
    </w:p>
    <w:p w14:paraId="47BB4C57" w14:textId="77777777" w:rsidR="00E1243C" w:rsidRPr="00A065B7" w:rsidRDefault="00E1243C" w:rsidP="00E1243C">
      <w:pPr>
        <w:pStyle w:val="a"/>
        <w:numPr>
          <w:ilvl w:val="0"/>
          <w:numId w:val="9"/>
        </w:numPr>
        <w:jc w:val="both"/>
        <w:rPr>
          <w:rFonts w:eastAsia="Calibri"/>
          <w:color w:val="auto"/>
        </w:rPr>
      </w:pPr>
      <w:r w:rsidRPr="00A065B7">
        <w:rPr>
          <w:color w:val="auto"/>
        </w:rPr>
        <w:t>акцизы – 4 693,3 млн рублей;</w:t>
      </w:r>
    </w:p>
    <w:p w14:paraId="776C88CF" w14:textId="77777777" w:rsidR="00E1243C" w:rsidRPr="00A065B7" w:rsidRDefault="00E1243C" w:rsidP="00E1243C">
      <w:pPr>
        <w:pStyle w:val="a"/>
        <w:numPr>
          <w:ilvl w:val="0"/>
          <w:numId w:val="9"/>
        </w:numPr>
        <w:jc w:val="both"/>
        <w:rPr>
          <w:rFonts w:eastAsia="Calibri"/>
          <w:color w:val="auto"/>
        </w:rPr>
      </w:pPr>
      <w:r w:rsidRPr="00A065B7">
        <w:rPr>
          <w:color w:val="auto"/>
        </w:rPr>
        <w:t>налог на доходы физических лиц – 5 754,3 млн рублей;</w:t>
      </w:r>
    </w:p>
    <w:p w14:paraId="19C959EC" w14:textId="77777777" w:rsidR="00E1243C" w:rsidRPr="00A065B7" w:rsidRDefault="00E1243C" w:rsidP="00E1243C">
      <w:pPr>
        <w:pStyle w:val="a"/>
        <w:numPr>
          <w:ilvl w:val="0"/>
          <w:numId w:val="9"/>
        </w:numPr>
        <w:jc w:val="both"/>
        <w:rPr>
          <w:rFonts w:eastAsia="Calibri"/>
          <w:color w:val="auto"/>
        </w:rPr>
      </w:pPr>
      <w:r w:rsidRPr="00A065B7">
        <w:rPr>
          <w:color w:val="auto"/>
        </w:rPr>
        <w:t>налоги на совокупный доход – 1 972,3 млн рублей;</w:t>
      </w:r>
    </w:p>
    <w:p w14:paraId="5C8B7BCA" w14:textId="77777777" w:rsidR="00E1243C" w:rsidRPr="00A065B7" w:rsidRDefault="00E1243C" w:rsidP="00E1243C">
      <w:pPr>
        <w:pStyle w:val="a"/>
        <w:numPr>
          <w:ilvl w:val="0"/>
          <w:numId w:val="9"/>
        </w:numPr>
        <w:jc w:val="both"/>
        <w:rPr>
          <w:rFonts w:eastAsia="Calibri"/>
          <w:color w:val="auto"/>
        </w:rPr>
      </w:pPr>
      <w:r w:rsidRPr="00A065B7">
        <w:rPr>
          <w:color w:val="auto"/>
        </w:rPr>
        <w:t>налоги на имущество – 2 224,0 млн рублей;</w:t>
      </w:r>
    </w:p>
    <w:p w14:paraId="6E18D20A" w14:textId="77777777" w:rsidR="00E1243C" w:rsidRPr="00A065B7" w:rsidRDefault="00E1243C" w:rsidP="00E1243C">
      <w:pPr>
        <w:pStyle w:val="a"/>
        <w:numPr>
          <w:ilvl w:val="0"/>
          <w:numId w:val="9"/>
        </w:numPr>
        <w:jc w:val="both"/>
        <w:rPr>
          <w:rFonts w:eastAsia="Calibri"/>
          <w:color w:val="auto"/>
        </w:rPr>
      </w:pPr>
      <w:r w:rsidRPr="00A065B7">
        <w:rPr>
          <w:color w:val="auto"/>
        </w:rPr>
        <w:t>государственная пошлина – 88,9 млн рублей;</w:t>
      </w:r>
    </w:p>
    <w:p w14:paraId="493ECBC8" w14:textId="77777777" w:rsidR="00E1243C" w:rsidRPr="00A065B7" w:rsidRDefault="00E1243C" w:rsidP="00E1243C">
      <w:pPr>
        <w:pStyle w:val="a"/>
        <w:numPr>
          <w:ilvl w:val="0"/>
          <w:numId w:val="9"/>
        </w:numPr>
        <w:jc w:val="both"/>
        <w:rPr>
          <w:rFonts w:eastAsia="Calibri"/>
          <w:color w:val="auto"/>
        </w:rPr>
      </w:pPr>
      <w:r w:rsidRPr="00A065B7">
        <w:rPr>
          <w:color w:val="auto"/>
        </w:rPr>
        <w:t xml:space="preserve">налоги, сборы и регулярные платежи за пользование природными </w:t>
      </w:r>
      <w:r w:rsidRPr="00A065B7">
        <w:rPr>
          <w:color w:val="auto"/>
        </w:rPr>
        <w:br/>
        <w:t>ресурсами – 23,3 млн рублей.</w:t>
      </w:r>
    </w:p>
    <w:p w14:paraId="091CA521" w14:textId="77777777" w:rsidR="00E14031" w:rsidRPr="00034CD9" w:rsidRDefault="00E14031" w:rsidP="00E1243C">
      <w:pPr>
        <w:pStyle w:val="a"/>
        <w:numPr>
          <w:ilvl w:val="0"/>
          <w:numId w:val="0"/>
        </w:numPr>
        <w:ind w:left="1429"/>
        <w:jc w:val="both"/>
        <w:rPr>
          <w:rFonts w:eastAsia="Calibri"/>
          <w:color w:val="FF0000"/>
        </w:rPr>
      </w:pPr>
    </w:p>
    <w:p w14:paraId="2AF7A4ED" w14:textId="77777777" w:rsidR="00E14031" w:rsidRPr="00E4321E" w:rsidRDefault="00E1243C" w:rsidP="00E14031">
      <w:pPr>
        <w:pStyle w:val="a"/>
        <w:numPr>
          <w:ilvl w:val="0"/>
          <w:numId w:val="0"/>
        </w:numPr>
        <w:ind w:right="284"/>
        <w:jc w:val="both"/>
        <w:rPr>
          <w:rFonts w:eastAsia="Calibri"/>
          <w:color w:val="auto"/>
        </w:rPr>
      </w:pPr>
      <w:r>
        <w:rPr>
          <w:noProof/>
          <w:lang w:eastAsia="ru-RU"/>
        </w:rPr>
        <w:drawing>
          <wp:inline distT="0" distB="0" distL="0" distR="0" wp14:anchorId="0EEE8BF4" wp14:editId="151D22BA">
            <wp:extent cx="6648450" cy="3572539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653AFCE3-ED96-4A08-ACB1-B93BC2D24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7EEBF0" w14:textId="77777777" w:rsidR="00E1243C" w:rsidRPr="00A24758" w:rsidRDefault="00E1243C" w:rsidP="00E1243C">
      <w:pPr>
        <w:rPr>
          <w:rFonts w:eastAsia="Calibri"/>
          <w:color w:val="auto"/>
        </w:rPr>
      </w:pPr>
      <w:r w:rsidRPr="00A24758">
        <w:rPr>
          <w:rFonts w:eastAsia="Calibri"/>
          <w:b/>
          <w:i/>
          <w:color w:val="auto"/>
        </w:rPr>
        <w:t xml:space="preserve">Неналоговые доходы </w:t>
      </w:r>
      <w:r w:rsidRPr="00A24758">
        <w:rPr>
          <w:rFonts w:eastAsia="Calibri"/>
          <w:color w:val="auto"/>
        </w:rPr>
        <w:t xml:space="preserve">республиканского бюджета в 2024 году составили </w:t>
      </w:r>
      <w:r w:rsidRPr="00A24758">
        <w:rPr>
          <w:rFonts w:eastAsia="Calibri"/>
          <w:color w:val="auto"/>
        </w:rPr>
        <w:br/>
        <w:t>3 647,0 млн рублей (темп 143,1 %).</w:t>
      </w:r>
    </w:p>
    <w:p w14:paraId="152E6035" w14:textId="09FF5DFC" w:rsidR="00604F31" w:rsidRPr="003E2D6A" w:rsidRDefault="002C0947" w:rsidP="00604F31">
      <w:pPr>
        <w:rPr>
          <w:rFonts w:eastAsia="Calibri"/>
          <w:color w:val="FF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C7344" wp14:editId="6EF6B80B">
                <wp:simplePos x="0" y="0"/>
                <wp:positionH relativeFrom="page">
                  <wp:posOffset>1658620</wp:posOffset>
                </wp:positionH>
                <wp:positionV relativeFrom="paragraph">
                  <wp:posOffset>8890</wp:posOffset>
                </wp:positionV>
                <wp:extent cx="4393565" cy="542290"/>
                <wp:effectExtent l="0" t="0" r="0" b="0"/>
                <wp:wrapNone/>
                <wp:docPr id="71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3565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D08FB" w14:textId="77777777" w:rsidR="00AF524E" w:rsidRPr="00351B88" w:rsidRDefault="00AF524E" w:rsidP="00E1243C">
                            <w:pPr>
                              <w:pStyle w:val="20"/>
                              <w:spacing w:before="0" w:after="0"/>
                            </w:pPr>
                            <w:bookmarkStart w:id="75" w:name="_Toc47539275"/>
                            <w:bookmarkStart w:id="76" w:name="_Toc128735816"/>
                            <w:bookmarkStart w:id="77" w:name="_Toc129858659"/>
                            <w:bookmarkStart w:id="78" w:name="_Toc129882072"/>
                            <w:bookmarkStart w:id="79" w:name="_Toc130394837"/>
                            <w:bookmarkStart w:id="80" w:name="_Toc130809875"/>
                            <w:bookmarkStart w:id="81" w:name="_Toc131001516"/>
                            <w:bookmarkStart w:id="82" w:name="_Toc131085635"/>
                            <w:bookmarkStart w:id="83" w:name="_Toc161837379"/>
                            <w:bookmarkStart w:id="84" w:name="_Toc162008787"/>
                            <w:r w:rsidRPr="00351B88">
                              <w:t>Структура неналоговых доходов</w:t>
                            </w:r>
                            <w:bookmarkEnd w:id="75"/>
                            <w:bookmarkEnd w:id="76"/>
                            <w:bookmarkEnd w:id="77"/>
                            <w:bookmarkEnd w:id="78"/>
                            <w:bookmarkEnd w:id="79"/>
                            <w:bookmarkEnd w:id="80"/>
                            <w:bookmarkEnd w:id="81"/>
                            <w:bookmarkEnd w:id="82"/>
                            <w:bookmarkEnd w:id="83"/>
                            <w:bookmarkEnd w:id="84"/>
                          </w:p>
                          <w:p w14:paraId="5A9E6803" w14:textId="77777777" w:rsidR="00AF524E" w:rsidRPr="00351B88" w:rsidRDefault="00AF524E" w:rsidP="00E1243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51B88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3 647,0 млн рублей</w:t>
                            </w:r>
                          </w:p>
                          <w:p w14:paraId="0A092B56" w14:textId="77777777" w:rsidR="00AF524E" w:rsidRPr="00034CD9" w:rsidRDefault="00AF524E" w:rsidP="001E062E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C7344" id="Прямоугольник 18" o:spid="_x0000_s1027" style="position:absolute;left:0;text-align:left;margin-left:130.6pt;margin-top:.7pt;width:345.95pt;height:4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" filled="f" stroked="f">
                <v:path arrowok="t"/>
                <v:textbox>
                  <w:txbxContent>
                    <w:p w14:paraId="418D08FB" w14:textId="77777777" w:rsidR="00AF524E" w:rsidRPr="00351B88" w:rsidRDefault="00AF524E" w:rsidP="00E1243C">
                      <w:pPr>
                        <w:pStyle w:val="20"/>
                        <w:spacing w:before="0" w:after="0"/>
                      </w:pPr>
                      <w:bookmarkStart w:id="85" w:name="_Toc47539275"/>
                      <w:bookmarkStart w:id="86" w:name="_Toc128735816"/>
                      <w:bookmarkStart w:id="87" w:name="_Toc129858659"/>
                      <w:bookmarkStart w:id="88" w:name="_Toc129882072"/>
                      <w:bookmarkStart w:id="89" w:name="_Toc130394837"/>
                      <w:bookmarkStart w:id="90" w:name="_Toc130809875"/>
                      <w:bookmarkStart w:id="91" w:name="_Toc131001516"/>
                      <w:bookmarkStart w:id="92" w:name="_Toc131085635"/>
                      <w:bookmarkStart w:id="93" w:name="_Toc161837379"/>
                      <w:bookmarkStart w:id="94" w:name="_Toc162008787"/>
                      <w:r w:rsidRPr="00351B88">
                        <w:t>Структура неналоговых доходов</w:t>
                      </w:r>
                      <w:bookmarkEnd w:id="85"/>
                      <w:bookmarkEnd w:id="86"/>
                      <w:bookmarkEnd w:id="87"/>
                      <w:bookmarkEnd w:id="88"/>
                      <w:bookmarkEnd w:id="89"/>
                      <w:bookmarkEnd w:id="90"/>
                      <w:bookmarkEnd w:id="91"/>
                      <w:bookmarkEnd w:id="92"/>
                      <w:bookmarkEnd w:id="93"/>
                      <w:bookmarkEnd w:id="94"/>
                    </w:p>
                    <w:p w14:paraId="5A9E6803" w14:textId="77777777" w:rsidR="00AF524E" w:rsidRPr="00351B88" w:rsidRDefault="00AF524E" w:rsidP="00E1243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351B88">
                        <w:rPr>
                          <w:b/>
                          <w:color w:val="auto"/>
                          <w:sz w:val="32"/>
                          <w:szCs w:val="32"/>
                        </w:rPr>
                        <w:t>3 647,0 млн рублей</w:t>
                      </w:r>
                    </w:p>
                    <w:p w14:paraId="0A092B56" w14:textId="77777777" w:rsidR="00AF524E" w:rsidRPr="00034CD9" w:rsidRDefault="00AF524E" w:rsidP="001E062E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2D9B36" w14:textId="77777777" w:rsidR="002D3C28" w:rsidRPr="003E2D6A" w:rsidRDefault="002D3C28" w:rsidP="00604F31">
      <w:pPr>
        <w:rPr>
          <w:rFonts w:eastAsia="Calibri"/>
          <w:color w:val="FF0000"/>
        </w:rPr>
      </w:pPr>
    </w:p>
    <w:p w14:paraId="03A824D0" w14:textId="77777777" w:rsidR="002D3C28" w:rsidRPr="003E2D6A" w:rsidRDefault="002D3C28" w:rsidP="00621FB5">
      <w:pPr>
        <w:ind w:firstLine="0"/>
        <w:rPr>
          <w:noProof/>
          <w:color w:val="FF0000"/>
          <w:lang w:eastAsia="ru-RU"/>
        </w:rPr>
      </w:pPr>
    </w:p>
    <w:tbl>
      <w:tblPr>
        <w:tblStyle w:val="-261"/>
        <w:tblW w:w="0" w:type="auto"/>
        <w:tblInd w:w="250" w:type="dxa"/>
        <w:tblBorders>
          <w:top w:val="double" w:sz="4" w:space="0" w:color="821908" w:themeColor="accent6" w:themeShade="80"/>
          <w:left w:val="double" w:sz="4" w:space="0" w:color="821908" w:themeColor="accent6" w:themeShade="80"/>
          <w:bottom w:val="double" w:sz="4" w:space="0" w:color="821908" w:themeColor="accent6" w:themeShade="80"/>
          <w:right w:val="double" w:sz="4" w:space="0" w:color="821908" w:themeColor="accent6" w:themeShade="80"/>
          <w:insideH w:val="double" w:sz="4" w:space="0" w:color="821908" w:themeColor="accent6" w:themeShade="80"/>
          <w:insideV w:val="double" w:sz="4" w:space="0" w:color="821908" w:themeColor="accent6" w:themeShade="80"/>
        </w:tblBorders>
        <w:tblLook w:val="04A0" w:firstRow="1" w:lastRow="0" w:firstColumn="1" w:lastColumn="0" w:noHBand="0" w:noVBand="1"/>
      </w:tblPr>
      <w:tblGrid>
        <w:gridCol w:w="8666"/>
        <w:gridCol w:w="1544"/>
      </w:tblGrid>
      <w:tr w:rsidR="00E1243C" w:rsidRPr="00BA400E" w14:paraId="36414B11" w14:textId="77777777" w:rsidTr="0032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F6B9" w:themeFill="accent3" w:themeFillTint="66"/>
            <w:vAlign w:val="center"/>
          </w:tcPr>
          <w:p w14:paraId="6498E9E5" w14:textId="77777777" w:rsidR="00E1243C" w:rsidRPr="008729C0" w:rsidRDefault="00E1243C" w:rsidP="00997CA7">
            <w:pPr>
              <w:ind w:firstLine="0"/>
              <w:rPr>
                <w:noProof/>
                <w:lang w:eastAsia="ru-RU"/>
              </w:rPr>
            </w:pPr>
            <w:r w:rsidRPr="008729C0">
              <w:rPr>
                <w:noProof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F6B9" w:themeFill="accent3" w:themeFillTint="66"/>
            <w:vAlign w:val="center"/>
          </w:tcPr>
          <w:p w14:paraId="5951E815" w14:textId="77777777" w:rsidR="00E1243C" w:rsidRPr="008729C0" w:rsidRDefault="00E1243C" w:rsidP="00997CA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1 994,4</w:t>
            </w:r>
          </w:p>
        </w:tc>
      </w:tr>
      <w:tr w:rsidR="00E1243C" w:rsidRPr="00BA400E" w14:paraId="0B806AAF" w14:textId="77777777" w:rsidTr="00997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14:paraId="01E99210" w14:textId="77777777" w:rsidR="00E1243C" w:rsidRPr="008729C0" w:rsidRDefault="00E1243C" w:rsidP="00997CA7">
            <w:pPr>
              <w:ind w:firstLine="0"/>
              <w:rPr>
                <w:noProof/>
                <w:lang w:eastAsia="ru-RU"/>
              </w:rPr>
            </w:pPr>
            <w:r w:rsidRPr="008729C0">
              <w:rPr>
                <w:noProof/>
                <w:lang w:eastAsia="ru-RU"/>
              </w:rPr>
              <w:t xml:space="preserve">Штрафы, санкции, возмещение ущерба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8951CD7" w14:textId="77777777" w:rsidR="00E1243C" w:rsidRPr="008729C0" w:rsidRDefault="00E1243C" w:rsidP="00997CA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1 199,0</w:t>
            </w:r>
          </w:p>
        </w:tc>
      </w:tr>
      <w:tr w:rsidR="00E1243C" w:rsidRPr="00BA400E" w14:paraId="0437F0B5" w14:textId="77777777" w:rsidTr="003261B0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DBF6B9" w:themeFill="accent3" w:themeFillTint="66"/>
            <w:vAlign w:val="center"/>
          </w:tcPr>
          <w:p w14:paraId="58896875" w14:textId="77777777" w:rsidR="00E1243C" w:rsidRPr="008729C0" w:rsidRDefault="00E1243C" w:rsidP="00997CA7">
            <w:pPr>
              <w:ind w:firstLine="0"/>
              <w:rPr>
                <w:noProof/>
                <w:lang w:eastAsia="ru-RU"/>
              </w:rPr>
            </w:pPr>
            <w:r w:rsidRPr="008729C0">
              <w:rPr>
                <w:noProof/>
                <w:lang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554" w:type="dxa"/>
            <w:shd w:val="clear" w:color="auto" w:fill="DBF6B9" w:themeFill="accent3" w:themeFillTint="66"/>
            <w:vAlign w:val="center"/>
          </w:tcPr>
          <w:p w14:paraId="2A7922C7" w14:textId="77777777" w:rsidR="00E1243C" w:rsidRPr="00C35B4B" w:rsidRDefault="00E1243C" w:rsidP="00997CA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388,1</w:t>
            </w:r>
          </w:p>
        </w:tc>
      </w:tr>
      <w:tr w:rsidR="00E1243C" w:rsidRPr="00BA400E" w14:paraId="26D4505A" w14:textId="77777777" w:rsidTr="00997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14:paraId="7119FD02" w14:textId="77777777" w:rsidR="00E1243C" w:rsidRPr="008729C0" w:rsidRDefault="00E1243C" w:rsidP="00997CA7">
            <w:pPr>
              <w:ind w:firstLine="0"/>
              <w:rPr>
                <w:noProof/>
                <w:lang w:eastAsia="ru-RU"/>
              </w:rPr>
            </w:pPr>
            <w:r w:rsidRPr="008729C0">
              <w:rPr>
                <w:noProof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D0C2AD8" w14:textId="77777777" w:rsidR="00E1243C" w:rsidRPr="008729C0" w:rsidRDefault="00E1243C" w:rsidP="00997CA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52,6</w:t>
            </w:r>
          </w:p>
        </w:tc>
      </w:tr>
      <w:tr w:rsidR="00E1243C" w:rsidRPr="00BA400E" w14:paraId="640EE598" w14:textId="77777777" w:rsidTr="003261B0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DBF6B9" w:themeFill="accent3" w:themeFillTint="66"/>
            <w:vAlign w:val="center"/>
          </w:tcPr>
          <w:p w14:paraId="3A1B42CB" w14:textId="77777777" w:rsidR="00E1243C" w:rsidRPr="008729C0" w:rsidRDefault="00E1243C" w:rsidP="00997CA7">
            <w:pPr>
              <w:ind w:firstLine="0"/>
              <w:rPr>
                <w:noProof/>
                <w:lang w:eastAsia="ru-RU"/>
              </w:rPr>
            </w:pPr>
            <w:r w:rsidRPr="008729C0">
              <w:rPr>
                <w:noProof/>
                <w:lang w:eastAsia="ru-RU"/>
              </w:rPr>
              <w:t xml:space="preserve">Прочие неналоговые доходы </w:t>
            </w:r>
          </w:p>
        </w:tc>
        <w:tc>
          <w:tcPr>
            <w:tcW w:w="1554" w:type="dxa"/>
            <w:shd w:val="clear" w:color="auto" w:fill="DBF6B9" w:themeFill="accent3" w:themeFillTint="66"/>
            <w:vAlign w:val="center"/>
          </w:tcPr>
          <w:p w14:paraId="42DE4521" w14:textId="77777777" w:rsidR="00E1243C" w:rsidRDefault="00E1243C" w:rsidP="00997CA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8,9</w:t>
            </w:r>
          </w:p>
        </w:tc>
      </w:tr>
      <w:tr w:rsidR="00E1243C" w:rsidRPr="00BA400E" w14:paraId="5B99D377" w14:textId="77777777" w:rsidTr="00997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14:paraId="2A8AD38F" w14:textId="77777777" w:rsidR="00E1243C" w:rsidRPr="008729C0" w:rsidRDefault="00E1243C" w:rsidP="00997CA7">
            <w:pPr>
              <w:ind w:firstLine="0"/>
              <w:rPr>
                <w:noProof/>
                <w:lang w:eastAsia="ru-RU"/>
              </w:rPr>
            </w:pPr>
            <w:r w:rsidRPr="008729C0">
              <w:rPr>
                <w:noProof/>
                <w:lang w:eastAsia="ru-RU"/>
              </w:rPr>
              <w:t xml:space="preserve">Платежи при пользовании природными ресурсами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AE2D889" w14:textId="77777777" w:rsidR="00E1243C" w:rsidRPr="008729C0" w:rsidRDefault="00E1243C" w:rsidP="00997CA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4,0</w:t>
            </w:r>
          </w:p>
        </w:tc>
      </w:tr>
      <w:tr w:rsidR="00E1243C" w:rsidRPr="00BA400E" w14:paraId="6F52AB05" w14:textId="77777777" w:rsidTr="003261B0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DBF6B9" w:themeFill="accent3" w:themeFillTint="66"/>
            <w:vAlign w:val="center"/>
          </w:tcPr>
          <w:p w14:paraId="375251F3" w14:textId="77777777" w:rsidR="00E1243C" w:rsidRPr="008729C0" w:rsidRDefault="00E1243C" w:rsidP="00997CA7">
            <w:pPr>
              <w:ind w:firstLine="0"/>
              <w:rPr>
                <w:noProof/>
                <w:lang w:eastAsia="ru-RU"/>
              </w:rPr>
            </w:pPr>
            <w:r w:rsidRPr="008729C0">
              <w:rPr>
                <w:noProof/>
                <w:lang w:eastAsia="ru-RU"/>
              </w:rPr>
              <w:t xml:space="preserve">Административные платежи и сборы </w:t>
            </w:r>
          </w:p>
        </w:tc>
        <w:tc>
          <w:tcPr>
            <w:tcW w:w="1554" w:type="dxa"/>
            <w:shd w:val="clear" w:color="auto" w:fill="DBF6B9" w:themeFill="accent3" w:themeFillTint="66"/>
            <w:vAlign w:val="center"/>
          </w:tcPr>
          <w:p w14:paraId="6C1EA952" w14:textId="77777777" w:rsidR="00E1243C" w:rsidRPr="008729C0" w:rsidRDefault="00E1243C" w:rsidP="00997CA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0,03</w:t>
            </w:r>
          </w:p>
        </w:tc>
      </w:tr>
    </w:tbl>
    <w:p w14:paraId="5177BEF3" w14:textId="77777777" w:rsidR="008B5AE0" w:rsidRPr="0056225B" w:rsidRDefault="008B5AE0" w:rsidP="00621FB5">
      <w:pPr>
        <w:ind w:firstLine="0"/>
        <w:rPr>
          <w:noProof/>
          <w:sz w:val="16"/>
          <w:szCs w:val="16"/>
          <w:lang w:eastAsia="ru-RU"/>
        </w:rPr>
      </w:pPr>
    </w:p>
    <w:p w14:paraId="0C165249" w14:textId="77777777" w:rsidR="00CF47A2" w:rsidRDefault="00CF47A2" w:rsidP="00E1243C">
      <w:pPr>
        <w:ind w:firstLine="708"/>
        <w:rPr>
          <w:rFonts w:eastAsia="Calibri"/>
          <w:b/>
          <w:i/>
          <w:color w:val="auto"/>
        </w:rPr>
      </w:pPr>
    </w:p>
    <w:p w14:paraId="732C0C59" w14:textId="77777777" w:rsidR="00CF47A2" w:rsidRDefault="00CF47A2" w:rsidP="00E1243C">
      <w:pPr>
        <w:ind w:firstLine="708"/>
        <w:rPr>
          <w:rFonts w:eastAsia="Calibri"/>
          <w:b/>
          <w:i/>
          <w:color w:val="auto"/>
        </w:rPr>
      </w:pPr>
    </w:p>
    <w:p w14:paraId="70110A7D" w14:textId="77777777" w:rsidR="00CF47A2" w:rsidRDefault="00CF47A2" w:rsidP="00E1243C">
      <w:pPr>
        <w:ind w:firstLine="708"/>
        <w:rPr>
          <w:rFonts w:eastAsia="Calibri"/>
          <w:b/>
          <w:i/>
          <w:color w:val="auto"/>
        </w:rPr>
      </w:pPr>
    </w:p>
    <w:p w14:paraId="020037C3" w14:textId="77777777" w:rsidR="00CF47A2" w:rsidRDefault="00CF47A2" w:rsidP="00E1243C">
      <w:pPr>
        <w:ind w:firstLine="708"/>
        <w:rPr>
          <w:rFonts w:eastAsia="Calibri"/>
          <w:b/>
          <w:i/>
          <w:color w:val="auto"/>
        </w:rPr>
      </w:pPr>
    </w:p>
    <w:p w14:paraId="79E54BE9" w14:textId="720971F9" w:rsidR="00E1243C" w:rsidRPr="00B83E58" w:rsidRDefault="00E1243C" w:rsidP="00E1243C">
      <w:pPr>
        <w:ind w:firstLine="708"/>
        <w:rPr>
          <w:rFonts w:eastAsia="Calibri"/>
          <w:color w:val="auto"/>
        </w:rPr>
      </w:pPr>
      <w:r w:rsidRPr="00B83E58">
        <w:rPr>
          <w:rFonts w:eastAsia="Calibri"/>
          <w:b/>
          <w:i/>
          <w:color w:val="auto"/>
        </w:rPr>
        <w:t>Безвозмездные поступления</w:t>
      </w:r>
      <w:r w:rsidRPr="00B83E58">
        <w:rPr>
          <w:rFonts w:eastAsia="Calibri"/>
          <w:color w:val="auto"/>
        </w:rPr>
        <w:t xml:space="preserve"> в республиканский бюджет составили 41 288,5 млн рублей при плане 40 988,3 млн рублей (исполнение составило 100,7 %), которые сложились за счет:</w:t>
      </w:r>
    </w:p>
    <w:p w14:paraId="6C9E2F77" w14:textId="77777777" w:rsidR="00E1243C" w:rsidRPr="00A25189" w:rsidRDefault="00E1243C" w:rsidP="00E1243C">
      <w:pPr>
        <w:pStyle w:val="1"/>
        <w:rPr>
          <w:rFonts w:eastAsia="Calibri"/>
          <w:color w:val="auto"/>
        </w:rPr>
      </w:pPr>
      <w:r w:rsidRPr="00A25189">
        <w:rPr>
          <w:rFonts w:eastAsia="Calibri"/>
          <w:b/>
          <w:i/>
          <w:color w:val="auto"/>
        </w:rPr>
        <w:t xml:space="preserve">дотаций </w:t>
      </w:r>
      <w:r w:rsidRPr="00A25189">
        <w:rPr>
          <w:rFonts w:eastAsia="Calibri"/>
          <w:color w:val="auto"/>
        </w:rPr>
        <w:t>в размере 21 748,9 млн рублей, темп роста 113,7 %;</w:t>
      </w:r>
    </w:p>
    <w:p w14:paraId="0B8FD1F5" w14:textId="77777777" w:rsidR="00E1243C" w:rsidRPr="00A25189" w:rsidRDefault="00E1243C" w:rsidP="00E1243C">
      <w:pPr>
        <w:pStyle w:val="1"/>
        <w:rPr>
          <w:rFonts w:eastAsia="Calibri"/>
          <w:color w:val="auto"/>
        </w:rPr>
      </w:pPr>
      <w:r w:rsidRPr="00A25189">
        <w:rPr>
          <w:rFonts w:eastAsia="Calibri"/>
          <w:b/>
          <w:i/>
          <w:color w:val="auto"/>
        </w:rPr>
        <w:t xml:space="preserve">субсидий </w:t>
      </w:r>
      <w:r w:rsidRPr="00A25189">
        <w:rPr>
          <w:rFonts w:eastAsia="Calibri"/>
          <w:color w:val="auto"/>
        </w:rPr>
        <w:t>– 17 326,0 млн рублей темп роста 78,3 %;</w:t>
      </w:r>
    </w:p>
    <w:p w14:paraId="277662DF" w14:textId="77777777" w:rsidR="00E1243C" w:rsidRPr="00A25189" w:rsidRDefault="00E1243C" w:rsidP="00E1243C">
      <w:pPr>
        <w:pStyle w:val="1"/>
        <w:rPr>
          <w:rFonts w:eastAsia="Calibri"/>
          <w:color w:val="auto"/>
        </w:rPr>
      </w:pPr>
      <w:r w:rsidRPr="00A25189">
        <w:rPr>
          <w:rFonts w:eastAsia="Calibri"/>
          <w:b/>
          <w:i/>
          <w:color w:val="auto"/>
        </w:rPr>
        <w:t xml:space="preserve">субвенций </w:t>
      </w:r>
      <w:r w:rsidRPr="00A25189">
        <w:rPr>
          <w:rFonts w:eastAsia="Calibri"/>
          <w:color w:val="auto"/>
        </w:rPr>
        <w:t>– 1 247,1 млн рублей, темп 93,8 %;</w:t>
      </w:r>
    </w:p>
    <w:p w14:paraId="03BBC7B4" w14:textId="77777777" w:rsidR="00CD5A1B" w:rsidRPr="00034CD9" w:rsidRDefault="00E1243C" w:rsidP="00E1243C">
      <w:pPr>
        <w:pStyle w:val="1"/>
        <w:rPr>
          <w:rFonts w:eastAsia="Calibri"/>
          <w:color w:val="FF0000"/>
        </w:rPr>
      </w:pPr>
      <w:r w:rsidRPr="00A25189">
        <w:rPr>
          <w:rFonts w:eastAsia="Calibri"/>
          <w:b/>
          <w:i/>
          <w:color w:val="auto"/>
        </w:rPr>
        <w:t xml:space="preserve">иных межбюджетных трансфертов </w:t>
      </w:r>
      <w:r w:rsidRPr="00A25189">
        <w:rPr>
          <w:rFonts w:eastAsia="Calibri"/>
          <w:color w:val="auto"/>
        </w:rPr>
        <w:t xml:space="preserve">в объеме 828,2 млн рублей, </w:t>
      </w:r>
      <w:r w:rsidRPr="00A25189">
        <w:rPr>
          <w:rFonts w:eastAsia="Calibri"/>
          <w:color w:val="auto"/>
        </w:rPr>
        <w:br/>
        <w:t>темп 44,1 %.</w:t>
      </w:r>
    </w:p>
    <w:p w14:paraId="55E8EAD4" w14:textId="77777777" w:rsidR="00E1243C" w:rsidRPr="00E1243C" w:rsidRDefault="00E1243C" w:rsidP="00E1243C">
      <w:pPr>
        <w:ind w:firstLine="0"/>
        <w:jc w:val="center"/>
        <w:rPr>
          <w:b/>
          <w:bCs/>
          <w:color w:val="auto"/>
        </w:rPr>
      </w:pPr>
      <w:r w:rsidRPr="00E1243C">
        <w:rPr>
          <w:b/>
          <w:bCs/>
          <w:color w:val="auto"/>
        </w:rPr>
        <w:t xml:space="preserve">Состав и структура безвозмездных поступлений </w:t>
      </w:r>
    </w:p>
    <w:p w14:paraId="6385A7D2" w14:textId="77777777" w:rsidR="002D3C28" w:rsidRPr="00E1243C" w:rsidRDefault="00E1243C" w:rsidP="00E1243C">
      <w:pPr>
        <w:ind w:firstLine="0"/>
        <w:jc w:val="center"/>
        <w:rPr>
          <w:b/>
          <w:bCs/>
          <w:color w:val="auto"/>
        </w:rPr>
      </w:pPr>
      <w:r w:rsidRPr="00E1243C">
        <w:rPr>
          <w:b/>
          <w:bCs/>
          <w:color w:val="auto"/>
        </w:rPr>
        <w:t>на 1 января 2025 года, млн рублей</w:t>
      </w:r>
    </w:p>
    <w:p w14:paraId="19841735" w14:textId="77777777" w:rsidR="00EA6296" w:rsidRDefault="00EA6296" w:rsidP="0082617E">
      <w:pPr>
        <w:ind w:firstLine="0"/>
        <w:jc w:val="center"/>
        <w:rPr>
          <w:b/>
          <w:bCs/>
        </w:rPr>
      </w:pPr>
    </w:p>
    <w:p w14:paraId="7B7AFFA7" w14:textId="77777777" w:rsidR="00621FB5" w:rsidRDefault="00E1243C" w:rsidP="0082617E">
      <w:pPr>
        <w:ind w:firstLine="0"/>
        <w:jc w:val="center"/>
        <w:rPr>
          <w:b/>
          <w:bCs/>
          <w:color w:val="auto"/>
        </w:rPr>
      </w:pPr>
      <w:r w:rsidRPr="00806624">
        <w:rPr>
          <w:b/>
          <w:bCs/>
          <w:noProof/>
          <w:lang w:eastAsia="ru-RU"/>
        </w:rPr>
        <w:drawing>
          <wp:inline distT="0" distB="0" distL="0" distR="0" wp14:anchorId="509ED656" wp14:editId="11831611">
            <wp:extent cx="5876925" cy="3609975"/>
            <wp:effectExtent l="0" t="0" r="66675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8AE9ABC" w14:textId="77777777" w:rsidR="00EA6296" w:rsidRPr="00806624" w:rsidRDefault="00EA6296" w:rsidP="0082617E">
      <w:pPr>
        <w:ind w:firstLine="0"/>
        <w:jc w:val="center"/>
        <w:rPr>
          <w:b/>
          <w:bCs/>
          <w:color w:val="auto"/>
        </w:rPr>
      </w:pPr>
    </w:p>
    <w:p w14:paraId="7A19969A" w14:textId="77777777" w:rsidR="00235783" w:rsidRDefault="00235783" w:rsidP="0082617E">
      <w:pPr>
        <w:ind w:firstLine="0"/>
        <w:jc w:val="center"/>
        <w:rPr>
          <w:b/>
          <w:bCs/>
          <w:color w:val="FF0000"/>
        </w:rPr>
      </w:pPr>
    </w:p>
    <w:p w14:paraId="1D72FBE2" w14:textId="77405569" w:rsidR="00F811F4" w:rsidRPr="00CC4824" w:rsidRDefault="00F811F4" w:rsidP="0082617E">
      <w:pPr>
        <w:ind w:firstLine="0"/>
        <w:jc w:val="center"/>
        <w:rPr>
          <w:b/>
          <w:bCs/>
        </w:rPr>
      </w:pPr>
      <w:r w:rsidRPr="00CC4824">
        <w:rPr>
          <w:b/>
          <w:bCs/>
        </w:rPr>
        <w:t xml:space="preserve">ИСПОЛНЕНИЕ ПО </w:t>
      </w:r>
      <w:r w:rsidR="00980BE8" w:rsidRPr="00CC4824">
        <w:rPr>
          <w:b/>
          <w:bCs/>
        </w:rPr>
        <w:t xml:space="preserve">РАСХОДАМ </w:t>
      </w:r>
    </w:p>
    <w:p w14:paraId="5F35E1EB" w14:textId="77777777" w:rsidR="00F811F4" w:rsidRPr="00CC4824" w:rsidRDefault="00F811F4" w:rsidP="0082617E"/>
    <w:p w14:paraId="672700B0" w14:textId="712E95C0" w:rsidR="00CC4824" w:rsidRPr="00CC4824" w:rsidRDefault="00F2577E" w:rsidP="00CC4824">
      <w:pPr>
        <w:spacing w:before="120" w:after="120"/>
        <w:contextualSpacing/>
      </w:pPr>
      <w:r w:rsidRPr="00CC4824">
        <w:t xml:space="preserve">Расходы республиканского бюджета КБР за </w:t>
      </w:r>
      <w:r w:rsidR="00EC1E7D" w:rsidRPr="00CC4824">
        <w:t>202</w:t>
      </w:r>
      <w:r w:rsidR="00235783" w:rsidRPr="00CC4824">
        <w:t>4</w:t>
      </w:r>
      <w:r w:rsidRPr="00CC4824">
        <w:t xml:space="preserve"> год составили </w:t>
      </w:r>
      <w:r w:rsidR="00235783" w:rsidRPr="00CC4824">
        <w:t>63 162,8</w:t>
      </w:r>
      <w:r w:rsidR="003450AF" w:rsidRPr="00CC4824">
        <w:t xml:space="preserve"> млн рублей или 9</w:t>
      </w:r>
      <w:r w:rsidR="00CC4824" w:rsidRPr="00CC4824">
        <w:t>8,9</w:t>
      </w:r>
      <w:r w:rsidRPr="00CC4824">
        <w:t xml:space="preserve"> % от запланированного объема.</w:t>
      </w:r>
      <w:r w:rsidR="00CC4824" w:rsidRPr="00CC4824">
        <w:t xml:space="preserve"> </w:t>
      </w:r>
    </w:p>
    <w:p w14:paraId="3128E5E4" w14:textId="56A7342D" w:rsidR="00F2577E" w:rsidRPr="00CC4824" w:rsidRDefault="00F2577E" w:rsidP="0082617E"/>
    <w:p w14:paraId="0908166D" w14:textId="57749530" w:rsidR="00B03C62" w:rsidRPr="00034CD9" w:rsidRDefault="00B03C62" w:rsidP="00B03C62">
      <w:pPr>
        <w:contextualSpacing/>
        <w:rPr>
          <w:rFonts w:eastAsia="Calibri"/>
          <w:color w:val="FF0000"/>
          <w:sz w:val="22"/>
          <w:szCs w:val="22"/>
        </w:rPr>
      </w:pPr>
      <w:bookmarkStart w:id="95" w:name="_Toc482701244"/>
      <w:r w:rsidRPr="00CC4824">
        <w:rPr>
          <w:rFonts w:eastAsia="Calibri"/>
          <w:b/>
          <w:i/>
        </w:rPr>
        <w:t>Социально-значимые и первоочередные расходы</w:t>
      </w:r>
      <w:r w:rsidRPr="00CC4824">
        <w:rPr>
          <w:rFonts w:eastAsia="Calibri"/>
        </w:rPr>
        <w:t xml:space="preserve"> составили </w:t>
      </w:r>
      <w:r w:rsidR="00CC4824" w:rsidRPr="00CC4824">
        <w:rPr>
          <w:rFonts w:eastAsia="Calibri"/>
        </w:rPr>
        <w:t>43</w:t>
      </w:r>
      <w:r w:rsidR="005476CB">
        <w:rPr>
          <w:rFonts w:eastAsia="Calibri"/>
        </w:rPr>
        <w:t> </w:t>
      </w:r>
      <w:r w:rsidR="005476CB" w:rsidRPr="005476CB">
        <w:rPr>
          <w:rFonts w:eastAsia="Calibri"/>
        </w:rPr>
        <w:t>609</w:t>
      </w:r>
      <w:r w:rsidR="005476CB">
        <w:rPr>
          <w:rFonts w:eastAsia="Calibri"/>
        </w:rPr>
        <w:t xml:space="preserve">,1 </w:t>
      </w:r>
      <w:r w:rsidRPr="00CC4824">
        <w:rPr>
          <w:rFonts w:eastAsia="Calibri"/>
        </w:rPr>
        <w:t xml:space="preserve">млн рублей или </w:t>
      </w:r>
      <w:r w:rsidR="00CC4824" w:rsidRPr="00CC4824">
        <w:rPr>
          <w:rFonts w:eastAsia="Calibri"/>
        </w:rPr>
        <w:t>6</w:t>
      </w:r>
      <w:r w:rsidR="005476CB">
        <w:rPr>
          <w:rFonts w:eastAsia="Calibri"/>
        </w:rPr>
        <w:t>9</w:t>
      </w:r>
      <w:r w:rsidRPr="00CC4824">
        <w:rPr>
          <w:rFonts w:eastAsia="Calibri"/>
        </w:rPr>
        <w:t xml:space="preserve"> % от общей суммы произведенных расходо</w:t>
      </w:r>
      <w:r w:rsidRPr="005F5619">
        <w:rPr>
          <w:rFonts w:eastAsia="Calibri"/>
        </w:rPr>
        <w:t>в, с темпом к исполнению за 202</w:t>
      </w:r>
      <w:r w:rsidR="005F5619">
        <w:rPr>
          <w:rFonts w:eastAsia="Calibri"/>
        </w:rPr>
        <w:t>3</w:t>
      </w:r>
      <w:r w:rsidRPr="005F5619">
        <w:rPr>
          <w:rFonts w:eastAsia="Calibri"/>
        </w:rPr>
        <w:t xml:space="preserve"> год 9</w:t>
      </w:r>
      <w:r w:rsidR="005476CB" w:rsidRPr="005476CB">
        <w:rPr>
          <w:rFonts w:eastAsia="Calibri"/>
        </w:rPr>
        <w:t>8</w:t>
      </w:r>
      <w:r w:rsidRPr="005F5619">
        <w:rPr>
          <w:rFonts w:eastAsia="Calibri"/>
        </w:rPr>
        <w:t xml:space="preserve"> %</w:t>
      </w:r>
      <w:r w:rsidR="003A6F72" w:rsidRPr="00034CD9">
        <w:rPr>
          <w:color w:val="FF0000"/>
        </w:rPr>
        <w:t xml:space="preserve"> </w:t>
      </w:r>
      <w:r w:rsidRPr="005F5619">
        <w:rPr>
          <w:rFonts w:eastAsia="Calibri"/>
          <w:bCs/>
        </w:rPr>
        <w:t>и сложились следующим образом:</w:t>
      </w:r>
    </w:p>
    <w:p w14:paraId="7B3DB2D7" w14:textId="77777777" w:rsidR="005F5619" w:rsidRPr="005F5619" w:rsidRDefault="005F5619" w:rsidP="004550AD">
      <w:pPr>
        <w:pStyle w:val="af"/>
        <w:ind w:left="0"/>
        <w:contextualSpacing/>
        <w:rPr>
          <w:rFonts w:eastAsia="Calibri"/>
          <w:sz w:val="28"/>
          <w:szCs w:val="28"/>
          <w:lang w:eastAsia="en-US"/>
        </w:rPr>
      </w:pPr>
      <w:r w:rsidRPr="005F5619">
        <w:rPr>
          <w:rFonts w:eastAsia="Calibri"/>
          <w:sz w:val="28"/>
          <w:szCs w:val="28"/>
          <w:lang w:eastAsia="en-US"/>
        </w:rPr>
        <w:t>- оплата труда – 9 539,5 млн рублей (темп роста 119,7 %);</w:t>
      </w:r>
    </w:p>
    <w:p w14:paraId="0902DE91" w14:textId="77777777" w:rsidR="005F5619" w:rsidRPr="005F5619" w:rsidRDefault="005F5619" w:rsidP="004550AD">
      <w:pPr>
        <w:pStyle w:val="af"/>
        <w:ind w:left="0"/>
        <w:contextualSpacing/>
        <w:rPr>
          <w:rFonts w:eastAsia="Calibri"/>
          <w:sz w:val="28"/>
          <w:szCs w:val="28"/>
          <w:lang w:eastAsia="en-US"/>
        </w:rPr>
      </w:pPr>
      <w:r w:rsidRPr="005F5619">
        <w:rPr>
          <w:rFonts w:eastAsia="Calibri"/>
          <w:sz w:val="28"/>
          <w:szCs w:val="28"/>
          <w:lang w:eastAsia="en-US"/>
        </w:rPr>
        <w:t>- социальные выплаты населению – 9 365,6 млн рублей (темп 70,1 %), в том числе расходы на финансовое обеспечение специальных социальных выплат, установленных указами Главы республики для участников СВО и членов их семей 2 454,2 млн рублей;</w:t>
      </w:r>
    </w:p>
    <w:p w14:paraId="4E2108E9" w14:textId="77777777" w:rsidR="005F5619" w:rsidRPr="005F5619" w:rsidRDefault="005F5619" w:rsidP="004550AD">
      <w:pPr>
        <w:pStyle w:val="af"/>
        <w:ind w:left="0"/>
        <w:contextualSpacing/>
        <w:rPr>
          <w:rFonts w:eastAsia="Calibri"/>
          <w:sz w:val="28"/>
          <w:szCs w:val="28"/>
          <w:lang w:eastAsia="en-US"/>
        </w:rPr>
      </w:pPr>
      <w:r w:rsidRPr="005F5619">
        <w:rPr>
          <w:rFonts w:eastAsia="Calibri"/>
          <w:sz w:val="28"/>
          <w:szCs w:val="28"/>
          <w:lang w:eastAsia="en-US"/>
        </w:rPr>
        <w:t>- приобретение медикаментов – 1 542,6 млн рублей (темп роста 110,8 %);</w:t>
      </w:r>
    </w:p>
    <w:p w14:paraId="645FC13D" w14:textId="77777777" w:rsidR="005F5619" w:rsidRPr="005F5619" w:rsidRDefault="005F5619" w:rsidP="004550AD">
      <w:pPr>
        <w:pStyle w:val="af"/>
        <w:ind w:left="0"/>
        <w:contextualSpacing/>
        <w:rPr>
          <w:rFonts w:eastAsia="Calibri"/>
          <w:sz w:val="28"/>
          <w:szCs w:val="28"/>
          <w:lang w:eastAsia="en-US"/>
        </w:rPr>
      </w:pPr>
      <w:r w:rsidRPr="005F5619">
        <w:rPr>
          <w:rFonts w:eastAsia="Calibri"/>
          <w:sz w:val="28"/>
          <w:szCs w:val="28"/>
          <w:lang w:eastAsia="en-US"/>
        </w:rPr>
        <w:t>- питание – 305,8 млн рублей (темп роста 108,2 %);</w:t>
      </w:r>
    </w:p>
    <w:p w14:paraId="48851EE5" w14:textId="77777777" w:rsidR="005F5619" w:rsidRPr="005F5619" w:rsidRDefault="005F5619" w:rsidP="004550AD">
      <w:pPr>
        <w:pStyle w:val="af"/>
        <w:ind w:left="0"/>
        <w:contextualSpacing/>
        <w:rPr>
          <w:rFonts w:eastAsia="Calibri"/>
          <w:sz w:val="28"/>
          <w:szCs w:val="28"/>
          <w:lang w:eastAsia="en-US"/>
        </w:rPr>
      </w:pPr>
      <w:r w:rsidRPr="005F5619">
        <w:rPr>
          <w:rFonts w:eastAsia="Calibri"/>
          <w:sz w:val="28"/>
          <w:szCs w:val="28"/>
          <w:lang w:eastAsia="en-US"/>
        </w:rPr>
        <w:t>- предоставление межбюджетных трансфертов бюджетам муниципальных образований – 17 586,5 млн рублей (темп роста 107,2 %), в том числе субвенция на зарплату 9 754,1 млн рулей (темп роста 111,4 %);</w:t>
      </w:r>
    </w:p>
    <w:p w14:paraId="35FF19F3" w14:textId="77777777" w:rsidR="005F5619" w:rsidRPr="005F5619" w:rsidRDefault="005F5619" w:rsidP="004550AD">
      <w:pPr>
        <w:pStyle w:val="af"/>
        <w:ind w:left="0"/>
        <w:contextualSpacing/>
        <w:rPr>
          <w:rFonts w:eastAsia="Calibri"/>
          <w:sz w:val="28"/>
          <w:szCs w:val="28"/>
          <w:lang w:eastAsia="en-US"/>
        </w:rPr>
      </w:pPr>
      <w:r w:rsidRPr="005F5619">
        <w:rPr>
          <w:rFonts w:eastAsia="Calibri"/>
          <w:sz w:val="28"/>
          <w:szCs w:val="28"/>
          <w:lang w:eastAsia="en-US"/>
        </w:rPr>
        <w:t>- оплата коммунальных услуг и связи – 607,5 млн рублей (темп роста 109,5 %);</w:t>
      </w:r>
    </w:p>
    <w:p w14:paraId="16934231" w14:textId="77777777" w:rsidR="005F5619" w:rsidRPr="005F5619" w:rsidRDefault="005F5619" w:rsidP="004550AD">
      <w:pPr>
        <w:pStyle w:val="af"/>
        <w:ind w:left="0"/>
        <w:contextualSpacing/>
        <w:rPr>
          <w:rFonts w:eastAsia="Calibri"/>
          <w:sz w:val="28"/>
          <w:szCs w:val="28"/>
          <w:lang w:eastAsia="en-US"/>
        </w:rPr>
      </w:pPr>
      <w:r w:rsidRPr="005F5619">
        <w:rPr>
          <w:rFonts w:eastAsia="Calibri"/>
          <w:sz w:val="28"/>
          <w:szCs w:val="28"/>
          <w:lang w:eastAsia="en-US"/>
        </w:rPr>
        <w:t xml:space="preserve">- обязательное медицинское страхование неработающего населения </w:t>
      </w:r>
      <w:r w:rsidRPr="005F5619">
        <w:rPr>
          <w:rFonts w:eastAsia="Calibri"/>
          <w:sz w:val="28"/>
          <w:szCs w:val="28"/>
          <w:lang w:eastAsia="en-US"/>
        </w:rPr>
        <w:br/>
        <w:t>- 4 661,6 млн рублей (темп роста 104,8 %).</w:t>
      </w:r>
    </w:p>
    <w:p w14:paraId="379D7B46" w14:textId="77777777" w:rsidR="002D3C28" w:rsidRPr="00034CD9" w:rsidRDefault="002D3C28" w:rsidP="005F5619">
      <w:pPr>
        <w:ind w:firstLine="0"/>
        <w:jc w:val="center"/>
        <w:rPr>
          <w:b/>
          <w:bCs/>
          <w:color w:val="FF0000"/>
        </w:rPr>
      </w:pPr>
    </w:p>
    <w:p w14:paraId="2F8EFEED" w14:textId="1E298DC3" w:rsidR="00F811F4" w:rsidRDefault="00F811F4" w:rsidP="00E155DD">
      <w:pPr>
        <w:ind w:firstLine="0"/>
        <w:jc w:val="center"/>
        <w:rPr>
          <w:b/>
          <w:bCs/>
        </w:rPr>
      </w:pPr>
      <w:r w:rsidRPr="005476CB">
        <w:rPr>
          <w:b/>
          <w:bCs/>
        </w:rPr>
        <w:t>Структура социально-значимых и первоочередных расходов</w:t>
      </w:r>
      <w:bookmarkEnd w:id="95"/>
      <w:r w:rsidRPr="005476CB">
        <w:rPr>
          <w:b/>
          <w:bCs/>
        </w:rPr>
        <w:t xml:space="preserve"> республиканского бюджета КБР за 202</w:t>
      </w:r>
      <w:r w:rsidR="005476CB" w:rsidRPr="005476CB">
        <w:rPr>
          <w:b/>
          <w:bCs/>
        </w:rPr>
        <w:t>4</w:t>
      </w:r>
      <w:r w:rsidRPr="005476CB">
        <w:rPr>
          <w:b/>
          <w:bCs/>
        </w:rPr>
        <w:t xml:space="preserve"> год</w:t>
      </w:r>
    </w:p>
    <w:p w14:paraId="3B30337B" w14:textId="77777777" w:rsidR="00E34A72" w:rsidRPr="005476CB" w:rsidRDefault="00E34A72" w:rsidP="00E155DD">
      <w:pPr>
        <w:ind w:firstLine="0"/>
        <w:jc w:val="center"/>
        <w:rPr>
          <w:b/>
          <w:bCs/>
        </w:rPr>
      </w:pPr>
    </w:p>
    <w:p w14:paraId="1BD6A36A" w14:textId="77777777" w:rsidR="00F811F4" w:rsidRPr="00806624" w:rsidRDefault="009968E8" w:rsidP="009968E8">
      <w:pPr>
        <w:pStyle w:val="ab"/>
        <w:ind w:firstLine="0"/>
      </w:pPr>
      <w:r w:rsidRPr="00806624">
        <w:rPr>
          <w:noProof/>
          <w:lang w:eastAsia="ru-RU"/>
        </w:rPr>
        <w:drawing>
          <wp:inline distT="0" distB="0" distL="0" distR="0" wp14:anchorId="028A2B04" wp14:editId="6DBD07E4">
            <wp:extent cx="6686550" cy="4486275"/>
            <wp:effectExtent l="0" t="0" r="0" b="0"/>
            <wp:docPr id="76" name="Диаграмма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95F2600" w14:textId="77777777" w:rsidR="00E34A72" w:rsidRDefault="00E34A72" w:rsidP="00B03C62">
      <w:pPr>
        <w:widowControl/>
        <w:tabs>
          <w:tab w:val="left" w:pos="993"/>
        </w:tabs>
        <w:spacing w:after="120"/>
        <w:contextualSpacing/>
        <w:rPr>
          <w:rFonts w:eastAsia="Calibri"/>
          <w:bCs/>
        </w:rPr>
      </w:pPr>
    </w:p>
    <w:p w14:paraId="1447E0C5" w14:textId="6B73826B" w:rsidR="00B03C62" w:rsidRPr="004550AD" w:rsidRDefault="00B03C62" w:rsidP="00B03C62">
      <w:pPr>
        <w:widowControl/>
        <w:tabs>
          <w:tab w:val="left" w:pos="993"/>
        </w:tabs>
        <w:spacing w:after="120"/>
        <w:contextualSpacing/>
        <w:rPr>
          <w:rFonts w:eastAsia="Calibri"/>
          <w:bCs/>
        </w:rPr>
      </w:pPr>
      <w:r w:rsidRPr="004550AD">
        <w:rPr>
          <w:rFonts w:eastAsia="Calibri"/>
          <w:bCs/>
        </w:rPr>
        <w:t xml:space="preserve">Фактические расходы дорожного фонда составили </w:t>
      </w:r>
      <w:r w:rsidR="004550AD" w:rsidRPr="004550AD">
        <w:rPr>
          <w:rFonts w:eastAsia="Calibri"/>
          <w:bCs/>
        </w:rPr>
        <w:t>5 627,2</w:t>
      </w:r>
      <w:r w:rsidRPr="004550AD">
        <w:rPr>
          <w:rFonts w:eastAsia="Calibri"/>
          <w:bCs/>
        </w:rPr>
        <w:t xml:space="preserve"> млн рублей.</w:t>
      </w:r>
    </w:p>
    <w:p w14:paraId="24868F14" w14:textId="73EB7569" w:rsidR="00B03C62" w:rsidRPr="00034CD9" w:rsidRDefault="00B03C62" w:rsidP="00B03C62">
      <w:pPr>
        <w:widowControl/>
        <w:tabs>
          <w:tab w:val="left" w:pos="993"/>
        </w:tabs>
        <w:spacing w:after="120"/>
        <w:contextualSpacing/>
        <w:rPr>
          <w:rFonts w:eastAsia="Calibri"/>
          <w:bCs/>
          <w:color w:val="FF0000"/>
        </w:rPr>
      </w:pPr>
      <w:r w:rsidRPr="004550AD">
        <w:rPr>
          <w:rFonts w:eastAsia="Calibri"/>
          <w:bCs/>
        </w:rPr>
        <w:t>Расходы на объекты капитальных вложений за 202</w:t>
      </w:r>
      <w:r w:rsidR="004550AD" w:rsidRPr="004550AD">
        <w:rPr>
          <w:rFonts w:eastAsia="Calibri"/>
          <w:bCs/>
        </w:rPr>
        <w:t>4</w:t>
      </w:r>
      <w:r w:rsidRPr="004550AD">
        <w:rPr>
          <w:rFonts w:eastAsia="Calibri"/>
          <w:bCs/>
        </w:rPr>
        <w:t xml:space="preserve"> год </w:t>
      </w:r>
      <w:r w:rsidR="004550AD" w:rsidRPr="004550AD">
        <w:rPr>
          <w:rFonts w:eastAsia="Calibri"/>
          <w:bCs/>
        </w:rPr>
        <w:t>–</w:t>
      </w:r>
      <w:r w:rsidRPr="004550AD">
        <w:rPr>
          <w:rFonts w:eastAsia="Calibri"/>
          <w:bCs/>
        </w:rPr>
        <w:t xml:space="preserve"> </w:t>
      </w:r>
      <w:r w:rsidR="004550AD" w:rsidRPr="004550AD">
        <w:rPr>
          <w:rFonts w:eastAsia="Calibri"/>
          <w:bCs/>
        </w:rPr>
        <w:t>6 441,4</w:t>
      </w:r>
      <w:r w:rsidRPr="004550AD">
        <w:rPr>
          <w:rFonts w:eastAsia="Calibri"/>
          <w:bCs/>
        </w:rPr>
        <w:t xml:space="preserve"> млн рублей</w:t>
      </w:r>
      <w:r w:rsidR="00E34A72">
        <w:rPr>
          <w:rFonts w:eastAsia="Calibri"/>
          <w:bCs/>
          <w:color w:val="FF0000"/>
        </w:rPr>
        <w:t xml:space="preserve"> </w:t>
      </w:r>
      <w:r w:rsidR="00E34A72">
        <w:rPr>
          <w:rFonts w:eastAsia="Calibri"/>
          <w:bCs/>
          <w:color w:val="FF0000"/>
        </w:rPr>
        <w:br/>
      </w:r>
      <w:r w:rsidR="00E34A72" w:rsidRPr="00E34A72">
        <w:rPr>
          <w:rFonts w:eastAsia="Calibri"/>
          <w:bCs/>
        </w:rPr>
        <w:t xml:space="preserve">(10,2 </w:t>
      </w:r>
      <w:r w:rsidRPr="00E34A72">
        <w:rPr>
          <w:rFonts w:eastAsia="Calibri"/>
          <w:bCs/>
        </w:rPr>
        <w:t>% от общих рас</w:t>
      </w:r>
      <w:r w:rsidR="00CF47A2">
        <w:rPr>
          <w:rFonts w:eastAsia="Calibri"/>
          <w:bCs/>
        </w:rPr>
        <w:t>ходов республиканского бюджета).</w:t>
      </w:r>
    </w:p>
    <w:p w14:paraId="45846789" w14:textId="16385963" w:rsidR="00CB25D6" w:rsidRDefault="00747CA3" w:rsidP="00CB25D6">
      <w:pPr>
        <w:widowControl/>
        <w:rPr>
          <w:bCs/>
          <w:color w:val="000000"/>
          <w:lang w:eastAsia="x-none"/>
        </w:rPr>
      </w:pPr>
      <w:r w:rsidRPr="00747CA3">
        <w:rPr>
          <w:bCs/>
          <w:color w:val="000000"/>
          <w:lang w:eastAsia="x-none"/>
        </w:rPr>
        <w:t xml:space="preserve">Наибольший удельный вес в структуре республиканского бюджета </w:t>
      </w:r>
      <w:r w:rsidR="00CB25D6">
        <w:rPr>
          <w:bCs/>
          <w:color w:val="000000"/>
          <w:lang w:eastAsia="x-none"/>
        </w:rPr>
        <w:br/>
      </w:r>
      <w:r w:rsidRPr="00747CA3">
        <w:rPr>
          <w:bCs/>
          <w:color w:val="000000"/>
          <w:lang w:eastAsia="x-none"/>
        </w:rPr>
        <w:t xml:space="preserve">Кабардино-Балкарской Республики за 2024 год составили расходы на: </w:t>
      </w:r>
    </w:p>
    <w:p w14:paraId="3219E8F0" w14:textId="3F092CD6" w:rsidR="00747CA3" w:rsidRPr="00747CA3" w:rsidRDefault="00CB25D6" w:rsidP="00CB25D6">
      <w:pPr>
        <w:widowControl/>
        <w:ind w:firstLine="0"/>
        <w:jc w:val="left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 xml:space="preserve">образование </w:t>
      </w:r>
      <w:r w:rsidR="00747CA3" w:rsidRPr="00747CA3">
        <w:rPr>
          <w:bCs/>
          <w:color w:val="000000"/>
          <w:lang w:eastAsia="x-none"/>
        </w:rPr>
        <w:t>(30,1</w:t>
      </w:r>
      <w:r>
        <w:rPr>
          <w:bCs/>
          <w:color w:val="000000"/>
          <w:lang w:eastAsia="x-none"/>
        </w:rPr>
        <w:t xml:space="preserve">%); </w:t>
      </w:r>
      <w:r>
        <w:rPr>
          <w:bCs/>
          <w:color w:val="000000"/>
          <w:lang w:eastAsia="x-none"/>
        </w:rPr>
        <w:br/>
      </w:r>
      <w:r w:rsidR="00747CA3" w:rsidRPr="00747CA3">
        <w:rPr>
          <w:bCs/>
          <w:color w:val="000000"/>
          <w:lang w:eastAsia="x-none"/>
        </w:rPr>
        <w:t>социальную политику (27,2 %)</w:t>
      </w:r>
      <w:r>
        <w:rPr>
          <w:bCs/>
          <w:color w:val="000000"/>
          <w:lang w:eastAsia="x-none"/>
        </w:rPr>
        <w:t>;</w:t>
      </w:r>
      <w:r>
        <w:rPr>
          <w:bCs/>
          <w:color w:val="000000"/>
          <w:lang w:eastAsia="x-none"/>
        </w:rPr>
        <w:br/>
      </w:r>
      <w:r w:rsidR="00747CA3" w:rsidRPr="00747CA3">
        <w:rPr>
          <w:bCs/>
          <w:color w:val="000000"/>
          <w:lang w:eastAsia="x-none"/>
        </w:rPr>
        <w:t xml:space="preserve">национальную </w:t>
      </w:r>
      <w:r>
        <w:rPr>
          <w:bCs/>
          <w:color w:val="000000"/>
          <w:lang w:eastAsia="x-none"/>
        </w:rPr>
        <w:t>экономику (18,4 %);</w:t>
      </w:r>
      <w:r>
        <w:rPr>
          <w:bCs/>
          <w:color w:val="000000"/>
          <w:lang w:eastAsia="x-none"/>
        </w:rPr>
        <w:br/>
      </w:r>
      <w:r w:rsidR="00747CA3" w:rsidRPr="00747CA3">
        <w:rPr>
          <w:bCs/>
          <w:color w:val="000000"/>
          <w:lang w:eastAsia="x-none"/>
        </w:rPr>
        <w:t>здравоохранение (9,2 %).</w:t>
      </w:r>
    </w:p>
    <w:p w14:paraId="1D1BAABB" w14:textId="3696ED81" w:rsidR="00D95A1B" w:rsidRDefault="00D95A1B" w:rsidP="0082617E">
      <w:pPr>
        <w:rPr>
          <w:color w:val="FF0000"/>
        </w:rPr>
      </w:pPr>
    </w:p>
    <w:p w14:paraId="57222BC1" w14:textId="5E27A389" w:rsidR="00E34A72" w:rsidRDefault="00E34A72" w:rsidP="0082617E">
      <w:pPr>
        <w:rPr>
          <w:color w:val="FF0000"/>
        </w:rPr>
      </w:pPr>
    </w:p>
    <w:p w14:paraId="31B9A905" w14:textId="176FA854" w:rsidR="00E34A72" w:rsidRDefault="00E34A72" w:rsidP="0082617E">
      <w:pPr>
        <w:rPr>
          <w:color w:val="FF0000"/>
        </w:rPr>
      </w:pPr>
    </w:p>
    <w:p w14:paraId="1AAE116A" w14:textId="77777777" w:rsidR="00CF47A2" w:rsidRDefault="00D95A1B" w:rsidP="00D95A1B">
      <w:pPr>
        <w:jc w:val="center"/>
        <w:rPr>
          <w:b/>
          <w:bCs/>
          <w:lang w:eastAsia="ru-RU"/>
        </w:rPr>
      </w:pPr>
      <w:r w:rsidRPr="0066515D">
        <w:rPr>
          <w:b/>
          <w:bCs/>
          <w:lang w:eastAsia="ru-RU"/>
        </w:rPr>
        <w:t>Структура расходов республиканского бюджета КБР по разделам</w:t>
      </w:r>
      <w:r w:rsidRPr="00C94A46">
        <w:rPr>
          <w:b/>
          <w:bCs/>
          <w:lang w:eastAsia="ru-RU"/>
        </w:rPr>
        <w:t xml:space="preserve"> </w:t>
      </w:r>
    </w:p>
    <w:p w14:paraId="6ADD2F74" w14:textId="46CC65D9" w:rsidR="00D95A1B" w:rsidRDefault="00D95A1B" w:rsidP="00D95A1B">
      <w:pPr>
        <w:jc w:val="center"/>
        <w:rPr>
          <w:b/>
          <w:bCs/>
          <w:lang w:eastAsia="ru-RU"/>
        </w:rPr>
      </w:pPr>
      <w:r w:rsidRPr="0066515D">
        <w:rPr>
          <w:b/>
          <w:bCs/>
          <w:lang w:eastAsia="ru-RU"/>
        </w:rPr>
        <w:t>за 202</w:t>
      </w:r>
      <w:r w:rsidRPr="00C94A46">
        <w:rPr>
          <w:b/>
          <w:bCs/>
          <w:lang w:eastAsia="ru-RU"/>
        </w:rPr>
        <w:t xml:space="preserve">4 </w:t>
      </w:r>
      <w:r w:rsidRPr="0066515D">
        <w:rPr>
          <w:b/>
          <w:bCs/>
          <w:lang w:eastAsia="ru-RU"/>
        </w:rPr>
        <w:t>го</w:t>
      </w:r>
      <w:r>
        <w:rPr>
          <w:b/>
          <w:bCs/>
          <w:lang w:eastAsia="ru-RU"/>
        </w:rPr>
        <w:t>д</w:t>
      </w:r>
    </w:p>
    <w:p w14:paraId="2A6C04E2" w14:textId="77777777" w:rsidR="00CF47A2" w:rsidRDefault="00CF47A2" w:rsidP="00D95A1B">
      <w:pPr>
        <w:jc w:val="center"/>
        <w:rPr>
          <w:b/>
          <w:bCs/>
          <w:lang w:eastAsia="ru-RU"/>
        </w:rPr>
      </w:pPr>
    </w:p>
    <w:p w14:paraId="763AC8B6" w14:textId="77777777" w:rsidR="00D95A1B" w:rsidRDefault="00D95A1B" w:rsidP="00D95A1B">
      <w:pPr>
        <w:widowControl/>
        <w:ind w:firstLine="0"/>
        <w:jc w:val="right"/>
        <w:rPr>
          <w:bCs/>
          <w:sz w:val="24"/>
          <w:szCs w:val="24"/>
          <w:lang w:eastAsia="ru-RU"/>
        </w:rPr>
      </w:pPr>
      <w:r w:rsidRPr="0066515D">
        <w:rPr>
          <w:bCs/>
          <w:sz w:val="24"/>
          <w:szCs w:val="24"/>
          <w:lang w:eastAsia="ru-RU"/>
        </w:rPr>
        <w:t>(млн рублей)</w:t>
      </w:r>
    </w:p>
    <w:tbl>
      <w:tblPr>
        <w:tblW w:w="102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496"/>
        <w:gridCol w:w="1418"/>
        <w:gridCol w:w="1513"/>
      </w:tblGrid>
      <w:tr w:rsidR="00D95A1B" w:rsidRPr="00D95A1B" w14:paraId="2DE30E9D" w14:textId="77777777" w:rsidTr="00747CA3">
        <w:trPr>
          <w:trHeight w:val="1402"/>
          <w:tblHeader/>
        </w:trPr>
        <w:tc>
          <w:tcPr>
            <w:tcW w:w="4253" w:type="dxa"/>
            <w:shd w:val="clear" w:color="auto" w:fill="DBF6B9" w:themeFill="accent3" w:themeFillTint="66"/>
            <w:vAlign w:val="center"/>
            <w:hideMark/>
          </w:tcPr>
          <w:p w14:paraId="5A4C62A6" w14:textId="77777777" w:rsidR="00D95A1B" w:rsidRPr="00D95A1B" w:rsidRDefault="00D95A1B" w:rsidP="00D95A1B">
            <w:pPr>
              <w:widowControl/>
              <w:ind w:left="142" w:hanging="142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D95A1B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DBF6B9" w:themeFill="accent3" w:themeFillTint="66"/>
            <w:vAlign w:val="center"/>
            <w:hideMark/>
          </w:tcPr>
          <w:p w14:paraId="01B3CD8D" w14:textId="77777777" w:rsidR="00D95A1B" w:rsidRPr="00D95A1B" w:rsidRDefault="00D95A1B" w:rsidP="00D95A1B">
            <w:pPr>
              <w:widowControl/>
              <w:ind w:firstLine="0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D95A1B">
              <w:rPr>
                <w:b/>
                <w:color w:val="auto"/>
                <w:sz w:val="22"/>
                <w:szCs w:val="24"/>
                <w:lang w:eastAsia="ru-RU"/>
              </w:rPr>
              <w:t>Уточненная бюджетная роспись</w:t>
            </w:r>
          </w:p>
        </w:tc>
        <w:tc>
          <w:tcPr>
            <w:tcW w:w="1496" w:type="dxa"/>
            <w:shd w:val="clear" w:color="auto" w:fill="DBF6B9" w:themeFill="accent3" w:themeFillTint="66"/>
            <w:vAlign w:val="center"/>
            <w:hideMark/>
          </w:tcPr>
          <w:p w14:paraId="69E14335" w14:textId="5C189DA5" w:rsidR="00D95A1B" w:rsidRPr="00D95A1B" w:rsidRDefault="00D95A1B" w:rsidP="00D95A1B">
            <w:pPr>
              <w:widowControl/>
              <w:ind w:firstLine="0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D95A1B">
              <w:rPr>
                <w:b/>
                <w:color w:val="auto"/>
                <w:sz w:val="22"/>
                <w:szCs w:val="24"/>
                <w:lang w:eastAsia="ru-RU"/>
              </w:rPr>
              <w:t>Исполнение</w:t>
            </w:r>
          </w:p>
        </w:tc>
        <w:tc>
          <w:tcPr>
            <w:tcW w:w="1418" w:type="dxa"/>
            <w:shd w:val="clear" w:color="auto" w:fill="DBF6B9" w:themeFill="accent3" w:themeFillTint="66"/>
            <w:vAlign w:val="center"/>
            <w:hideMark/>
          </w:tcPr>
          <w:p w14:paraId="01DC2FD0" w14:textId="77777777" w:rsidR="00D95A1B" w:rsidRPr="00D95A1B" w:rsidRDefault="00D95A1B" w:rsidP="00D95A1B">
            <w:pPr>
              <w:widowControl/>
              <w:ind w:firstLine="0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D95A1B">
              <w:rPr>
                <w:b/>
                <w:color w:val="auto"/>
                <w:sz w:val="22"/>
                <w:szCs w:val="24"/>
                <w:lang w:eastAsia="ru-RU"/>
              </w:rPr>
              <w:t>в % к уточненной бюджетной росписи</w:t>
            </w:r>
          </w:p>
        </w:tc>
        <w:tc>
          <w:tcPr>
            <w:tcW w:w="1513" w:type="dxa"/>
            <w:shd w:val="clear" w:color="auto" w:fill="DBF6B9" w:themeFill="accent3" w:themeFillTint="66"/>
            <w:vAlign w:val="center"/>
            <w:hideMark/>
          </w:tcPr>
          <w:p w14:paraId="10873403" w14:textId="395B1815" w:rsidR="00D95A1B" w:rsidRPr="00D95A1B" w:rsidRDefault="00D95A1B" w:rsidP="00D95A1B">
            <w:pPr>
              <w:widowControl/>
              <w:ind w:firstLine="0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D95A1B">
              <w:rPr>
                <w:b/>
                <w:color w:val="auto"/>
                <w:sz w:val="22"/>
                <w:szCs w:val="22"/>
                <w:lang w:eastAsia="ru-RU"/>
              </w:rPr>
              <w:t>Темп роста к исполнению за 2023 год, %</w:t>
            </w:r>
          </w:p>
        </w:tc>
      </w:tr>
      <w:tr w:rsidR="00D95A1B" w:rsidRPr="00D95A1B" w14:paraId="08C754FA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7AB4675C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4F79A375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63 883,6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088093F4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63 162,8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47B89FF4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98,9%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</w:tcPr>
          <w:p w14:paraId="0E8E6BB9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100,1%</w:t>
            </w:r>
          </w:p>
        </w:tc>
      </w:tr>
      <w:tr w:rsidR="00D95A1B" w:rsidRPr="00D95A1B" w14:paraId="69135469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BA35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4729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2 889,9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D353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2 825,3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F26A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97,8%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263A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132,4%</w:t>
            </w:r>
          </w:p>
        </w:tc>
      </w:tr>
      <w:tr w:rsidR="00D95A1B" w:rsidRPr="00D95A1B" w14:paraId="43C77B09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3C14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33FB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390,4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29C9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387,7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B266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99,3%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422D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273,9%</w:t>
            </w:r>
          </w:p>
        </w:tc>
      </w:tr>
      <w:tr w:rsidR="00D95A1B" w:rsidRPr="00D95A1B" w14:paraId="2C74D516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D512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C7E2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482,9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02DE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479,6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C95A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99,3%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421B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117,6%</w:t>
            </w:r>
          </w:p>
        </w:tc>
      </w:tr>
      <w:tr w:rsidR="00D95A1B" w:rsidRPr="00D95A1B" w14:paraId="6FCAEA54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6737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1D40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12 035,1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1032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11 612,1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0FE1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96,5%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81DE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114,8%</w:t>
            </w:r>
          </w:p>
        </w:tc>
      </w:tr>
      <w:tr w:rsidR="00D95A1B" w:rsidRPr="00D95A1B" w14:paraId="1EE16A46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79B2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EE7A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1 528,2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AD23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1 528,0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0A5B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100,0%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B4EC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49,7%</w:t>
            </w:r>
          </w:p>
        </w:tc>
      </w:tr>
      <w:tr w:rsidR="00D95A1B" w:rsidRPr="00D95A1B" w14:paraId="7985FCE6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BD2C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F80D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E5EA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F7A9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99,4%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D60F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254,7%</w:t>
            </w:r>
          </w:p>
        </w:tc>
      </w:tr>
      <w:tr w:rsidR="00D95A1B" w:rsidRPr="00D95A1B" w14:paraId="5DC2389F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02A3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85D6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19 055,5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2B59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19 001,5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CF8C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99,7%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C3E0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101,9%</w:t>
            </w:r>
          </w:p>
        </w:tc>
      </w:tr>
      <w:tr w:rsidR="00D95A1B" w:rsidRPr="00D95A1B" w14:paraId="15272DCD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1A34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64CB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1 820,1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AF3E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1 797,3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9BCB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98,7%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F621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107,9%</w:t>
            </w:r>
          </w:p>
        </w:tc>
      </w:tr>
      <w:tr w:rsidR="00D95A1B" w:rsidRPr="00D95A1B" w14:paraId="08EC45C8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D4D6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477C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5 838,6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5756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5 812,2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384F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99,5%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D4E0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106,3%</w:t>
            </w:r>
          </w:p>
        </w:tc>
      </w:tr>
      <w:tr w:rsidR="00D95A1B" w:rsidRPr="00D95A1B" w14:paraId="3B05B7D1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CA2B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1F8B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17 237,0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008B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17 151,3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C7A9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99,5%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BB71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88,0%</w:t>
            </w:r>
          </w:p>
        </w:tc>
      </w:tr>
      <w:tr w:rsidR="00D95A1B" w:rsidRPr="00D95A1B" w14:paraId="51B2E504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97A1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A2DA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1 270,6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5478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1 248,3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602D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98,2%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F230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153,3%</w:t>
            </w:r>
          </w:p>
        </w:tc>
      </w:tr>
      <w:tr w:rsidR="00D95A1B" w:rsidRPr="00D95A1B" w14:paraId="0D13C45B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B287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81FC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395,2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8F98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379,6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7530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96,0%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74B4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105,4%</w:t>
            </w:r>
          </w:p>
        </w:tc>
      </w:tr>
      <w:tr w:rsidR="00D95A1B" w:rsidRPr="00D95A1B" w14:paraId="043DAF61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9BEB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6E12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A764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951A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100,0%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BD8E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223,9%</w:t>
            </w:r>
          </w:p>
        </w:tc>
      </w:tr>
      <w:tr w:rsidR="00D95A1B" w:rsidRPr="00D95A1B" w14:paraId="1C74691A" w14:textId="77777777" w:rsidTr="00E34A72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D7F5" w14:textId="77777777" w:rsidR="00D95A1B" w:rsidRPr="00D95A1B" w:rsidRDefault="00D95A1B" w:rsidP="00D95A1B">
            <w:pPr>
              <w:widowControl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4CB7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818,6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B61C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818,6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41C4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100,0%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8BA8" w14:textId="77777777" w:rsidR="00D95A1B" w:rsidRPr="00D95A1B" w:rsidRDefault="00D95A1B" w:rsidP="00747CA3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95A1B">
              <w:rPr>
                <w:color w:val="000000"/>
                <w:sz w:val="22"/>
                <w:szCs w:val="22"/>
                <w:lang w:eastAsia="ru-RU"/>
              </w:rPr>
              <w:t>109,6%</w:t>
            </w:r>
          </w:p>
        </w:tc>
      </w:tr>
    </w:tbl>
    <w:p w14:paraId="7948371A" w14:textId="20ECD3A7" w:rsidR="00D95A1B" w:rsidRDefault="00D95A1B" w:rsidP="00D95A1B">
      <w:pPr>
        <w:jc w:val="center"/>
        <w:rPr>
          <w:color w:val="FF0000"/>
        </w:rPr>
      </w:pPr>
    </w:p>
    <w:p w14:paraId="00CE258F" w14:textId="76AFFC72" w:rsidR="00F811F4" w:rsidRPr="00EC6EFC" w:rsidRDefault="00F811F4" w:rsidP="0082617E">
      <w:pPr>
        <w:pStyle w:val="1"/>
        <w:numPr>
          <w:ilvl w:val="0"/>
          <w:numId w:val="0"/>
        </w:numPr>
        <w:spacing w:before="0" w:after="0"/>
        <w:ind w:firstLine="709"/>
      </w:pPr>
      <w:r w:rsidRPr="00EC6EFC">
        <w:t>На реализацию республиканских государственных программ в 202</w:t>
      </w:r>
      <w:r w:rsidR="00EC6EFC" w:rsidRPr="00EC6EFC">
        <w:t>4</w:t>
      </w:r>
      <w:r w:rsidRPr="00EC6EFC">
        <w:t xml:space="preserve"> году в бюджете Кабардино-Балкарской Республики </w:t>
      </w:r>
      <w:r w:rsidR="00D86054" w:rsidRPr="00EC6EFC">
        <w:t xml:space="preserve">было </w:t>
      </w:r>
      <w:r w:rsidRPr="00EC6EFC">
        <w:t xml:space="preserve">предусмотрено </w:t>
      </w:r>
      <w:r w:rsidRPr="00EC6EFC">
        <w:br/>
      </w:r>
      <w:r w:rsidR="00EC6EFC" w:rsidRPr="00EC6EFC">
        <w:t>61 222,2</w:t>
      </w:r>
      <w:r w:rsidRPr="00EC6EFC">
        <w:t xml:space="preserve"> млн рублей, в том числе за счет средств федерального бюджета </w:t>
      </w:r>
      <w:r w:rsidR="00D86054" w:rsidRPr="00EC6EFC">
        <w:br/>
        <w:t>-</w:t>
      </w:r>
      <w:r w:rsidR="00EC6EFC" w:rsidRPr="00EC6EFC">
        <w:t>19 328,1</w:t>
      </w:r>
      <w:r w:rsidR="0013140B" w:rsidRPr="00EC6EFC">
        <w:t xml:space="preserve"> </w:t>
      </w:r>
      <w:r w:rsidRPr="00EC6EFC">
        <w:t xml:space="preserve">млн рублей, республиканского бюджета КБР – </w:t>
      </w:r>
      <w:r w:rsidR="00EC6EFC" w:rsidRPr="00EC6EFC">
        <w:t>41 894,1</w:t>
      </w:r>
      <w:r w:rsidRPr="00EC6EFC">
        <w:t xml:space="preserve"> млн рублей. </w:t>
      </w:r>
    </w:p>
    <w:p w14:paraId="7F839EC9" w14:textId="7DF3107A" w:rsidR="00F811F4" w:rsidRPr="00BC01AE" w:rsidRDefault="00F811F4" w:rsidP="0082617E">
      <w:pPr>
        <w:pStyle w:val="1"/>
        <w:numPr>
          <w:ilvl w:val="0"/>
          <w:numId w:val="0"/>
        </w:numPr>
        <w:spacing w:before="0" w:after="0"/>
        <w:ind w:firstLine="709"/>
      </w:pPr>
      <w:r w:rsidRPr="00BC01AE">
        <w:t xml:space="preserve">Фактическое финансирование республиканских государственных программ составило </w:t>
      </w:r>
      <w:r w:rsidR="00013BDE" w:rsidRPr="00BC01AE">
        <w:t>60</w:t>
      </w:r>
      <w:r w:rsidR="00EC6EFC" w:rsidRPr="00BC01AE">
        <w:t> 549,3</w:t>
      </w:r>
      <w:r w:rsidRPr="00BC01AE">
        <w:t xml:space="preserve"> млн рублей или </w:t>
      </w:r>
      <w:r w:rsidR="00E07002" w:rsidRPr="00BC01AE">
        <w:t>9</w:t>
      </w:r>
      <w:r w:rsidR="00EC6EFC" w:rsidRPr="00BC01AE">
        <w:t xml:space="preserve">8,9 </w:t>
      </w:r>
      <w:r w:rsidRPr="00BC01AE">
        <w:t xml:space="preserve">% от запланированного объема финансирования, в том числе за счет средств федерального бюджета – </w:t>
      </w:r>
      <w:r w:rsidR="00BC01AE" w:rsidRPr="00BC01AE">
        <w:t>19 265,2</w:t>
      </w:r>
      <w:r w:rsidRPr="00BC01AE">
        <w:t xml:space="preserve"> млн рублей (</w:t>
      </w:r>
      <w:r w:rsidR="00DC30E3" w:rsidRPr="00BC01AE">
        <w:t>9</w:t>
      </w:r>
      <w:r w:rsidR="00E07002" w:rsidRPr="00BC01AE">
        <w:t>9,7</w:t>
      </w:r>
      <w:r w:rsidRPr="00BC01AE">
        <w:t>%), средств рес</w:t>
      </w:r>
      <w:r w:rsidR="00E05A27" w:rsidRPr="00BC01AE">
        <w:t>публиканского бюджета –</w:t>
      </w:r>
      <w:r w:rsidR="00BC01AE" w:rsidRPr="00BC01AE">
        <w:t xml:space="preserve"> 41 284,1</w:t>
      </w:r>
      <w:r w:rsidRPr="00BC01AE">
        <w:t xml:space="preserve"> млн рублей (</w:t>
      </w:r>
      <w:r w:rsidR="00BB329B" w:rsidRPr="00BC01AE">
        <w:t>9</w:t>
      </w:r>
      <w:r w:rsidR="00BC01AE" w:rsidRPr="00BC01AE">
        <w:t>8,5</w:t>
      </w:r>
      <w:r w:rsidR="00BB329B" w:rsidRPr="00BC01AE">
        <w:t xml:space="preserve"> </w:t>
      </w:r>
      <w:r w:rsidRPr="00BC01AE">
        <w:t>%)</w:t>
      </w:r>
      <w:r w:rsidR="00E05A27" w:rsidRPr="00BC01AE">
        <w:t>.</w:t>
      </w:r>
    </w:p>
    <w:p w14:paraId="735BE814" w14:textId="2942D6A7" w:rsidR="001076A9" w:rsidRDefault="001076A9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04317CCB" w14:textId="2499E5B7" w:rsidR="00E34A72" w:rsidRDefault="00E34A72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3F0E590D" w14:textId="6A9C7333" w:rsidR="00E34A72" w:rsidRDefault="00E34A72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0EFC6597" w14:textId="4909FBD1" w:rsidR="00E34A72" w:rsidRDefault="00E34A72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1F0E5E4A" w14:textId="184F6E63" w:rsidR="00E34A72" w:rsidRDefault="00E34A72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3A4A8656" w14:textId="1F7294FE" w:rsidR="00E34A72" w:rsidRDefault="00E34A72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09CA8D5F" w14:textId="6DC8484C" w:rsidR="00E34A72" w:rsidRDefault="00E34A72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378A6B38" w14:textId="77777777" w:rsidR="00E34A72" w:rsidRDefault="00E34A72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724D436F" w14:textId="544B3658" w:rsidR="00E34A72" w:rsidRDefault="00E34A72" w:rsidP="00E34A72">
      <w:pPr>
        <w:pStyle w:val="1"/>
        <w:numPr>
          <w:ilvl w:val="0"/>
          <w:numId w:val="0"/>
        </w:numPr>
        <w:spacing w:before="0" w:after="0"/>
        <w:ind w:firstLine="709"/>
        <w:jc w:val="center"/>
        <w:rPr>
          <w:color w:val="FF0000"/>
        </w:rPr>
      </w:pPr>
      <w:r w:rsidRPr="00E34A72">
        <w:rPr>
          <w:b/>
          <w:bCs/>
          <w:color w:val="000000"/>
          <w:lang w:eastAsia="ru-RU"/>
        </w:rPr>
        <w:t>Сведения об исполнении государственных программ КБР</w:t>
      </w:r>
      <w:r w:rsidRPr="00E34A72">
        <w:rPr>
          <w:b/>
          <w:bCs/>
          <w:color w:val="000000"/>
          <w:lang w:eastAsia="ru-RU"/>
        </w:rPr>
        <w:br/>
        <w:t>за 2024 год</w:t>
      </w:r>
    </w:p>
    <w:p w14:paraId="14C9ED22" w14:textId="444A67C9" w:rsidR="00E34A72" w:rsidRDefault="00E34A72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757C747D" w14:textId="28029741" w:rsidR="00E34A72" w:rsidRDefault="00E34A72" w:rsidP="00E34A72">
      <w:pPr>
        <w:pStyle w:val="1"/>
        <w:numPr>
          <w:ilvl w:val="0"/>
          <w:numId w:val="0"/>
        </w:numPr>
        <w:spacing w:before="0" w:after="0"/>
        <w:ind w:firstLine="709"/>
        <w:jc w:val="right"/>
        <w:rPr>
          <w:color w:val="FF0000"/>
        </w:rPr>
      </w:pPr>
      <w:r w:rsidRPr="00EC6EFC">
        <w:rPr>
          <w:color w:val="000000"/>
          <w:sz w:val="22"/>
          <w:szCs w:val="22"/>
          <w:lang w:eastAsia="ru-RU"/>
        </w:rPr>
        <w:t>(млн рублей)</w:t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1418"/>
        <w:gridCol w:w="1417"/>
        <w:gridCol w:w="1843"/>
      </w:tblGrid>
      <w:tr w:rsidR="00EC6EFC" w:rsidRPr="00EC6EFC" w14:paraId="25FB65A7" w14:textId="77777777" w:rsidTr="006E113B">
        <w:trPr>
          <w:trHeight w:val="159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08BE6076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0A873D67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014B442E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3F834F2F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2B8199F0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Исполнение к уточненному плану, %</w:t>
            </w:r>
          </w:p>
        </w:tc>
      </w:tr>
      <w:tr w:rsidR="00EC6EFC" w:rsidRPr="00EC6EFC" w14:paraId="5280EE28" w14:textId="77777777" w:rsidTr="006E113B">
        <w:trPr>
          <w:trHeight w:val="5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38778CDD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5D63C1EA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571320B9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13DB3692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5BC93EF4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6EFC" w:rsidRPr="00EC6EFC" w14:paraId="0A322F79" w14:textId="77777777" w:rsidTr="006E113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373D545E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vAlign w:val="center"/>
            <w:hideMark/>
          </w:tcPr>
          <w:p w14:paraId="46DA59D6" w14:textId="77777777" w:rsidR="00EC6EFC" w:rsidRPr="00EC6EFC" w:rsidRDefault="00EC6EFC" w:rsidP="00EC6EFC">
            <w:pPr>
              <w:widowControl/>
              <w:ind w:left="142" w:hanging="142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по ГП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vAlign w:val="center"/>
            <w:hideMark/>
          </w:tcPr>
          <w:p w14:paraId="41B54FB8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61 222,2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vAlign w:val="center"/>
            <w:hideMark/>
          </w:tcPr>
          <w:p w14:paraId="63C00BAD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60 549,3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598CD0C6" w14:textId="77777777" w:rsidR="00EC6EFC" w:rsidRPr="00EC6EFC" w:rsidRDefault="00EC6EFC" w:rsidP="00EC6EFC">
            <w:pPr>
              <w:widowControl/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98,9%</w:t>
            </w:r>
          </w:p>
        </w:tc>
      </w:tr>
      <w:tr w:rsidR="00EC6EFC" w:rsidRPr="00EC6EFC" w14:paraId="108DAD77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EBE1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F60C" w14:textId="28426028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«Развитие здравоохранения в Кабардино-Балкарской Республике»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05F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10 466,3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E719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10 440,2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6D4A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99,8%</w:t>
            </w:r>
          </w:p>
        </w:tc>
      </w:tr>
      <w:tr w:rsidR="00EC6EFC" w:rsidRPr="00EC6EFC" w14:paraId="1852D4FE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7231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91FA" w14:textId="64CD226F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«Развитие образования в Кабардино-Балкарской Республике»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E4F0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18 458,6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78BE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18 408,8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FBA6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99,7%</w:t>
            </w:r>
          </w:p>
        </w:tc>
      </w:tr>
      <w:tr w:rsidR="00EC6EFC" w:rsidRPr="00EC6EFC" w14:paraId="1F0B5D34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C4E7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755" w14:textId="193DEA89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«Социальная поддержка населения Кабардино-Балкарской Республики»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6AC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12 293,4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3AB9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12 206,0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8A4D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99,3%</w:t>
            </w:r>
          </w:p>
        </w:tc>
      </w:tr>
      <w:tr w:rsidR="00EC6EFC" w:rsidRPr="00EC6EFC" w14:paraId="3FCD5158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5455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FC73" w14:textId="416A093F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«Доступная среда в Кабардино-Балкарской Республике»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8AC4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4384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EF4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EC6EFC" w:rsidRPr="00EC6EFC" w14:paraId="30C8A7BE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774C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63FE" w14:textId="7DCD967F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«Обеспечение жильем и коммунальными услугами населения Кабардино-Балкарской Республики»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E8C1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598,8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1A17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597,7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C65D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99,8%</w:t>
            </w:r>
          </w:p>
        </w:tc>
      </w:tr>
      <w:tr w:rsidR="00EC6EFC" w:rsidRPr="00EC6EFC" w14:paraId="7D8FD646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E237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28AE" w14:textId="30102B46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«Содействие занятости населения Кабардино-Балкарской Республики»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66BD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3E1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404,7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0BF6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99,1%</w:t>
            </w:r>
          </w:p>
        </w:tc>
      </w:tr>
      <w:tr w:rsidR="00EC6EFC" w:rsidRPr="00EC6EFC" w14:paraId="6C62D444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2994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C6D7" w14:textId="0BEF3DA7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«Профилактика правонарушений и укрепление общественного порядка и общественной безопасности в Кабардино-Балкарской Республике»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0929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48AE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0C70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91,3%</w:t>
            </w:r>
          </w:p>
        </w:tc>
      </w:tr>
      <w:tr w:rsidR="00EC6EFC" w:rsidRPr="00EC6EFC" w14:paraId="63F8EB0D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1BA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C5B0" w14:textId="79050181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«Защита населения и территории Кабардино-Балкарской Республики от чрезвычайных ситуаций природного и техногенного характера, обеспечение пожарной безопасности и безопасности людей на водных объектах»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B99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394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462,3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F529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97,2%</w:t>
            </w:r>
          </w:p>
        </w:tc>
      </w:tr>
      <w:tr w:rsidR="00EC6EFC" w:rsidRPr="00EC6EFC" w14:paraId="393996FA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44A9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9A9" w14:textId="41AA8729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«Культура Кабардино-Балкарии»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A24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1 890,3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8957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1 866,3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A3E0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98,7%</w:t>
            </w:r>
          </w:p>
        </w:tc>
      </w:tr>
      <w:tr w:rsidR="00EC6EFC" w:rsidRPr="00EC6EFC" w14:paraId="15F748A7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BD0C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7975" w14:textId="578A14BA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«Охрана окружающей среды, воспроизводство и использование природных ресурсов в Кабардино-Балкарской Республике»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055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8D1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494,2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BBD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99,5%</w:t>
            </w:r>
          </w:p>
        </w:tc>
      </w:tr>
      <w:tr w:rsidR="00EC6EFC" w:rsidRPr="00EC6EFC" w14:paraId="740313C4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F9D2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CE40" w14:textId="65F4AB07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«Развитие физической культуры и спорта в Кабардино-Балкарской Республике»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2260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1 140,1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8E65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1 117,8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AA82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98,0%</w:t>
            </w:r>
          </w:p>
        </w:tc>
      </w:tr>
      <w:tr w:rsidR="00EC6EFC" w:rsidRPr="00EC6EFC" w14:paraId="7063C0D8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3E8A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32F" w14:textId="07D938CB" w:rsidR="00EC6EFC" w:rsidRPr="00EC6EFC" w:rsidRDefault="005126AE" w:rsidP="00EC6EFC">
            <w:pPr>
              <w:widowControl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EC6EFC" w:rsidRPr="00EC6EFC">
              <w:rPr>
                <w:color w:val="000000"/>
                <w:sz w:val="24"/>
                <w:szCs w:val="24"/>
                <w:lang w:eastAsia="ru-RU"/>
              </w:rPr>
              <w:t>Экономическое раз</w:t>
            </w:r>
            <w:r>
              <w:rPr>
                <w:color w:val="000000"/>
                <w:sz w:val="24"/>
                <w:szCs w:val="24"/>
                <w:lang w:eastAsia="ru-RU"/>
              </w:rPr>
              <w:t>витие и инновационная экономика»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EDC1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1 557,9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CA1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1 555,4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EC44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99,8%</w:t>
            </w:r>
          </w:p>
        </w:tc>
      </w:tr>
      <w:tr w:rsidR="00EC6EFC" w:rsidRPr="00EC6EFC" w14:paraId="2431FED2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1DF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9F78" w14:textId="52C6B641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«Развитие промышленности и торговли в Кабардино-Балкарской Республике»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A4A6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136,4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36EB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135,9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9B34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99,6%</w:t>
            </w:r>
          </w:p>
        </w:tc>
      </w:tr>
      <w:tr w:rsidR="00EC6EFC" w:rsidRPr="00EC6EFC" w14:paraId="5F481F59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8B8B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1163" w14:textId="3977ECE9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«Информационное общество»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DE2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A2D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481,7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72A7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96,9%</w:t>
            </w:r>
          </w:p>
        </w:tc>
      </w:tr>
      <w:tr w:rsidR="00EC6EFC" w:rsidRPr="00EC6EFC" w14:paraId="1891E62E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7963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C5ED" w14:textId="67407314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«Развитие транспортной системы в Кабардино-Балкарской Республике»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CB6C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6 438,5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BC29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6 100,3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4723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94,7%</w:t>
            </w:r>
          </w:p>
        </w:tc>
      </w:tr>
      <w:tr w:rsidR="00EC6EFC" w:rsidRPr="00EC6EFC" w14:paraId="3DDB3048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2BBC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8789" w14:textId="5DCF67F4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«Развитие сельского хозяйства и регулирование рынков сельскохозяйственной продукции, сырья и продовольствия в Кабардино-Балкарской Республике»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947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3 271,9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A99E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3 264,7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ED23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99,8%</w:t>
            </w:r>
          </w:p>
        </w:tc>
      </w:tr>
      <w:tr w:rsidR="00EC6EFC" w:rsidRPr="00EC6EFC" w14:paraId="08E37C7E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875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433A" w14:textId="16783ACC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«Развитие лесного хозяйства в Кабардино-Балкарской Республике»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CFEE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985B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161,4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AC0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96,8%</w:t>
            </w:r>
          </w:p>
        </w:tc>
      </w:tr>
      <w:tr w:rsidR="00EC6EFC" w:rsidRPr="00EC6EFC" w14:paraId="56F64959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945D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C2B" w14:textId="1A5D1B4B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«Энергоэффективность и развитие энергетики в Кабардино-Балкарской Республике»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42E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7EFA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07B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EC6EFC" w:rsidRPr="00EC6EFC" w14:paraId="044F3F09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ACEE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F8E1" w14:textId="0A123C7C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«Управление государственным имуществом Кабардино-Балкарской Республики»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C873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119,6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AF27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610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44,7%</w:t>
            </w:r>
          </w:p>
        </w:tc>
      </w:tr>
      <w:tr w:rsidR="00EC6EFC" w:rsidRPr="00EC6EFC" w14:paraId="4DB8B637" w14:textId="77777777" w:rsidTr="006E113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E88D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5079" w14:textId="2802123E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«Управление государственными финансами, государственным долгом и межбюджетными отношениями в Кабардино-Балкарской Республике»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177C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991,5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CE9B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986,0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F2FE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99,4%</w:t>
            </w:r>
          </w:p>
        </w:tc>
      </w:tr>
      <w:tr w:rsidR="00EC6EFC" w:rsidRPr="00EC6EFC" w14:paraId="68F0D172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41C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645" w14:textId="356D4B7E" w:rsidR="00EC6EFC" w:rsidRPr="00EC6EFC" w:rsidRDefault="00EC6EFC" w:rsidP="005126AE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«Комплексное развитие сельских территорий Кабардино-Балкарской Республики»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0743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385,0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7924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385,0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582F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EC6EFC" w:rsidRPr="00EC6EFC" w14:paraId="4D01E377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0277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7955" w14:textId="4E5BB60E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«Развитие туристско-рекреационного комплекса Кабардино-Балкарской Республики»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6D26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546,4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184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546,2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54F4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EC6EFC" w:rsidRPr="00EC6EFC" w14:paraId="7FC3EB8C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295D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CC85" w14:textId="2DC93D4A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«Развитие молодежной политики в Кабардино-Балкарской Республике»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EE32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2E0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302,8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A5A1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99,9%</w:t>
            </w:r>
          </w:p>
        </w:tc>
      </w:tr>
      <w:tr w:rsidR="00EC6EFC" w:rsidRPr="00EC6EFC" w14:paraId="7FAC5B47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66CD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9393" w14:textId="13FEB60F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«Формирование современной городской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44B8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436,8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2A46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436,8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9AB2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EC6EFC" w:rsidRPr="00EC6EFC" w14:paraId="2AFBE09B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B0FA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15CD" w14:textId="2629A18A" w:rsidR="00EC6EFC" w:rsidRPr="00EC6EFC" w:rsidRDefault="00EC6EFC" w:rsidP="00EC6EFC">
            <w:pPr>
              <w:widowControl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«Профилактика терроризма и экстремизма в Кабардино-Балкарской Республике»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F0A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7D1C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color w:val="000000"/>
                <w:sz w:val="22"/>
                <w:szCs w:val="22"/>
                <w:lang w:eastAsia="ru-RU"/>
              </w:rPr>
              <w:t>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52EC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EC6EFC" w:rsidRPr="00EC6EFC" w14:paraId="096B5BCB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6EFB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5067" w14:textId="77777777" w:rsidR="00EC6EFC" w:rsidRPr="00EC6EFC" w:rsidRDefault="00EC6EFC" w:rsidP="00EC6EFC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4242" w14:textId="77777777" w:rsidR="00EC6EFC" w:rsidRPr="00EC6EFC" w:rsidRDefault="00EC6EFC" w:rsidP="00EC6EFC">
            <w:pPr>
              <w:widowControl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b/>
                <w:bCs/>
                <w:color w:val="000000"/>
                <w:sz w:val="22"/>
                <w:szCs w:val="22"/>
                <w:lang w:eastAsia="ru-RU"/>
              </w:rPr>
              <w:t>2 661,4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9259" w14:textId="77777777" w:rsidR="00EC6EFC" w:rsidRPr="00EC6EFC" w:rsidRDefault="00EC6EFC" w:rsidP="00EC6EFC">
            <w:pPr>
              <w:widowControl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b/>
                <w:bCs/>
                <w:color w:val="000000"/>
                <w:sz w:val="22"/>
                <w:szCs w:val="22"/>
                <w:lang w:eastAsia="ru-RU"/>
              </w:rPr>
              <w:t>2 613,5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5F43" w14:textId="77777777" w:rsidR="00EC6EFC" w:rsidRPr="00EC6EFC" w:rsidRDefault="00EC6EFC" w:rsidP="00EC6EFC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98,2%</w:t>
            </w:r>
          </w:p>
        </w:tc>
      </w:tr>
      <w:tr w:rsidR="00EC6EFC" w:rsidRPr="00EC6EFC" w14:paraId="7B4C1E5A" w14:textId="77777777" w:rsidTr="006E11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350A" w14:textId="77777777" w:rsidR="00EC6EFC" w:rsidRPr="00EC6EFC" w:rsidRDefault="00EC6EFC" w:rsidP="00EC6EF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A69C" w14:textId="77777777" w:rsidR="00EC6EFC" w:rsidRPr="00EC6EFC" w:rsidRDefault="00EC6EFC" w:rsidP="00EC6EFC">
            <w:pPr>
              <w:widowControl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по республиканскому бюджету КБР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90C1" w14:textId="77777777" w:rsidR="00EC6EFC" w:rsidRPr="00EC6EFC" w:rsidRDefault="00EC6EFC" w:rsidP="00EC6EFC">
            <w:pPr>
              <w:widowControl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b/>
                <w:bCs/>
                <w:color w:val="000000"/>
                <w:sz w:val="22"/>
                <w:szCs w:val="22"/>
                <w:lang w:eastAsia="ru-RU"/>
              </w:rPr>
              <w:t>63 883,6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0D1C" w14:textId="77777777" w:rsidR="00EC6EFC" w:rsidRPr="00EC6EFC" w:rsidRDefault="00EC6EFC" w:rsidP="00EC6EFC">
            <w:pPr>
              <w:widowControl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C6EFC">
              <w:rPr>
                <w:b/>
                <w:bCs/>
                <w:color w:val="000000"/>
                <w:sz w:val="22"/>
                <w:szCs w:val="22"/>
                <w:lang w:eastAsia="ru-RU"/>
              </w:rPr>
              <w:t>63 162,8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D293" w14:textId="77777777" w:rsidR="00EC6EFC" w:rsidRPr="00EC6EFC" w:rsidRDefault="00EC6EFC" w:rsidP="00EC6EFC">
            <w:pPr>
              <w:widowControl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6EFC">
              <w:rPr>
                <w:b/>
                <w:bCs/>
                <w:color w:val="000000"/>
                <w:sz w:val="24"/>
                <w:szCs w:val="24"/>
                <w:lang w:eastAsia="ru-RU"/>
              </w:rPr>
              <w:t>98,9%</w:t>
            </w:r>
          </w:p>
        </w:tc>
      </w:tr>
    </w:tbl>
    <w:p w14:paraId="60AD95CC" w14:textId="33BEE3F0" w:rsidR="00EC6EFC" w:rsidRDefault="00EC6EFC" w:rsidP="0082617E">
      <w:pPr>
        <w:pStyle w:val="1"/>
        <w:numPr>
          <w:ilvl w:val="0"/>
          <w:numId w:val="0"/>
        </w:numPr>
        <w:spacing w:before="0" w:after="0"/>
        <w:ind w:firstLine="709"/>
        <w:rPr>
          <w:color w:val="FF0000"/>
        </w:rPr>
      </w:pPr>
    </w:p>
    <w:p w14:paraId="27E34AD7" w14:textId="7F843494" w:rsidR="00F811F4" w:rsidRDefault="00F811F4" w:rsidP="0082617E">
      <w:r w:rsidRPr="005126AE">
        <w:t xml:space="preserve">Кассовое исполнение региональных проектов </w:t>
      </w:r>
      <w:r w:rsidR="00A52728" w:rsidRPr="005126AE">
        <w:t>за 202</w:t>
      </w:r>
      <w:r w:rsidR="005126AE" w:rsidRPr="005126AE">
        <w:t>4</w:t>
      </w:r>
      <w:r w:rsidR="00A52728" w:rsidRPr="005126AE">
        <w:t xml:space="preserve"> год</w:t>
      </w:r>
      <w:r w:rsidRPr="005126AE">
        <w:t xml:space="preserve"> составило </w:t>
      </w:r>
      <w:r w:rsidR="006E3F8C" w:rsidRPr="005126AE">
        <w:br/>
      </w:r>
      <w:r w:rsidR="005126AE" w:rsidRPr="005126AE">
        <w:t>10 379,0</w:t>
      </w:r>
      <w:r w:rsidRPr="005126AE">
        <w:t xml:space="preserve"> млн рублей или </w:t>
      </w:r>
      <w:r w:rsidR="00E51D28" w:rsidRPr="005126AE">
        <w:t>9</w:t>
      </w:r>
      <w:r w:rsidR="005A4001" w:rsidRPr="005126AE">
        <w:t>9</w:t>
      </w:r>
      <w:r w:rsidR="00E26801" w:rsidRPr="005126AE">
        <w:t>,</w:t>
      </w:r>
      <w:r w:rsidR="005126AE" w:rsidRPr="005126AE">
        <w:t>9</w:t>
      </w:r>
      <w:r w:rsidR="00E26801" w:rsidRPr="005126AE">
        <w:t xml:space="preserve"> </w:t>
      </w:r>
      <w:r w:rsidRPr="005126AE">
        <w:t xml:space="preserve">% от плановых назначений, установленных уточненной бюджетной росписью. Доля расходов на региональные проекты в общем объеме исполненных расходов за </w:t>
      </w:r>
      <w:r w:rsidR="0012006B" w:rsidRPr="005126AE">
        <w:t>202</w:t>
      </w:r>
      <w:r w:rsidR="005126AE" w:rsidRPr="005126AE">
        <w:t>4</w:t>
      </w:r>
      <w:r w:rsidR="0012006B" w:rsidRPr="005126AE">
        <w:t xml:space="preserve"> год</w:t>
      </w:r>
      <w:r w:rsidRPr="005126AE">
        <w:t xml:space="preserve"> составляет </w:t>
      </w:r>
      <w:r w:rsidR="00E26801" w:rsidRPr="005126AE">
        <w:t>1</w:t>
      </w:r>
      <w:r w:rsidR="005126AE" w:rsidRPr="005126AE">
        <w:t>6,4</w:t>
      </w:r>
      <w:r w:rsidR="00E26801" w:rsidRPr="005126AE">
        <w:t xml:space="preserve"> </w:t>
      </w:r>
      <w:r w:rsidRPr="005126AE">
        <w:t xml:space="preserve">%. </w:t>
      </w:r>
    </w:p>
    <w:p w14:paraId="0DE20383" w14:textId="77777777" w:rsidR="00CB25D6" w:rsidRDefault="00CB25D6" w:rsidP="0082617E"/>
    <w:p w14:paraId="5EF4763B" w14:textId="29B7D33D" w:rsidR="00CB25D6" w:rsidRDefault="00CB25D6" w:rsidP="001C6791">
      <w:pPr>
        <w:jc w:val="center"/>
        <w:rPr>
          <w:b/>
          <w:bCs/>
          <w:color w:val="000000"/>
          <w:lang w:eastAsia="ru-RU"/>
        </w:rPr>
      </w:pPr>
      <w:r w:rsidRPr="005E2D2E">
        <w:rPr>
          <w:b/>
          <w:bCs/>
          <w:color w:val="000000"/>
          <w:lang w:eastAsia="ru-RU"/>
        </w:rPr>
        <w:t xml:space="preserve">Сведения об исполнении </w:t>
      </w:r>
      <w:r w:rsidR="001C6791">
        <w:rPr>
          <w:b/>
          <w:bCs/>
          <w:color w:val="000000"/>
          <w:lang w:eastAsia="ru-RU"/>
        </w:rPr>
        <w:t>национальных</w:t>
      </w:r>
      <w:r w:rsidRPr="005E2D2E">
        <w:rPr>
          <w:b/>
          <w:bCs/>
          <w:color w:val="000000"/>
          <w:lang w:eastAsia="ru-RU"/>
        </w:rPr>
        <w:t xml:space="preserve"> проектов за 2024 год</w:t>
      </w:r>
    </w:p>
    <w:p w14:paraId="0292B815" w14:textId="77777777" w:rsidR="00CB25D6" w:rsidRDefault="00CB25D6" w:rsidP="0082617E">
      <w:pPr>
        <w:rPr>
          <w:b/>
          <w:bCs/>
          <w:color w:val="000000"/>
          <w:lang w:eastAsia="ru-RU"/>
        </w:rPr>
      </w:pPr>
    </w:p>
    <w:p w14:paraId="5C1C3523" w14:textId="77777777" w:rsidR="00CB25D6" w:rsidRPr="00726F5B" w:rsidRDefault="00CB25D6" w:rsidP="00CB25D6">
      <w:pPr>
        <w:widowControl/>
        <w:ind w:firstLine="0"/>
        <w:jc w:val="right"/>
        <w:rPr>
          <w:color w:val="000000"/>
          <w:sz w:val="22"/>
          <w:szCs w:val="22"/>
          <w:lang w:eastAsia="ru-RU"/>
        </w:rPr>
      </w:pPr>
      <w:r w:rsidRPr="00726F5B">
        <w:rPr>
          <w:color w:val="000000"/>
          <w:sz w:val="22"/>
          <w:szCs w:val="22"/>
          <w:lang w:eastAsia="ru-RU"/>
        </w:rPr>
        <w:t>(млн рублей)</w:t>
      </w:r>
    </w:p>
    <w:tbl>
      <w:tblPr>
        <w:tblW w:w="1049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851"/>
        <w:gridCol w:w="850"/>
        <w:gridCol w:w="992"/>
        <w:gridCol w:w="851"/>
        <w:gridCol w:w="850"/>
        <w:gridCol w:w="851"/>
        <w:gridCol w:w="850"/>
        <w:gridCol w:w="851"/>
      </w:tblGrid>
      <w:tr w:rsidR="00726F5B" w:rsidRPr="00726F5B" w14:paraId="029F3EDE" w14:textId="77777777" w:rsidTr="00CB25D6">
        <w:trPr>
          <w:trHeight w:val="30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1336871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DEA78A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723174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83FCCC4" w14:textId="77777777" w:rsidR="00726F5B" w:rsidRPr="006E113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13B">
              <w:rPr>
                <w:b/>
                <w:bCs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726F5B" w:rsidRPr="00726F5B" w14:paraId="1CAB1D2B" w14:textId="77777777" w:rsidTr="00CB25D6">
        <w:trPr>
          <w:trHeight w:val="30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323B7EF3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2F8201E1" w14:textId="77777777" w:rsidR="00726F5B" w:rsidRPr="00726F5B" w:rsidRDefault="00726F5B" w:rsidP="00726F5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298ED7CD" w14:textId="77777777" w:rsidR="00726F5B" w:rsidRPr="00726F5B" w:rsidRDefault="00726F5B" w:rsidP="00726F5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67F99CC0" w14:textId="77777777" w:rsidR="00726F5B" w:rsidRPr="00726F5B" w:rsidRDefault="00726F5B" w:rsidP="00726F5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6DFF6450" w14:textId="77777777" w:rsidR="00726F5B" w:rsidRPr="00726F5B" w:rsidRDefault="00726F5B" w:rsidP="00726F5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79B846D9" w14:textId="77777777" w:rsidR="00726F5B" w:rsidRPr="00726F5B" w:rsidRDefault="00726F5B" w:rsidP="00726F5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2D82E15A" w14:textId="77777777" w:rsidR="00726F5B" w:rsidRPr="00726F5B" w:rsidRDefault="00726F5B" w:rsidP="00726F5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110C108A" w14:textId="77777777" w:rsidR="00726F5B" w:rsidRPr="006E113B" w:rsidRDefault="00726F5B" w:rsidP="00726F5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1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16E3459E" w14:textId="77777777" w:rsidR="00726F5B" w:rsidRPr="006E113B" w:rsidRDefault="00726F5B" w:rsidP="00726F5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13B">
              <w:rPr>
                <w:b/>
                <w:bCs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27F27CD1" w14:textId="77777777" w:rsidR="00726F5B" w:rsidRPr="006E113B" w:rsidRDefault="00726F5B" w:rsidP="00726F5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13B">
              <w:rPr>
                <w:b/>
                <w:bCs/>
                <w:color w:val="000000"/>
                <w:sz w:val="20"/>
                <w:szCs w:val="20"/>
                <w:lang w:eastAsia="ru-RU"/>
              </w:rPr>
              <w:t>РБ</w:t>
            </w:r>
          </w:p>
        </w:tc>
      </w:tr>
      <w:tr w:rsidR="00726F5B" w:rsidRPr="00726F5B" w14:paraId="3608B9A0" w14:textId="77777777" w:rsidTr="00CB25D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vAlign w:val="center"/>
            <w:hideMark/>
          </w:tcPr>
          <w:p w14:paraId="6B8AB9C9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4406329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10 384,3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3CCF3A9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7 178,1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7507C97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46C8917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10 379,0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1780E40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7 172,8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46B8FF6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3 206,3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422A7C2A" w14:textId="750D2DE6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72EA331E" w14:textId="7DCA63E2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D219" w:themeFill="accent3" w:themeFillShade="BF"/>
            <w:noWrap/>
            <w:vAlign w:val="center"/>
            <w:hideMark/>
          </w:tcPr>
          <w:p w14:paraId="1DB7FA44" w14:textId="44CB747C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1F446F00" w14:textId="77777777" w:rsidTr="00CB25D6">
        <w:trPr>
          <w:trHeight w:val="5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07C60E70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«Культура»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42493F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A4D23D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C643F3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CDA6B4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252B9D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AB063A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BEB7235" w14:textId="728BFC5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28916BF" w14:textId="43FA6F72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03A7FC5" w14:textId="04F1927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78E3480A" w14:textId="77777777" w:rsidTr="00CB25D6">
        <w:trPr>
          <w:trHeight w:val="6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22F3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96D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E31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B90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E8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DC6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050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9CA03" w14:textId="47A3BA2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7960D" w14:textId="5A938FD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5D12" w14:textId="2B36C91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2D9BB251" w14:textId="77777777" w:rsidTr="00CB25D6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92EE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«Творческие люди»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928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EA6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4A3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D7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0B8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DD7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B4AA" w14:textId="1BF79AA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9B6B4" w14:textId="78DA77A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2BBCE" w14:textId="06F3CF7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5ED1E358" w14:textId="77777777" w:rsidTr="00CB25D6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A29E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"Цифровая культура"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756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700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335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105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8AC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144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400C1" w14:textId="795990B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DAEB9" w14:textId="19B3E47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4DB67" w14:textId="6F5FB29C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719A47E2" w14:textId="77777777" w:rsidTr="00CB25D6">
        <w:trPr>
          <w:trHeight w:val="6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350B9A82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«Образование»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9334A8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3 655,0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FBE62E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3 420,7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5E4ED3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A6C504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3 655,0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84FDD8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3 420,7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AF3417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1225002" w14:textId="0A6C26DC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C645356" w14:textId="030CF67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FDDF8B0" w14:textId="7FE6F852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50DFB4CB" w14:textId="77777777" w:rsidTr="00CB25D6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A209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3B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3 310,4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B17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3 080,7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EA3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229,7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FA7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3 310,4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8B2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3 080,7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25E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229,7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34A9" w14:textId="356AF06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D0925" w14:textId="3E264E3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48A6F" w14:textId="575FECB2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509FCF64" w14:textId="77777777" w:rsidTr="00CB25D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A77D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34C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DCB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F5D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8DD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CB7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739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76F0" w14:textId="7A1CC5B9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B94B" w14:textId="485C5AE7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B3F80" w14:textId="5CCD7DF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7CA4CF58" w14:textId="77777777" w:rsidTr="00CB25D6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0A85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"Социальная активность"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45F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F0A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A51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3C7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BA2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603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6703" w14:textId="2CAE931D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C50B" w14:textId="74C7641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B00A6" w14:textId="0F0514D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38645870" w14:textId="77777777" w:rsidTr="00CB25D6">
        <w:trPr>
          <w:trHeight w:val="10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6AAA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D3C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235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49A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6AB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0EC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9E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6307C" w14:textId="0976FF8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B3CD" w14:textId="71CF0B1B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A681" w14:textId="40BED28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46151D9B" w14:textId="77777777" w:rsidTr="00CB25D6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95A7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271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A90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3AE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82D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7B4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DCC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DE63" w14:textId="1B61ABC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42A0" w14:textId="3B471BC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4B29D" w14:textId="60C6F3D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66644F30" w14:textId="77777777" w:rsidTr="00CB25D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331DA4B7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«Жилье и городская среда»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344DF6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43BC4A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3F4A1D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AF0DCF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55ABEB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554108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50C04E7" w14:textId="20863F4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92512A5" w14:textId="1A5AD7A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E49202D" w14:textId="640F1D2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64447A6A" w14:textId="77777777" w:rsidTr="00CB25D6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D368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16F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02C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C42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75B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45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F8B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22E8B" w14:textId="71F3859D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07A36" w14:textId="13E026EB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D633A" w14:textId="4622C87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3F29171D" w14:textId="77777777" w:rsidTr="00CB25D6">
        <w:trPr>
          <w:trHeight w:val="1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2640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«Устойчивого сокращения непригодного для проживания жилищного фонда»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34C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78E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FC0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331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F8B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EFF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11FF6" w14:textId="1A2ABDD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DC4F" w14:textId="0CE2981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A886" w14:textId="1A4D41B2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12C95A22" w14:textId="77777777" w:rsidTr="00CB25D6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266885E2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«Экология»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2E4FA7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56A102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0FBAA3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1BD392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347343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DABD2A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3BCA630" w14:textId="52CD6867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7403349" w14:textId="00564B2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A863669" w14:textId="77777777" w:rsid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14:paraId="74FC6C08" w14:textId="7408A3F0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26F5B" w:rsidRPr="00726F5B" w14:paraId="11399E92" w14:textId="77777777" w:rsidTr="00CB25D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7B21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«Сохранение уникальных водных объектов»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845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F84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097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0B7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B9A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8C6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9A90" w14:textId="2C7AB34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B7608" w14:textId="4F26FF12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BE415" w14:textId="3D261ED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26F5B" w:rsidRPr="00726F5B" w14:paraId="68B609C7" w14:textId="77777777" w:rsidTr="00CB25D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0F91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«Сохранение лесов»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274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EDC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492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572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41E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AA8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C45A0" w14:textId="4407B16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7EEA1" w14:textId="3345A59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A78B9" w14:textId="42F1CFA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26F5B" w:rsidRPr="00726F5B" w14:paraId="697316EB" w14:textId="77777777" w:rsidTr="00CB25D6">
        <w:trPr>
          <w:trHeight w:val="15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2AA1F674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2788DD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196,4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5E658C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0E9BFA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26A94A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196,4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DD5B7F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B003F4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3883C85" w14:textId="08FF24C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C8676F0" w14:textId="504F0B0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D8D86A3" w14:textId="37AE827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60218796" w14:textId="77777777" w:rsidTr="00CB25D6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3160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215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FA9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53D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E7D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7FB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9B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A1AA" w14:textId="43A8C78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89960" w14:textId="6F5D786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0CE92" w14:textId="742C78C1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2F97934E" w14:textId="77777777" w:rsidTr="00CB25D6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6973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201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FED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D72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251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D93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087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5B63D" w14:textId="5491EABC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D296A" w14:textId="2B4B0E9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A8685" w14:textId="3178A09B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5B3F2FB3" w14:textId="77777777" w:rsidTr="00CB25D6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DBE5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C1C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A94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1FE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62A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0E3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F9C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F02F0" w14:textId="3B33D74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7B24" w14:textId="26F8028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F8A1" w14:textId="319B62F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461795D9" w14:textId="77777777" w:rsidTr="00CB25D6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2215BF92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«Здравоохранение»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762F9D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823,9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B17709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D482A1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484E77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823,9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9B091F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5DD042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AF622D1" w14:textId="36FD2FFC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FA2780D" w14:textId="50EA2730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6E4798B" w14:textId="0928F95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44737FF3" w14:textId="77777777" w:rsidTr="00CB25D6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8332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«Борьба с сердечно-сосудистыми заболеваниями»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D51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37C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D37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487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D6D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FF9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E7656" w14:textId="26E0A1E1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E8E58" w14:textId="2C0F50E6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79C49" w14:textId="6F69648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214EAB56" w14:textId="77777777" w:rsidTr="00CB25D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688B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«Борьба с онкологическими заболеваниями»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591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855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A30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8C3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6B0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BD1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4BA67" w14:textId="1E2B2A40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FFC73" w14:textId="7C56982C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4AB5C" w14:textId="458C6BBD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7FE1FCF2" w14:textId="77777777" w:rsidTr="00CB25D6">
        <w:trPr>
          <w:trHeight w:val="17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BD95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F7F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80D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6D7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07A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C18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177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CA6D" w14:textId="1579F35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18DEA" w14:textId="0FBA268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E2D70" w14:textId="7EC73F3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5742585D" w14:textId="77777777" w:rsidTr="00CB25D6">
        <w:trPr>
          <w:trHeight w:val="1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D943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«Модернизация первичного звена здравоохранения Российской Федерации (Кабардино-Балкарская Республика)»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90D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70F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ED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3C6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62B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90E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AAA4" w14:textId="0D7885F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B278D" w14:textId="245BC8E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91B20" w14:textId="594A08B1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3FA12F93" w14:textId="77777777" w:rsidTr="00CB25D6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2744DB67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«Демография»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7A1BC5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1 073,7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2C1FDE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735C97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57F294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1 073,7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A5E9DF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ADE260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764CD15" w14:textId="1442D3A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11C5481" w14:textId="257E3A1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6E2A359" w14:textId="0B1ACC8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25481998" w14:textId="77777777" w:rsidTr="00CB25D6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F49E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1F8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745,7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290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402,6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01D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DC2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745,7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E8E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402,6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031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343,1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B942" w14:textId="1108F63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EC39" w14:textId="402B05A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18FB" w14:textId="437EC68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18BB2FDA" w14:textId="77777777" w:rsidTr="00CB25D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AFD6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«Содействие занятости»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9D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3CB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811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265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D3A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B2F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D8CE4" w14:textId="4DB3186B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2D487" w14:textId="6DC6D97D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026BF" w14:textId="08CE62D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38ACB1BF" w14:textId="77777777" w:rsidTr="00CB25D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7617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«Старшее поколение»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3D8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307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4FE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F2E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ECB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B2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6EFB" w14:textId="1EE39A0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57AC" w14:textId="09387D1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B15B6" w14:textId="753AEA8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621C22DA" w14:textId="77777777" w:rsidTr="00CB25D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C2EE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«Спорт - норма жизни»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F66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CF3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A1D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75D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90D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7D1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19D9F" w14:textId="196CB5A6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BFAC" w14:textId="6B273DE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EAF9" w14:textId="7DD94EAC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48BBA360" w14:textId="77777777" w:rsidTr="00CB25D6">
        <w:trPr>
          <w:trHeight w:val="12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6C720193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«Безопасные и качественные автомобильные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CB3525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2 899,1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669FF9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B7FEC3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2 182,3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59522E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2 899,1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569424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2214EE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2 182,3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2DCBFF8" w14:textId="742E86DE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9BD74F2" w14:textId="5800081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43C4F50" w14:textId="0E136910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2C8E5E3A" w14:textId="77777777" w:rsidTr="00CB25D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88B1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«Региональная и местная дорожная сеть»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E0F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2 473,2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53F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2EF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1 756,5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F76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2 473,2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A73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308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1 756,5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D06A0" w14:textId="5626E23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41DAF" w14:textId="7CC9574C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3C2A0" w14:textId="5295C652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233DF67F" w14:textId="77777777" w:rsidTr="00CB25D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9256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E11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B59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52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112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D74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0EB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84B5" w14:textId="6AF83BA9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BE1C2" w14:textId="2FE9D9AA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08652" w14:textId="244C5FA0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2DBBEABE" w14:textId="77777777" w:rsidTr="00CB25D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1F89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"Развитие общественного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837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3F81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23B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D91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7CD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EA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398,6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A6769" w14:textId="7A06B9D0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E1990" w14:textId="172EE696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76AE0" w14:textId="681CCCCC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311A05D5" w14:textId="77777777" w:rsidTr="00CB25D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1D294CEC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«Международная кооперация и экспорт»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478C1A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7AA7EF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2D6566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3BE550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7D01D8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6095174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E86BCB0" w14:textId="5EA0CE0B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20174D8" w14:textId="659A3F8B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CEC5232" w14:textId="0F0FA021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0701115C" w14:textId="77777777" w:rsidTr="00CB25D6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82A9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75C6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E16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25C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73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D02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B54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ECB47" w14:textId="6D26765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90BC8" w14:textId="14AF8B46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5B8D7" w14:textId="227DA5A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12126738" w14:textId="77777777" w:rsidTr="00CB25D6">
        <w:trPr>
          <w:trHeight w:val="9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4F03B6A3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«Производительность труда»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C82583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F8011E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F3A7F9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23C923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8C1950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57F19F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813EC34" w14:textId="3698941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F5947B4" w14:textId="19DFE291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F20A2CD" w14:textId="726CDB1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582ED156" w14:textId="77777777" w:rsidTr="00CB25D6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9387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«Адресная поддержка повышения производительности труда на предприятиях»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871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8B60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B6E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356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918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D13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587C" w14:textId="561D78AD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A676A" w14:textId="2419D823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E033B" w14:textId="6AD58C7F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6140D577" w14:textId="77777777" w:rsidTr="00CB25D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1721C775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«Туризм и индустрия гостеприимства»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5ED869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451BD8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EDFC57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9A8657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C4A49C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8FCF0F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AB625B9" w14:textId="2DE773F8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8D2282A" w14:textId="77322F56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15B93C5" w14:textId="0E984B9B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1E74B107" w14:textId="77777777" w:rsidTr="00CB25D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1B76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«Развитие туристической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408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546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3AC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8B7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C77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517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B931" w14:textId="7B133BA5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8104" w14:textId="12C7F9BD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A45CE" w14:textId="60578D94" w:rsidR="00726F5B" w:rsidRPr="00726F5B" w:rsidRDefault="00726F5B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05D5F912" w14:textId="77777777" w:rsidTr="00CB25D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7DB80E10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«Цифровая экономика»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90088AE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488414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A3CC78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8BFB9F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E4D575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81BDFE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0693ED0" w14:textId="3837575D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09B9DAF" w14:textId="3D32128A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CFD2089" w14:textId="0DDDEB4A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60E462BA" w14:textId="77777777" w:rsidTr="00CB25D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DE15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"Цифровое государственное управление"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D4D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6C9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5ADD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A0FB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F1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495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5591" w14:textId="3721169F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4FAE" w14:textId="3EDC071B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7BF0" w14:textId="022AFE99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26F5B" w:rsidRPr="00726F5B" w14:paraId="26767676" w14:textId="77777777" w:rsidTr="00CB25D6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vAlign w:val="center"/>
            <w:hideMark/>
          </w:tcPr>
          <w:p w14:paraId="34AC70C8" w14:textId="77777777" w:rsidR="00726F5B" w:rsidRPr="00726F5B" w:rsidRDefault="00726F5B" w:rsidP="00726F5B">
            <w:pPr>
              <w:widowControl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"Беспилотные авиационные системы"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566F821F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0EDFB47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371AB423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167D6F12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651ABC89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DBFBA0C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4F5135E0" w14:textId="4FAEB3D7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798CB235" w14:textId="30850FFE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6B9" w:themeFill="accent3" w:themeFillTint="66"/>
            <w:noWrap/>
            <w:vAlign w:val="center"/>
            <w:hideMark/>
          </w:tcPr>
          <w:p w14:paraId="259D814F" w14:textId="71FA97E4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26F5B" w:rsidRPr="00726F5B" w14:paraId="1DA71094" w14:textId="77777777" w:rsidTr="00CB25D6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60A4" w14:textId="77777777" w:rsidR="00726F5B" w:rsidRPr="00726F5B" w:rsidRDefault="00726F5B" w:rsidP="00726F5B">
            <w:pPr>
              <w:widowControl/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26F5B">
              <w:rPr>
                <w:color w:val="000000"/>
                <w:sz w:val="20"/>
                <w:szCs w:val="20"/>
                <w:lang w:eastAsia="ru-RU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29E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50D8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44B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D695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CB27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536A" w14:textId="77777777" w:rsidR="00726F5B" w:rsidRPr="00726F5B" w:rsidRDefault="00726F5B" w:rsidP="006E113B">
            <w:pPr>
              <w:widowControl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6F5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BE7B" w14:textId="3ECC8704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5EA2" w14:textId="556CED22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6408C" w14:textId="6EAA5BB1" w:rsidR="00726F5B" w:rsidRPr="00726F5B" w:rsidRDefault="002C5489" w:rsidP="006E113B">
            <w:pPr>
              <w:widowControl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0D5AB3CF" w14:textId="133782B7" w:rsidR="005B66DF" w:rsidRPr="00CB25D6" w:rsidRDefault="005B66DF" w:rsidP="00107F0F">
      <w:pPr>
        <w:jc w:val="right"/>
        <w:rPr>
          <w:sz w:val="16"/>
          <w:szCs w:val="16"/>
        </w:rPr>
      </w:pPr>
    </w:p>
    <w:p w14:paraId="44D65AD7" w14:textId="381F5EDF" w:rsidR="004C3927" w:rsidRPr="00BB1A6F" w:rsidRDefault="004C3927" w:rsidP="004C3927">
      <w:pPr>
        <w:rPr>
          <w:color w:val="auto"/>
        </w:rPr>
      </w:pPr>
      <w:r w:rsidRPr="00BB1A6F">
        <w:rPr>
          <w:color w:val="auto"/>
        </w:rPr>
        <w:t xml:space="preserve">По состоянию на 1 января 2025 года государственный долг </w:t>
      </w:r>
      <w:r w:rsidR="006E113B">
        <w:rPr>
          <w:color w:val="auto"/>
        </w:rPr>
        <w:br/>
      </w:r>
      <w:r w:rsidRPr="00BB1A6F">
        <w:rPr>
          <w:color w:val="auto"/>
        </w:rPr>
        <w:t>Кабардино-Балкарской Республики составил 7 559,7 млн рублей.</w:t>
      </w:r>
    </w:p>
    <w:p w14:paraId="6E67B089" w14:textId="78074100" w:rsidR="004C3927" w:rsidRPr="007253A4" w:rsidRDefault="004C3927" w:rsidP="004C3927">
      <w:pPr>
        <w:rPr>
          <w:color w:val="auto"/>
        </w:rPr>
      </w:pPr>
      <w:r w:rsidRPr="007253A4">
        <w:rPr>
          <w:color w:val="auto"/>
        </w:rPr>
        <w:t>По сравнению с 1 января 2024 года объем государственного долга сократился на 180,1 млн рублей за счет погашения бюджетного кредита на опережающее финансирование в сумме 29,5 млн рублей, инфраструктурного бюджетного кредита в сумме 30,6 млн рублей, а также реструктурированной задолженности по бюджетным кредитам в сумме 120,0 млн рублей (с учетом поправок, освобождающих субъекты Российской Федерации от погашения в 2024 году 2/3 реструктурированной задолженности по бюджетным кредитам в соответствии с постановлением Правительства Рос</w:t>
      </w:r>
      <w:r w:rsidR="00C33D95">
        <w:rPr>
          <w:color w:val="auto"/>
        </w:rPr>
        <w:t>сийской Федерации от 26.09.</w:t>
      </w:r>
      <w:r w:rsidRPr="007253A4">
        <w:rPr>
          <w:color w:val="auto"/>
        </w:rPr>
        <w:t xml:space="preserve">2024 </w:t>
      </w:r>
      <w:r w:rsidR="00C314E4">
        <w:rPr>
          <w:color w:val="auto"/>
        </w:rPr>
        <w:t>года</w:t>
      </w:r>
      <w:r w:rsidRPr="007253A4">
        <w:rPr>
          <w:color w:val="auto"/>
        </w:rPr>
        <w:t xml:space="preserve"> № 1307).</w:t>
      </w:r>
    </w:p>
    <w:p w14:paraId="1AEC6E15" w14:textId="1D77E629" w:rsidR="004C3927" w:rsidRPr="007253A4" w:rsidRDefault="004C3927" w:rsidP="004C3927">
      <w:pPr>
        <w:rPr>
          <w:color w:val="FF0000"/>
        </w:rPr>
      </w:pPr>
      <w:r w:rsidRPr="00BB4E78">
        <w:rPr>
          <w:color w:val="auto"/>
        </w:rPr>
        <w:t>Доля</w:t>
      </w:r>
      <w:r w:rsidRPr="00BB4E78">
        <w:rPr>
          <w:iCs/>
          <w:color w:val="auto"/>
        </w:rPr>
        <w:t xml:space="preserve"> общего объема государственного долга в объеме доходов республиканского бюджета без учета безвозмездных поступлений составила 35,8 % при обязательстве 45,0 %, что обеспечило с</w:t>
      </w:r>
      <w:r w:rsidRPr="00BB4E78">
        <w:rPr>
          <w:color w:val="auto"/>
        </w:rPr>
        <w:t>облюдение ограничений по уровню государственного долга, предусмотренных условиями соглашений, заключе</w:t>
      </w:r>
      <w:r w:rsidR="00C33D95">
        <w:rPr>
          <w:color w:val="auto"/>
        </w:rPr>
        <w:t>нных с Министерством финансов Российской Федерации</w:t>
      </w:r>
      <w:r w:rsidRPr="00BB4E78">
        <w:rPr>
          <w:color w:val="auto"/>
        </w:rPr>
        <w:t xml:space="preserve"> по реструктуризации бюджетных кредитов.</w:t>
      </w:r>
    </w:p>
    <w:p w14:paraId="7B47EE46" w14:textId="77777777" w:rsidR="00426210" w:rsidRPr="00034CD9" w:rsidRDefault="004C3927" w:rsidP="004C3927">
      <w:pPr>
        <w:rPr>
          <w:color w:val="FF0000"/>
        </w:rPr>
      </w:pPr>
      <w:r w:rsidRPr="00BB1A6F">
        <w:rPr>
          <w:color w:val="auto"/>
          <w:lang w:eastAsia="ru-RU"/>
        </w:rPr>
        <w:t xml:space="preserve">Структура республиканского внутреннего долга по состоянию на 1 января </w:t>
      </w:r>
      <w:r w:rsidRPr="00BB1A6F">
        <w:rPr>
          <w:color w:val="auto"/>
          <w:lang w:eastAsia="ru-RU"/>
        </w:rPr>
        <w:br/>
        <w:t>2025 года характеризуется следующим образом:</w:t>
      </w:r>
    </w:p>
    <w:p w14:paraId="63AE2ABD" w14:textId="31492557" w:rsidR="004C3927" w:rsidRPr="008D3586" w:rsidRDefault="004C3927" w:rsidP="004C3927">
      <w:pPr>
        <w:pStyle w:val="af"/>
        <w:tabs>
          <w:tab w:val="left" w:pos="993"/>
        </w:tabs>
        <w:ind w:firstLine="0"/>
        <w:jc w:val="right"/>
        <w:rPr>
          <w:i/>
        </w:rPr>
      </w:pPr>
      <w:r w:rsidRPr="008D3586">
        <w:rPr>
          <w:i/>
        </w:rPr>
        <w:t>(тыс. рублей)</w:t>
      </w:r>
    </w:p>
    <w:tbl>
      <w:tblPr>
        <w:tblW w:w="10346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701"/>
        <w:gridCol w:w="1627"/>
        <w:gridCol w:w="1701"/>
        <w:gridCol w:w="1987"/>
      </w:tblGrid>
      <w:tr w:rsidR="004C3927" w:rsidRPr="00806624" w14:paraId="5F74B89C" w14:textId="77777777" w:rsidTr="00C33D95">
        <w:trPr>
          <w:trHeight w:val="729"/>
          <w:tblHeader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7339" w14:textId="77777777" w:rsidR="004C3927" w:rsidRPr="00806624" w:rsidRDefault="004C3927" w:rsidP="00997CA7">
            <w:pPr>
              <w:tabs>
                <w:tab w:val="left" w:pos="460"/>
              </w:tabs>
              <w:spacing w:line="256" w:lineRule="auto"/>
              <w:ind w:firstLine="178"/>
              <w:jc w:val="center"/>
              <w:rPr>
                <w:sz w:val="24"/>
                <w:szCs w:val="24"/>
              </w:rPr>
            </w:pPr>
            <w:r w:rsidRPr="00806624">
              <w:rPr>
                <w:sz w:val="24"/>
                <w:szCs w:val="24"/>
              </w:rPr>
              <w:t>Виды долговых 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0E06" w14:textId="1081FE96" w:rsidR="004C3927" w:rsidRPr="00806624" w:rsidRDefault="004C3927" w:rsidP="00997CA7">
            <w:pPr>
              <w:tabs>
                <w:tab w:val="left" w:pos="993"/>
              </w:tabs>
              <w:spacing w:line="256" w:lineRule="auto"/>
              <w:ind w:firstLine="36"/>
              <w:jc w:val="center"/>
              <w:rPr>
                <w:sz w:val="24"/>
                <w:szCs w:val="24"/>
              </w:rPr>
            </w:pPr>
            <w:r w:rsidRPr="00806624">
              <w:rPr>
                <w:sz w:val="24"/>
                <w:szCs w:val="24"/>
              </w:rPr>
              <w:t xml:space="preserve">Остаток к оплате на </w:t>
            </w:r>
            <w:r>
              <w:rPr>
                <w:sz w:val="24"/>
                <w:szCs w:val="24"/>
              </w:rPr>
              <w:t>0</w:t>
            </w:r>
            <w:r w:rsidRPr="00806624">
              <w:rPr>
                <w:sz w:val="24"/>
                <w:szCs w:val="24"/>
              </w:rPr>
              <w:t>1.01.202</w:t>
            </w:r>
            <w:r>
              <w:rPr>
                <w:sz w:val="24"/>
                <w:szCs w:val="24"/>
              </w:rPr>
              <w:t>4</w:t>
            </w:r>
            <w:r w:rsidRPr="00806624">
              <w:rPr>
                <w:sz w:val="24"/>
                <w:szCs w:val="24"/>
              </w:rPr>
              <w:t xml:space="preserve"> </w:t>
            </w:r>
            <w:r w:rsidR="0051479F">
              <w:rPr>
                <w:sz w:val="24"/>
                <w:szCs w:val="24"/>
              </w:rPr>
              <w:t>года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DE7D" w14:textId="77777777" w:rsidR="004C3927" w:rsidRPr="00806624" w:rsidRDefault="004C3927" w:rsidP="00997CA7">
            <w:pPr>
              <w:tabs>
                <w:tab w:val="left" w:pos="993"/>
              </w:tabs>
              <w:spacing w:line="256" w:lineRule="auto"/>
              <w:ind w:hanging="106"/>
              <w:jc w:val="center"/>
              <w:rPr>
                <w:sz w:val="24"/>
                <w:szCs w:val="24"/>
              </w:rPr>
            </w:pPr>
            <w:r w:rsidRPr="00806624">
              <w:rPr>
                <w:sz w:val="24"/>
                <w:szCs w:val="24"/>
              </w:rPr>
              <w:t>Привлечено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20E0" w14:textId="77777777" w:rsidR="004C3927" w:rsidRPr="00806624" w:rsidRDefault="004C3927" w:rsidP="00997CA7">
            <w:pPr>
              <w:tabs>
                <w:tab w:val="left" w:pos="993"/>
              </w:tabs>
              <w:spacing w:line="256" w:lineRule="auto"/>
              <w:ind w:firstLine="178"/>
              <w:rPr>
                <w:sz w:val="24"/>
                <w:szCs w:val="24"/>
              </w:rPr>
            </w:pPr>
            <w:r w:rsidRPr="00806624">
              <w:rPr>
                <w:sz w:val="24"/>
                <w:szCs w:val="24"/>
              </w:rPr>
              <w:t>Погашено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30573" w14:textId="208B5F47" w:rsidR="004C3927" w:rsidRPr="00806624" w:rsidRDefault="004C3927" w:rsidP="00997CA7">
            <w:pPr>
              <w:tabs>
                <w:tab w:val="left" w:pos="993"/>
              </w:tabs>
              <w:spacing w:line="256" w:lineRule="auto"/>
              <w:ind w:firstLine="37"/>
              <w:jc w:val="center"/>
              <w:rPr>
                <w:sz w:val="24"/>
                <w:szCs w:val="24"/>
              </w:rPr>
            </w:pPr>
            <w:r w:rsidRPr="00806624">
              <w:rPr>
                <w:sz w:val="24"/>
                <w:szCs w:val="24"/>
              </w:rPr>
              <w:t xml:space="preserve">Остаток к оплате на </w:t>
            </w:r>
            <w:r>
              <w:rPr>
                <w:sz w:val="24"/>
                <w:szCs w:val="24"/>
              </w:rPr>
              <w:t>0</w:t>
            </w:r>
            <w:r w:rsidRPr="00806624">
              <w:rPr>
                <w:sz w:val="24"/>
                <w:szCs w:val="24"/>
              </w:rPr>
              <w:t>1.01.202</w:t>
            </w:r>
            <w:r>
              <w:rPr>
                <w:sz w:val="24"/>
                <w:szCs w:val="24"/>
              </w:rPr>
              <w:t>5</w:t>
            </w:r>
            <w:r w:rsidRPr="00806624">
              <w:rPr>
                <w:sz w:val="24"/>
                <w:szCs w:val="24"/>
              </w:rPr>
              <w:t xml:space="preserve"> </w:t>
            </w:r>
            <w:r w:rsidR="0051479F">
              <w:rPr>
                <w:sz w:val="24"/>
                <w:szCs w:val="24"/>
              </w:rPr>
              <w:t>года</w:t>
            </w:r>
          </w:p>
        </w:tc>
      </w:tr>
      <w:tr w:rsidR="004C3927" w:rsidRPr="00806624" w14:paraId="7DEF0ED6" w14:textId="77777777" w:rsidTr="00C33D95">
        <w:trPr>
          <w:trHeight w:val="465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1C7B" w14:textId="77777777" w:rsidR="004C3927" w:rsidRPr="001E062E" w:rsidRDefault="004C3927" w:rsidP="00997CA7">
            <w:pPr>
              <w:tabs>
                <w:tab w:val="left" w:pos="460"/>
              </w:tabs>
              <w:spacing w:line="256" w:lineRule="auto"/>
              <w:ind w:firstLine="0"/>
              <w:jc w:val="left"/>
              <w:rPr>
                <w:sz w:val="24"/>
                <w:szCs w:val="24"/>
              </w:rPr>
            </w:pPr>
            <w:r w:rsidRPr="001E062E">
              <w:rPr>
                <w:sz w:val="24"/>
                <w:szCs w:val="24"/>
              </w:rPr>
              <w:t>Объем основного долга по бюджетным кредитам, полученным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04C10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6 241 741,2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2D031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9B21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120 027,0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104B9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6 121 714,2</w:t>
            </w:r>
          </w:p>
        </w:tc>
      </w:tr>
      <w:tr w:rsidR="004C3927" w:rsidRPr="00806624" w14:paraId="515D0B00" w14:textId="77777777" w:rsidTr="00C33D95">
        <w:trPr>
          <w:trHeight w:val="216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B95" w14:textId="77777777" w:rsidR="004C3927" w:rsidRPr="001E062E" w:rsidRDefault="004C3927" w:rsidP="00997CA7">
            <w:pPr>
              <w:tabs>
                <w:tab w:val="left" w:pos="460"/>
              </w:tabs>
              <w:spacing w:line="256" w:lineRule="auto"/>
              <w:ind w:firstLine="0"/>
              <w:jc w:val="left"/>
              <w:rPr>
                <w:sz w:val="24"/>
                <w:szCs w:val="24"/>
              </w:rPr>
            </w:pPr>
            <w:r w:rsidRPr="001E062E">
              <w:rPr>
                <w:sz w:val="24"/>
                <w:szCs w:val="24"/>
              </w:rPr>
              <w:t>Инфраструктурный кредит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3F612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1 070 013,5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413AA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335CD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30 571,8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3D988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1 039 441,7</w:t>
            </w:r>
          </w:p>
        </w:tc>
      </w:tr>
      <w:tr w:rsidR="004C3927" w:rsidRPr="00806624" w14:paraId="3B7793CA" w14:textId="77777777" w:rsidTr="00C33D95">
        <w:trPr>
          <w:trHeight w:val="216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DB9C" w14:textId="77777777" w:rsidR="004C3927" w:rsidRPr="001E062E" w:rsidRDefault="004C3927" w:rsidP="00997CA7">
            <w:pPr>
              <w:tabs>
                <w:tab w:val="left" w:pos="460"/>
              </w:tabs>
              <w:spacing w:line="25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Специальный казначейский кредит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DCFF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 w:rsidRPr="0003664C">
              <w:rPr>
                <w:sz w:val="24"/>
                <w:szCs w:val="24"/>
              </w:rPr>
              <w:t>398 562,8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ED6B7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FE72C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461C5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 w:rsidRPr="0003664C">
              <w:rPr>
                <w:sz w:val="24"/>
                <w:szCs w:val="24"/>
              </w:rPr>
              <w:t>398 562,8</w:t>
            </w:r>
          </w:p>
        </w:tc>
      </w:tr>
      <w:tr w:rsidR="004C3927" w:rsidRPr="00806624" w14:paraId="07E41D0C" w14:textId="77777777" w:rsidTr="00C33D95">
        <w:trPr>
          <w:trHeight w:val="216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253" w14:textId="77777777" w:rsidR="004C3927" w:rsidRDefault="004C3927" w:rsidP="00997CA7">
            <w:pPr>
              <w:tabs>
                <w:tab w:val="left" w:pos="460"/>
              </w:tabs>
              <w:spacing w:line="25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04645">
              <w:rPr>
                <w:sz w:val="24"/>
                <w:szCs w:val="24"/>
              </w:rPr>
              <w:t>юджетный кредит на опережающее финансирование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D911C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 w:rsidRPr="0003664C">
              <w:rPr>
                <w:sz w:val="24"/>
                <w:szCs w:val="24"/>
              </w:rPr>
              <w:t>29 533,9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8277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DD7E9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 w:rsidRPr="0003664C">
              <w:rPr>
                <w:sz w:val="24"/>
                <w:szCs w:val="24"/>
              </w:rPr>
              <w:t>29 533,9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0E6D3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3927" w:rsidRPr="00806624" w14:paraId="3539F91E" w14:textId="77777777" w:rsidTr="00C33D95">
        <w:trPr>
          <w:trHeight w:val="276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1A84" w14:textId="77777777" w:rsidR="004C3927" w:rsidRPr="001E062E" w:rsidRDefault="004C3927" w:rsidP="00997CA7">
            <w:pPr>
              <w:tabs>
                <w:tab w:val="left" w:pos="460"/>
              </w:tabs>
              <w:spacing w:line="256" w:lineRule="auto"/>
              <w:ind w:firstLine="0"/>
              <w:jc w:val="left"/>
              <w:rPr>
                <w:sz w:val="24"/>
                <w:szCs w:val="24"/>
              </w:rPr>
            </w:pPr>
            <w:r w:rsidRPr="001E062E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52CE4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 w:rsidRPr="00145ECE">
              <w:rPr>
                <w:sz w:val="24"/>
                <w:szCs w:val="24"/>
              </w:rPr>
              <w:t>7 739 851,5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81918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87A1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180 132,7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B2A7E" w14:textId="77777777" w:rsidR="004C3927" w:rsidRPr="001E062E" w:rsidRDefault="004C3927" w:rsidP="00997C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7 559 718,7</w:t>
            </w:r>
          </w:p>
        </w:tc>
      </w:tr>
    </w:tbl>
    <w:p w14:paraId="0C16C978" w14:textId="76820A7F" w:rsidR="004C3927" w:rsidRDefault="004C3927" w:rsidP="004C3927">
      <w:pPr>
        <w:rPr>
          <w:sz w:val="16"/>
          <w:szCs w:val="16"/>
        </w:rPr>
      </w:pPr>
    </w:p>
    <w:p w14:paraId="75D9B2F4" w14:textId="77777777" w:rsidR="002B4B98" w:rsidRPr="002B4B98" w:rsidRDefault="002B4B98" w:rsidP="004C3927"/>
    <w:p w14:paraId="613BC4B4" w14:textId="77777777" w:rsidR="004C3927" w:rsidRPr="002B4B98" w:rsidRDefault="004C3927" w:rsidP="004C3927">
      <w:pPr>
        <w:rPr>
          <w:color w:val="auto"/>
        </w:rPr>
      </w:pPr>
      <w:r w:rsidRPr="002B4B98">
        <w:rPr>
          <w:color w:val="auto"/>
        </w:rPr>
        <w:t>По итогам 2024 года республиканский бюджет</w:t>
      </w:r>
      <w:r w:rsidRPr="002B4B98">
        <w:rPr>
          <w:rFonts w:eastAsia="Calibri"/>
          <w:color w:val="auto"/>
        </w:rPr>
        <w:t xml:space="preserve"> Кабардино-Балкарской Республики исполнен с </w:t>
      </w:r>
      <w:r w:rsidRPr="002B4B98">
        <w:rPr>
          <w:color w:val="auto"/>
        </w:rPr>
        <w:t>дефицитом 757,3 млн рублей.</w:t>
      </w:r>
    </w:p>
    <w:p w14:paraId="4CF60B80" w14:textId="354EC6FE" w:rsidR="004C3927" w:rsidRPr="002B4B98" w:rsidRDefault="004C3927" w:rsidP="004C3927">
      <w:pPr>
        <w:pStyle w:val="ab"/>
        <w:tabs>
          <w:tab w:val="left" w:pos="993"/>
        </w:tabs>
        <w:spacing w:after="0"/>
        <w:rPr>
          <w:rFonts w:eastAsia="Calibri"/>
          <w:bCs/>
          <w:color w:val="auto"/>
          <w:sz w:val="28"/>
          <w:szCs w:val="28"/>
        </w:rPr>
      </w:pPr>
      <w:r w:rsidRPr="002B4B98">
        <w:rPr>
          <w:rFonts w:eastAsia="Calibri"/>
          <w:bCs/>
          <w:sz w:val="28"/>
          <w:szCs w:val="28"/>
        </w:rPr>
        <w:t>Привлечение коммерческих и иных заимствований в 2024 году</w:t>
      </w:r>
      <w:r w:rsidR="002B4B98" w:rsidRPr="002B4B98">
        <w:rPr>
          <w:rFonts w:eastAsia="Calibri"/>
          <w:bCs/>
          <w:sz w:val="28"/>
          <w:szCs w:val="28"/>
        </w:rPr>
        <w:t xml:space="preserve"> </w:t>
      </w:r>
      <w:r w:rsidRPr="002B4B98">
        <w:rPr>
          <w:rFonts w:eastAsia="Calibri"/>
          <w:bCs/>
          <w:sz w:val="28"/>
          <w:szCs w:val="28"/>
        </w:rPr>
        <w:t>не осуществлялось.</w:t>
      </w:r>
    </w:p>
    <w:p w14:paraId="16240CBD" w14:textId="1E0EBDEC" w:rsidR="00AE43B3" w:rsidRPr="002B4B98" w:rsidRDefault="004C3927" w:rsidP="004C3927">
      <w:pPr>
        <w:rPr>
          <w:color w:val="FF0000"/>
        </w:rPr>
      </w:pPr>
      <w:r w:rsidRPr="002B4B98">
        <w:rPr>
          <w:rFonts w:eastAsia="Calibri"/>
          <w:bCs/>
          <w:iCs/>
        </w:rPr>
        <w:t>Расходы на обслуживание государственного долга республиканского бюджета КБР по итогам 2024 года состав</w:t>
      </w:r>
      <w:r w:rsidR="006A1370" w:rsidRPr="002B4B98">
        <w:rPr>
          <w:rFonts w:eastAsia="Calibri"/>
          <w:bCs/>
          <w:iCs/>
        </w:rPr>
        <w:t>или</w:t>
      </w:r>
      <w:r w:rsidRPr="002B4B98">
        <w:rPr>
          <w:rFonts w:eastAsia="Calibri"/>
          <w:bCs/>
          <w:iCs/>
        </w:rPr>
        <w:t xml:space="preserve"> 50,9 млн рублей и увелич</w:t>
      </w:r>
      <w:r w:rsidR="006A1370" w:rsidRPr="002B4B98">
        <w:rPr>
          <w:rFonts w:eastAsia="Calibri"/>
          <w:bCs/>
          <w:iCs/>
        </w:rPr>
        <w:t>ились</w:t>
      </w:r>
      <w:r w:rsidRPr="002B4B98">
        <w:rPr>
          <w:rFonts w:eastAsia="Calibri"/>
          <w:bCs/>
          <w:iCs/>
        </w:rPr>
        <w:t xml:space="preserve"> относительно предыдущего года на 28,1 млн рублей за счет обслуживания привлеченных бюджетных кредитов на реализацию инфраструктурных проектов (строительство Баксанского группового водопровода и приобретение пассажирского транспорта общего пользования).</w:t>
      </w:r>
    </w:p>
    <w:p w14:paraId="00095CF8" w14:textId="77777777" w:rsidR="00B77980" w:rsidRPr="00C33D95" w:rsidRDefault="00B77980" w:rsidP="0082617E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14:paraId="02405350" w14:textId="0232C4FF" w:rsidR="00D54BB6" w:rsidRPr="002724E6" w:rsidRDefault="00D54BB6" w:rsidP="00C32F32">
      <w:pPr>
        <w:pStyle w:val="24"/>
        <w:spacing w:before="0" w:after="0"/>
        <w:ind w:left="431" w:hanging="431"/>
        <w:rPr>
          <w:color w:val="000000" w:themeColor="text1"/>
        </w:rPr>
      </w:pPr>
      <w:bookmarkStart w:id="96" w:name="_Toc131085637"/>
      <w:bookmarkStart w:id="97" w:name="_Toc162008793"/>
      <w:bookmarkStart w:id="98" w:name="_Toc482701246"/>
      <w:r w:rsidRPr="00C32F32">
        <w:rPr>
          <w:color w:val="568D11" w:themeColor="accent3" w:themeShade="80"/>
        </w:rPr>
        <w:t>Мероприятия по предупреждению влияния изменения геополитической и экономической ситуации на развитие отраслей экономики Кабардино-Балкарской Республики</w:t>
      </w:r>
      <w:bookmarkEnd w:id="96"/>
      <w:bookmarkEnd w:id="97"/>
      <w:r w:rsidR="00997CA7">
        <w:rPr>
          <w:color w:val="568D11" w:themeColor="accent3" w:themeShade="80"/>
        </w:rPr>
        <w:t xml:space="preserve"> </w:t>
      </w:r>
    </w:p>
    <w:p w14:paraId="78C8E6E6" w14:textId="77777777" w:rsidR="00D54826" w:rsidRPr="00D05E60" w:rsidRDefault="00D54826" w:rsidP="009A3C64">
      <w:pPr>
        <w:jc w:val="right"/>
        <w:rPr>
          <w:i/>
          <w:color w:val="FF0000"/>
          <w:sz w:val="22"/>
          <w:szCs w:val="22"/>
        </w:rPr>
      </w:pPr>
    </w:p>
    <w:p w14:paraId="66047EF8" w14:textId="717A484B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 xml:space="preserve">В целях обеспечения социально-экономической и финансовой устойчивости в Кабардино-Балкарской Республике, в рамках реализации Плана первоочередных мероприятий по предупреждению влияния обстоятельств, связанных с изменением геополитической и экономической ситуации, на развитие отраслей экономики Кабардино-Балкарской Республики, утвержденному распоряжением Главы </w:t>
      </w:r>
      <w:r w:rsidRPr="00C33D95">
        <w:rPr>
          <w:rFonts w:eastAsia="Calibri"/>
        </w:rPr>
        <w:br/>
        <w:t xml:space="preserve">Кабардино-Балкарской Республики от </w:t>
      </w:r>
      <w:r w:rsidR="00CF47A2">
        <w:rPr>
          <w:rFonts w:eastAsia="Calibri"/>
        </w:rPr>
        <w:t>0</w:t>
      </w:r>
      <w:r w:rsidRPr="00C33D95">
        <w:rPr>
          <w:rFonts w:eastAsia="Calibri"/>
        </w:rPr>
        <w:t>5</w:t>
      </w:r>
      <w:r w:rsidR="00CF47A2">
        <w:rPr>
          <w:rFonts w:eastAsia="Calibri"/>
        </w:rPr>
        <w:t>.05.</w:t>
      </w:r>
      <w:r w:rsidRPr="00C33D95">
        <w:rPr>
          <w:rFonts w:eastAsia="Calibri"/>
        </w:rPr>
        <w:t xml:space="preserve">2022 </w:t>
      </w:r>
      <w:r w:rsidR="00C314E4">
        <w:rPr>
          <w:rFonts w:eastAsia="Calibri"/>
        </w:rPr>
        <w:t>года</w:t>
      </w:r>
      <w:r w:rsidRPr="00C33D95">
        <w:rPr>
          <w:rFonts w:eastAsia="Calibri"/>
        </w:rPr>
        <w:t xml:space="preserve"> № 45-РГ, на региональном уровне реализовывались установленные на федеральном уровне меры, направленные на налоговое стимулирование граждан и бизнеса, с представлением информации в оперативный штаб по обеспечению стабильного функционирования сфер малого бизнеса, инвестиций и экспорта. </w:t>
      </w:r>
    </w:p>
    <w:p w14:paraId="5587E50E" w14:textId="70E670D1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 xml:space="preserve">В 2024 году успешно реализована принятая Правительством </w:t>
      </w:r>
      <w:r>
        <w:rPr>
          <w:rFonts w:eastAsia="Calibri"/>
        </w:rPr>
        <w:br/>
      </w:r>
      <w:r w:rsidRPr="00C33D95">
        <w:rPr>
          <w:rFonts w:eastAsia="Calibri"/>
        </w:rPr>
        <w:t>Кабардино-Балкарской Республики Программа оздоровления государственных финансов (оптимизации расходов) на 2018 - 2026 годы, которая определяет основные направления деятельности исполнительных органов государственной власти Кабардино-Балкарской Республики и органов местного самоуправления в целях создания условий для результативного управления государственными финансами и эффективного использования бюджетных средств путем осуществления мер, направленных на мобилизацию доходов, оптимизацию расходов бюджетов бюджетной системы Кабардино-Балкарской Республики, снижение долговой нагрузки на период до 2026 года.</w:t>
      </w:r>
    </w:p>
    <w:p w14:paraId="596B38AE" w14:textId="31AD79A5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>Совокупный бюджетный эффект от реализации плана оздоровления за 2024 год составил 4 156,3 млн рублей, или в 16,2 раза больше годовых плановых показателей и в 1,4 раза больше, чем за 2023 год, в том числе по увеличению доходов - 3 698,5 млн рублей, по оптимизации расходов</w:t>
      </w:r>
      <w:r>
        <w:rPr>
          <w:rFonts w:eastAsia="Calibri"/>
        </w:rPr>
        <w:t xml:space="preserve"> </w:t>
      </w:r>
      <w:r w:rsidRPr="00C33D95">
        <w:rPr>
          <w:rFonts w:eastAsia="Calibri"/>
        </w:rPr>
        <w:t xml:space="preserve">- 457,7 млн рублей. </w:t>
      </w:r>
    </w:p>
    <w:p w14:paraId="016A48F3" w14:textId="77777777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>Положительная динамика исполнения доходной части республиканского бюджета КБР позволила сохранить объем расходов республиканского бюджета на уровне 2023 года.</w:t>
      </w:r>
    </w:p>
    <w:p w14:paraId="657D4EAB" w14:textId="77777777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>Обязательства Кабардино-Балкарской Республики исполняются в установленные сроки в полном объеме.</w:t>
      </w:r>
    </w:p>
    <w:p w14:paraId="133FDF66" w14:textId="77777777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>Кроме того, в 2022-2024 годах приняты нормы бюджетного законодательства, позволяющие оперативно, без процедуры внесения изменений в закон о республиканском бюджете направлять средства республиканского бюджета на финансирование всех необходимых мероприятий, связанных с предотвращением влияния ухудшения геополитической и экономической ситуации на развитие отраслей экономики.</w:t>
      </w:r>
    </w:p>
    <w:p w14:paraId="146A12DD" w14:textId="23E86151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 xml:space="preserve">В 2024 году дополнительные расходы республиканского бюджета </w:t>
      </w:r>
      <w:r w:rsidRPr="00C33D95">
        <w:rPr>
          <w:rFonts w:eastAsia="Calibri"/>
        </w:rPr>
        <w:br/>
        <w:t xml:space="preserve">Кабардино-Балкарской Республики, обусловленные реализацией мероприятий по предупреждению влияния обстоятельств, связанных с изменением геополитической и экономической ситуации, а также Указа Президента РФ от 21.09.2022 </w:t>
      </w:r>
      <w:r w:rsidR="00C314E4">
        <w:rPr>
          <w:rFonts w:eastAsia="Calibri"/>
        </w:rPr>
        <w:t>года</w:t>
      </w:r>
      <w:r w:rsidRPr="00C33D95">
        <w:rPr>
          <w:rFonts w:eastAsia="Calibri"/>
        </w:rPr>
        <w:t xml:space="preserve"> № 647 «Об объявлении частичной мобилизации в Российской Федерации», составили </w:t>
      </w:r>
      <w:r>
        <w:rPr>
          <w:rFonts w:eastAsia="Calibri"/>
        </w:rPr>
        <w:br/>
      </w:r>
      <w:r w:rsidRPr="00C33D95">
        <w:rPr>
          <w:rFonts w:eastAsia="Calibri"/>
        </w:rPr>
        <w:t>2 738,3 млн рублей, из них:</w:t>
      </w:r>
    </w:p>
    <w:p w14:paraId="446274B6" w14:textId="468B2E3D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>- на реализацию дополнительных мер социальной поддержки, установленных Указом Главы Кабардино-Балкарской Республики</w:t>
      </w:r>
      <w:r>
        <w:rPr>
          <w:rFonts w:eastAsia="Calibri"/>
        </w:rPr>
        <w:t xml:space="preserve"> </w:t>
      </w:r>
      <w:r w:rsidRPr="00C33D95">
        <w:rPr>
          <w:rFonts w:eastAsia="Calibri"/>
        </w:rPr>
        <w:t xml:space="preserve">от </w:t>
      </w:r>
      <w:r>
        <w:rPr>
          <w:rFonts w:eastAsia="Calibri"/>
        </w:rPr>
        <w:t>0</w:t>
      </w:r>
      <w:r w:rsidRPr="00C33D95">
        <w:rPr>
          <w:rFonts w:eastAsia="Calibri"/>
        </w:rPr>
        <w:t>1</w:t>
      </w:r>
      <w:r>
        <w:rPr>
          <w:rFonts w:eastAsia="Calibri"/>
        </w:rPr>
        <w:t>.08.</w:t>
      </w:r>
      <w:r w:rsidRPr="00C33D95">
        <w:rPr>
          <w:rFonts w:eastAsia="Calibri"/>
        </w:rPr>
        <w:t xml:space="preserve">2024 </w:t>
      </w:r>
      <w:r w:rsidR="00C314E4">
        <w:rPr>
          <w:rFonts w:eastAsia="Calibri"/>
        </w:rPr>
        <w:t>года</w:t>
      </w:r>
      <w:r w:rsidRPr="00C33D95">
        <w:rPr>
          <w:rFonts w:eastAsia="Calibri"/>
        </w:rPr>
        <w:t xml:space="preserve"> № 63-УГ «О единовременной денежной выплате военнослужащим, проходящим военную службу по контракту в Вооруженных силах Российской Федерации» - 1 809,2 млн рублей;</w:t>
      </w:r>
    </w:p>
    <w:p w14:paraId="10244E73" w14:textId="2EB2D660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>- на реализацию дополнительных мер социальной поддержки, установленных Указом Главы Кабардино-Балкарской Республики от 24</w:t>
      </w:r>
      <w:r>
        <w:rPr>
          <w:rFonts w:eastAsia="Calibri"/>
        </w:rPr>
        <w:t>.09.2</w:t>
      </w:r>
      <w:r w:rsidRPr="00C33D95">
        <w:rPr>
          <w:rFonts w:eastAsia="Calibri"/>
        </w:rPr>
        <w:t xml:space="preserve">022 </w:t>
      </w:r>
      <w:r w:rsidR="00C314E4">
        <w:rPr>
          <w:rFonts w:eastAsia="Calibri"/>
        </w:rPr>
        <w:t>года</w:t>
      </w:r>
      <w:r w:rsidRPr="00C33D95">
        <w:rPr>
          <w:rFonts w:eastAsia="Calibri"/>
        </w:rPr>
        <w:t xml:space="preserve"> № 92-УГ «О дополнительных мерах социальной поддержки военнослужащих, иных категорий лиц и членов их семей»</w:t>
      </w:r>
      <w:r>
        <w:rPr>
          <w:rFonts w:eastAsia="Calibri"/>
        </w:rPr>
        <w:t xml:space="preserve"> </w:t>
      </w:r>
      <w:r w:rsidRPr="00C33D95">
        <w:rPr>
          <w:rFonts w:eastAsia="Calibri"/>
        </w:rPr>
        <w:t>- 663,7 млн рублей;</w:t>
      </w:r>
    </w:p>
    <w:p w14:paraId="5BE24D92" w14:textId="0AE2D85E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 xml:space="preserve">- на реализацию специальной меры в сфере экономики, установленной постановлением Правительства Российской Федерации от </w:t>
      </w:r>
      <w:r>
        <w:rPr>
          <w:rFonts w:eastAsia="Calibri"/>
        </w:rPr>
        <w:t>0</w:t>
      </w:r>
      <w:r w:rsidRPr="00C33D95">
        <w:rPr>
          <w:rFonts w:eastAsia="Calibri"/>
        </w:rPr>
        <w:t>3</w:t>
      </w:r>
      <w:r>
        <w:rPr>
          <w:rFonts w:eastAsia="Calibri"/>
        </w:rPr>
        <w:t>.10.</w:t>
      </w:r>
      <w:r w:rsidRPr="00C33D95">
        <w:rPr>
          <w:rFonts w:eastAsia="Calibri"/>
        </w:rPr>
        <w:t xml:space="preserve">2022 </w:t>
      </w:r>
      <w:r w:rsidR="00C314E4">
        <w:rPr>
          <w:rFonts w:eastAsia="Calibri"/>
        </w:rPr>
        <w:t>года</w:t>
      </w:r>
      <w:r w:rsidRPr="00C33D95">
        <w:rPr>
          <w:rFonts w:eastAsia="Calibri"/>
        </w:rPr>
        <w:t xml:space="preserve"> № 1745 «О специальной мере в сфере экономики и внесении изменения в постановление Правительства Российской Федерации </w:t>
      </w:r>
      <w:r>
        <w:rPr>
          <w:rFonts w:eastAsia="Calibri"/>
        </w:rPr>
        <w:t>от 30.04.</w:t>
      </w:r>
      <w:r w:rsidRPr="00C33D95">
        <w:rPr>
          <w:rFonts w:eastAsia="Calibri"/>
        </w:rPr>
        <w:t xml:space="preserve">2020 </w:t>
      </w:r>
      <w:r w:rsidR="00C314E4">
        <w:rPr>
          <w:rFonts w:eastAsia="Calibri"/>
        </w:rPr>
        <w:t>года</w:t>
      </w:r>
      <w:r>
        <w:rPr>
          <w:rFonts w:eastAsia="Calibri"/>
        </w:rPr>
        <w:t xml:space="preserve"> </w:t>
      </w:r>
      <w:r w:rsidRPr="00C33D95">
        <w:rPr>
          <w:rFonts w:eastAsia="Calibri"/>
        </w:rPr>
        <w:t>№ 616» - 191,4 млн рублей;</w:t>
      </w:r>
    </w:p>
    <w:p w14:paraId="13C6B1EF" w14:textId="77777777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>- на размещение и питание граждан РФ, Украины, ДНР, ЛНР и лиц без гражданства, постоянно проживающих на территориях Украины, ДНР, ЛНР, вынужденно покинувших территорию Украины, ДНР, ЛНР, прибывших на территорию РФ в экстренном массовом порядке и находившихся в пунктах временного размещения и питания – 11,9 млн рублей;</w:t>
      </w:r>
    </w:p>
    <w:p w14:paraId="48A4D3C6" w14:textId="1B4968CD" w:rsidR="00C33D95" w:rsidRPr="00C33D95" w:rsidRDefault="00C33D95" w:rsidP="00C33D95">
      <w:pPr>
        <w:contextualSpacing/>
        <w:rPr>
          <w:rFonts w:eastAsia="Calibri"/>
        </w:rPr>
      </w:pPr>
      <w:r w:rsidRPr="00C33D95">
        <w:rPr>
          <w:rFonts w:eastAsia="Calibri"/>
        </w:rPr>
        <w:t>- на реализацию мер социальной поддержки, установленных Указом Главы Кабардино-Балкарской Республики о</w:t>
      </w:r>
      <w:r>
        <w:rPr>
          <w:rFonts w:eastAsia="Calibri"/>
        </w:rPr>
        <w:t>т 26.10.</w:t>
      </w:r>
      <w:r w:rsidRPr="00C33D95">
        <w:rPr>
          <w:rFonts w:eastAsia="Calibri"/>
        </w:rPr>
        <w:t xml:space="preserve">2023 </w:t>
      </w:r>
      <w:r w:rsidR="00C314E4">
        <w:rPr>
          <w:rFonts w:eastAsia="Calibri"/>
        </w:rPr>
        <w:t>года</w:t>
      </w:r>
      <w:r w:rsidRPr="00C33D95">
        <w:rPr>
          <w:rFonts w:eastAsia="Calibri"/>
        </w:rPr>
        <w:t xml:space="preserve"> № 105-УГ «О предоставлении дополнительной социальной поддержки лицам из числа ветеранов боевых действий </w:t>
      </w:r>
      <w:r>
        <w:rPr>
          <w:rFonts w:eastAsia="Calibri"/>
        </w:rPr>
        <w:br/>
      </w:r>
      <w:r w:rsidRPr="00C33D95">
        <w:rPr>
          <w:rFonts w:eastAsia="Calibri"/>
        </w:rPr>
        <w:t xml:space="preserve">и членам семей погибших (умерших) участников специальной военной </w:t>
      </w:r>
      <w:r>
        <w:rPr>
          <w:rFonts w:eastAsia="Calibri"/>
        </w:rPr>
        <w:br/>
      </w:r>
      <w:r w:rsidRPr="00C33D95">
        <w:rPr>
          <w:rFonts w:eastAsia="Calibri"/>
        </w:rPr>
        <w:t>операции» - 3,8 млн рублей.</w:t>
      </w:r>
    </w:p>
    <w:p w14:paraId="602485F3" w14:textId="0FB9CD45" w:rsidR="009A3C64" w:rsidRDefault="009A3C64" w:rsidP="009A3C64">
      <w:pPr>
        <w:contextualSpacing/>
        <w:rPr>
          <w:color w:val="000000"/>
        </w:rPr>
      </w:pPr>
    </w:p>
    <w:p w14:paraId="45017A4A" w14:textId="4DB25186" w:rsidR="00CB25D6" w:rsidRPr="00CB25D6" w:rsidRDefault="00F811F4" w:rsidP="00CB25D6">
      <w:pPr>
        <w:pStyle w:val="24"/>
        <w:spacing w:before="0" w:after="0"/>
        <w:ind w:left="431" w:hanging="431"/>
        <w:rPr>
          <w:color w:val="000000" w:themeColor="text1"/>
        </w:rPr>
      </w:pPr>
      <w:bookmarkStart w:id="99" w:name="_Toc482701248"/>
      <w:bookmarkStart w:id="100" w:name="_Toc131085638"/>
      <w:bookmarkStart w:id="101" w:name="_Toc162008794"/>
      <w:bookmarkEnd w:id="98"/>
      <w:r w:rsidRPr="00C32F32">
        <w:rPr>
          <w:color w:val="568D11" w:themeColor="accent3" w:themeShade="80"/>
        </w:rPr>
        <w:t>Деятельность Министерства финансов КБР в области</w:t>
      </w:r>
      <w:bookmarkStart w:id="102" w:name="_Toc482701249"/>
      <w:bookmarkEnd w:id="99"/>
    </w:p>
    <w:p w14:paraId="3FED9F33" w14:textId="4CEE6BDA" w:rsidR="00CB25D6" w:rsidRDefault="00F811F4" w:rsidP="00CB25D6">
      <w:pPr>
        <w:pStyle w:val="24"/>
        <w:numPr>
          <w:ilvl w:val="0"/>
          <w:numId w:val="0"/>
        </w:numPr>
        <w:spacing w:before="0" w:after="0"/>
        <w:ind w:left="431"/>
        <w:rPr>
          <w:color w:val="568D11" w:themeColor="accent3" w:themeShade="80"/>
        </w:rPr>
      </w:pPr>
      <w:r w:rsidRPr="00C32F32">
        <w:rPr>
          <w:color w:val="568D11" w:themeColor="accent3" w:themeShade="80"/>
        </w:rPr>
        <w:t>проведения налоговой политики и политики</w:t>
      </w:r>
    </w:p>
    <w:p w14:paraId="56B21B05" w14:textId="30009E80" w:rsidR="00F811F4" w:rsidRPr="00F36373" w:rsidRDefault="00F811F4" w:rsidP="00CB25D6">
      <w:pPr>
        <w:pStyle w:val="24"/>
        <w:numPr>
          <w:ilvl w:val="0"/>
          <w:numId w:val="0"/>
        </w:numPr>
        <w:spacing w:before="0" w:after="0"/>
        <w:ind w:left="431"/>
        <w:rPr>
          <w:color w:val="000000" w:themeColor="text1"/>
        </w:rPr>
      </w:pPr>
      <w:r w:rsidRPr="00C32F32">
        <w:rPr>
          <w:color w:val="568D11" w:themeColor="accent3" w:themeShade="80"/>
        </w:rPr>
        <w:t>доходов</w:t>
      </w:r>
      <w:bookmarkStart w:id="103" w:name="_Toc482701250"/>
      <w:bookmarkEnd w:id="102"/>
      <w:r w:rsidR="009A3C64">
        <w:rPr>
          <w:color w:val="568D11" w:themeColor="accent3" w:themeShade="80"/>
        </w:rPr>
        <w:t xml:space="preserve"> </w:t>
      </w:r>
      <w:r w:rsidRPr="00C32F32">
        <w:rPr>
          <w:color w:val="568D11" w:themeColor="accent3" w:themeShade="80"/>
        </w:rPr>
        <w:t>республиканского бюджета КБР</w:t>
      </w:r>
      <w:bookmarkEnd w:id="100"/>
      <w:bookmarkEnd w:id="103"/>
      <w:bookmarkEnd w:id="101"/>
    </w:p>
    <w:p w14:paraId="09C37CAA" w14:textId="77777777" w:rsidR="00A93DF2" w:rsidRPr="00133486" w:rsidRDefault="00A93DF2" w:rsidP="008D108B">
      <w:pPr>
        <w:pStyle w:val="24"/>
        <w:keepNext w:val="0"/>
        <w:keepLines w:val="0"/>
        <w:numPr>
          <w:ilvl w:val="0"/>
          <w:numId w:val="0"/>
        </w:numPr>
        <w:spacing w:before="0" w:after="0"/>
        <w:ind w:left="431"/>
        <w:jc w:val="both"/>
        <w:rPr>
          <w:color w:val="FF0000"/>
          <w:sz w:val="16"/>
          <w:szCs w:val="16"/>
        </w:rPr>
      </w:pPr>
    </w:p>
    <w:p w14:paraId="2B7909A6" w14:textId="7C8A636A" w:rsidR="005E2D2E" w:rsidRPr="005E2D2E" w:rsidRDefault="005E2D2E" w:rsidP="005E2D2E">
      <w:pPr>
        <w:autoSpaceDE w:val="0"/>
        <w:autoSpaceDN w:val="0"/>
        <w:adjustRightInd w:val="0"/>
        <w:contextualSpacing/>
        <w:rPr>
          <w:rFonts w:eastAsia="Calibri"/>
          <w:color w:val="auto"/>
        </w:rPr>
      </w:pPr>
      <w:bookmarkStart w:id="104" w:name="_Toc131085639"/>
      <w:bookmarkStart w:id="105" w:name="_Toc162008795"/>
      <w:bookmarkStart w:id="106" w:name="_Toc482701247"/>
      <w:bookmarkStart w:id="107" w:name="_Toc482701251"/>
      <w:r w:rsidRPr="005E2D2E">
        <w:rPr>
          <w:rFonts w:eastAsia="Calibri"/>
          <w:color w:val="auto"/>
        </w:rPr>
        <w:t>Итоги 2024 года показали устойчивость и прочность финансовой системы Кабардино-Балкарской Республики. Правительству Кабардино-Балкарской Республики, в условиях сложившихся явлений в экономике, удалось успешно выполнить основные задачи бюджетной и налоговой политики, обеспечив сбалансированность бюджетной системы и финансирование всех социальных расходов своевременно и в полном объеме.</w:t>
      </w:r>
    </w:p>
    <w:p w14:paraId="5D73E691" w14:textId="16977CFB" w:rsidR="005E2D2E" w:rsidRDefault="005E2D2E" w:rsidP="005E2D2E">
      <w:pPr>
        <w:suppressAutoHyphens/>
        <w:contextualSpacing/>
        <w:rPr>
          <w:rFonts w:eastAsia="Calibri"/>
          <w:color w:val="auto"/>
        </w:rPr>
      </w:pPr>
      <w:r w:rsidRPr="005E2D2E">
        <w:rPr>
          <w:rFonts w:eastAsia="Calibri"/>
          <w:color w:val="auto"/>
        </w:rPr>
        <w:t>В целях оперативного управления данными о фактических поступлениях и прогнозировании налоговых доходов в консолидированный бюджет КБР Министерством совместно с Управлением ФНС России налажен ежедневный мониторинг поступлений на основе сведений, размещаемых на Внешней платформе данных ФНС России для финансовых органов субъектов РФ  о суммах и причинах списаний на единый налоговый счет налогоплательщика</w:t>
      </w:r>
      <w:r w:rsidRPr="0033239E">
        <w:rPr>
          <w:rFonts w:eastAsia="Calibri"/>
          <w:color w:val="auto"/>
        </w:rPr>
        <w:t xml:space="preserve"> налогов, уплаченных в качестве единого налогового платежа, ежемесячных данных </w:t>
      </w:r>
      <w:r>
        <w:rPr>
          <w:rFonts w:eastAsia="Calibri"/>
          <w:color w:val="auto"/>
        </w:rPr>
        <w:t>об отрицательном (недоимка) и положительном (переплата) сальдо, в</w:t>
      </w:r>
      <w:r w:rsidRPr="0033239E">
        <w:rPr>
          <w:rFonts w:eastAsia="Calibri"/>
          <w:color w:val="auto"/>
        </w:rPr>
        <w:t xml:space="preserve">ыгрузки </w:t>
      </w:r>
      <w:proofErr w:type="spellStart"/>
      <w:r w:rsidRPr="0033239E">
        <w:rPr>
          <w:rFonts w:eastAsia="Calibri"/>
          <w:color w:val="auto"/>
        </w:rPr>
        <w:t>Дашборд</w:t>
      </w:r>
      <w:proofErr w:type="spellEnd"/>
      <w:r w:rsidRPr="0033239E">
        <w:rPr>
          <w:rFonts w:eastAsia="Calibri"/>
          <w:color w:val="auto"/>
        </w:rPr>
        <w:t xml:space="preserve"> и </w:t>
      </w:r>
      <w:proofErr w:type="spellStart"/>
      <w:r w:rsidRPr="0033239E">
        <w:rPr>
          <w:rFonts w:eastAsia="Calibri"/>
          <w:color w:val="auto"/>
        </w:rPr>
        <w:t>Дашборд</w:t>
      </w:r>
      <w:proofErr w:type="spellEnd"/>
      <w:r w:rsidRPr="0033239E">
        <w:rPr>
          <w:rFonts w:eastAsia="Calibri"/>
          <w:color w:val="auto"/>
        </w:rPr>
        <w:t xml:space="preserve"> Губернатора, а также показателей рейтинга муниципалитетов в составе субъектов РФ</w:t>
      </w:r>
      <w:r>
        <w:rPr>
          <w:rFonts w:eastAsia="Calibri"/>
          <w:color w:val="auto"/>
        </w:rPr>
        <w:t>. Н</w:t>
      </w:r>
      <w:r w:rsidRPr="0033239E">
        <w:rPr>
          <w:rFonts w:eastAsia="Calibri"/>
          <w:color w:val="auto"/>
        </w:rPr>
        <w:t xml:space="preserve">алажена работа в раках </w:t>
      </w:r>
      <w:r>
        <w:rPr>
          <w:rFonts w:eastAsia="Calibri"/>
          <w:color w:val="auto"/>
        </w:rPr>
        <w:t xml:space="preserve">утвержденного между Правительством КБР и Управлением ФНС России по КБР </w:t>
      </w:r>
      <w:r w:rsidRPr="0033239E">
        <w:rPr>
          <w:rFonts w:eastAsia="Calibri"/>
          <w:color w:val="auto"/>
        </w:rPr>
        <w:t>межведомственного плана</w:t>
      </w:r>
      <w:r>
        <w:rPr>
          <w:rFonts w:eastAsia="Calibri"/>
          <w:color w:val="auto"/>
        </w:rPr>
        <w:t xml:space="preserve"> по сокращению задолженности по налогам, сборам, страховым взносам бюджетных учреждений, а также улучшению показателей Рейтинга муниципальных образований на 2024-2025 годы, что позволило Кабардино-Балкарской Республике среди субъектов РФ подняться с 76 места по состоянию на 1 января 2024 г</w:t>
      </w:r>
      <w:r w:rsidR="00C314E4">
        <w:rPr>
          <w:rFonts w:eastAsia="Calibri"/>
          <w:color w:val="auto"/>
        </w:rPr>
        <w:t>ода</w:t>
      </w:r>
      <w:r>
        <w:rPr>
          <w:rFonts w:eastAsia="Calibri"/>
          <w:color w:val="auto"/>
        </w:rPr>
        <w:t xml:space="preserve"> на 65 место по состоянию на 1 января 2025 года.</w:t>
      </w:r>
    </w:p>
    <w:p w14:paraId="42612A88" w14:textId="77777777" w:rsidR="005E2D2E" w:rsidRPr="009E681F" w:rsidRDefault="005E2D2E" w:rsidP="005E2D2E">
      <w:pPr>
        <w:suppressAutoHyphens/>
        <w:contextualSpacing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 </w:t>
      </w:r>
      <w:r w:rsidRPr="009E681F">
        <w:rPr>
          <w:rFonts w:eastAsia="Calibri"/>
          <w:color w:val="auto"/>
        </w:rPr>
        <w:t>На региональном уровне в 2024 году реализованы следующие мероприятия, направленные на бюджетную консолидацию:</w:t>
      </w:r>
    </w:p>
    <w:p w14:paraId="24A985CA" w14:textId="0C172D94" w:rsidR="005E2D2E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 w:rsidRPr="009E681F">
        <w:rPr>
          <w:rFonts w:eastAsia="Calibri"/>
          <w:color w:val="auto"/>
        </w:rPr>
        <w:t>1. Обеспечено заключение между Министерством финансов Российской Федерации и Кабардино-Балкарской Республикой Соглашения о мерах по социально-экономическому развитию и оздоровлению государственных финансов Кабардино-Балкарской Республики на 2024 год (далее - Соглашение) от 28</w:t>
      </w:r>
      <w:r w:rsidR="00CF47A2">
        <w:rPr>
          <w:rFonts w:eastAsia="Calibri"/>
          <w:color w:val="auto"/>
        </w:rPr>
        <w:t>.12.</w:t>
      </w:r>
      <w:r w:rsidRPr="009E681F">
        <w:rPr>
          <w:rFonts w:eastAsia="Calibri"/>
          <w:color w:val="auto"/>
        </w:rPr>
        <w:t xml:space="preserve">2023 </w:t>
      </w:r>
      <w:r w:rsidR="00C314E4">
        <w:rPr>
          <w:rFonts w:eastAsia="Calibri"/>
          <w:color w:val="auto"/>
        </w:rPr>
        <w:t>года</w:t>
      </w:r>
      <w:r w:rsidRPr="009E681F">
        <w:rPr>
          <w:rFonts w:eastAsia="Calibri"/>
          <w:color w:val="auto"/>
        </w:rPr>
        <w:br/>
        <w:t xml:space="preserve"> № </w:t>
      </w:r>
      <w:r w:rsidRPr="009E681F">
        <w:rPr>
          <w:rFonts w:eastAsiaTheme="minorHAnsi"/>
          <w:color w:val="auto"/>
          <w:sz w:val="27"/>
          <w:szCs w:val="27"/>
        </w:rPr>
        <w:t>2023-00467</w:t>
      </w:r>
      <w:r w:rsidRPr="009E681F">
        <w:rPr>
          <w:rFonts w:eastAsia="Calibri"/>
          <w:color w:val="auto"/>
        </w:rPr>
        <w:t>.</w:t>
      </w:r>
      <w:r>
        <w:rPr>
          <w:rFonts w:eastAsia="Calibri"/>
          <w:color w:val="auto"/>
        </w:rPr>
        <w:t xml:space="preserve"> В рамках исполнения обязательств по Соглашению обеспечена реализация следующих групп мер: </w:t>
      </w:r>
    </w:p>
    <w:p w14:paraId="167E5CD1" w14:textId="77777777" w:rsidR="005E2D2E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меры, направленных на увеличение налоговых и неналоговых доходов консолидированного бюджета: </w:t>
      </w:r>
    </w:p>
    <w:p w14:paraId="08BB8DE1" w14:textId="77777777" w:rsidR="005E2D2E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>
        <w:rPr>
          <w:rFonts w:eastAsia="Calibri"/>
          <w:color w:val="auto"/>
        </w:rPr>
        <w:t>- обеспечен прирост налоговых и неналоговых доходов консолидированного бюджета КБР на 18 %;</w:t>
      </w:r>
    </w:p>
    <w:p w14:paraId="1E3E9CF3" w14:textId="52148860" w:rsidR="005E2D2E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- утвержден план («дорожная карта») </w:t>
      </w:r>
      <w:r w:rsidRPr="005C6ABB">
        <w:rPr>
          <w:rFonts w:eastAsia="Calibri"/>
          <w:color w:val="auto"/>
        </w:rPr>
        <w:t>по взысканию</w:t>
      </w:r>
      <w:r>
        <w:rPr>
          <w:rFonts w:eastAsia="Calibri"/>
          <w:color w:val="auto"/>
        </w:rPr>
        <w:t xml:space="preserve"> </w:t>
      </w:r>
      <w:r w:rsidRPr="005C6ABB">
        <w:rPr>
          <w:rFonts w:eastAsia="Calibri"/>
          <w:color w:val="auto"/>
        </w:rPr>
        <w:t xml:space="preserve">дебиторской задолженности по платежам в </w:t>
      </w:r>
      <w:r>
        <w:rPr>
          <w:rFonts w:eastAsia="Calibri"/>
          <w:color w:val="auto"/>
        </w:rPr>
        <w:t>республиканский бюджет КБР</w:t>
      </w:r>
      <w:r w:rsidRPr="005C6ABB">
        <w:rPr>
          <w:rFonts w:eastAsia="Calibri"/>
          <w:color w:val="auto"/>
        </w:rPr>
        <w:t>, пеням и штрафам по ним</w:t>
      </w:r>
      <w:r>
        <w:rPr>
          <w:rFonts w:eastAsia="Calibri"/>
          <w:color w:val="auto"/>
        </w:rPr>
        <w:t xml:space="preserve"> (р</w:t>
      </w:r>
      <w:r w:rsidRPr="004140A4">
        <w:rPr>
          <w:rFonts w:eastAsia="Calibri"/>
          <w:color w:val="auto"/>
        </w:rPr>
        <w:t xml:space="preserve">аспоряжение Правительства КБР от 25.03.2024 </w:t>
      </w:r>
      <w:r w:rsidR="00C314E4">
        <w:rPr>
          <w:rFonts w:eastAsia="Calibri"/>
          <w:color w:val="auto"/>
        </w:rPr>
        <w:t>года</w:t>
      </w:r>
      <w:r w:rsidR="002B4B98">
        <w:rPr>
          <w:rFonts w:eastAsia="Calibri"/>
          <w:color w:val="auto"/>
        </w:rPr>
        <w:t xml:space="preserve"> </w:t>
      </w:r>
      <w:r w:rsidRPr="004140A4">
        <w:rPr>
          <w:rFonts w:eastAsia="Calibri"/>
          <w:color w:val="auto"/>
        </w:rPr>
        <w:t>№ 179-рп</w:t>
      </w:r>
      <w:r>
        <w:rPr>
          <w:rFonts w:eastAsia="Calibri"/>
          <w:color w:val="auto"/>
        </w:rPr>
        <w:t>);</w:t>
      </w:r>
    </w:p>
    <w:p w14:paraId="6317D032" w14:textId="77777777" w:rsidR="005E2D2E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>
        <w:rPr>
          <w:rFonts w:eastAsia="Calibri"/>
          <w:color w:val="auto"/>
        </w:rPr>
        <w:t>- проекты республиканских законов о внесении изменений в республиканский бюджет на 2024 год и о республиканском бюджете на 2025 год согласованы с Министерство финансов Российской Федерации в установленном порядке, при принятии указанных проектов законов учтены полученные рекомендации;</w:t>
      </w:r>
    </w:p>
    <w:p w14:paraId="239AF7AA" w14:textId="77777777" w:rsidR="005E2D2E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>
        <w:rPr>
          <w:rFonts w:eastAsia="Calibri"/>
          <w:color w:val="auto"/>
        </w:rPr>
        <w:t>меры, направленные на оптимизацию расходов:</w:t>
      </w:r>
    </w:p>
    <w:p w14:paraId="0B1C0502" w14:textId="43C3D704" w:rsidR="005E2D2E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- </w:t>
      </w:r>
      <w:r w:rsidR="00F463A0">
        <w:rPr>
          <w:rFonts w:eastAsia="Calibri"/>
          <w:color w:val="auto"/>
        </w:rPr>
        <w:t xml:space="preserve">обеспечено </w:t>
      </w:r>
      <w:r>
        <w:rPr>
          <w:rFonts w:eastAsia="Calibri"/>
          <w:color w:val="auto"/>
        </w:rPr>
        <w:t>соблюден</w:t>
      </w:r>
      <w:r w:rsidR="00F463A0">
        <w:rPr>
          <w:rFonts w:eastAsia="Calibri"/>
          <w:color w:val="auto"/>
        </w:rPr>
        <w:t>ие</w:t>
      </w:r>
      <w:r>
        <w:rPr>
          <w:rFonts w:eastAsia="Calibri"/>
          <w:color w:val="auto"/>
        </w:rPr>
        <w:t xml:space="preserve"> норматив</w:t>
      </w:r>
      <w:r w:rsidR="00F463A0">
        <w:rPr>
          <w:rFonts w:eastAsia="Calibri"/>
          <w:color w:val="auto"/>
        </w:rPr>
        <w:t>а</w:t>
      </w:r>
      <w:r>
        <w:rPr>
          <w:rFonts w:eastAsia="Calibri"/>
          <w:color w:val="auto"/>
        </w:rPr>
        <w:t xml:space="preserve"> формирования расходов на содержание органов государственной власти КБР по итогам 2024 </w:t>
      </w:r>
      <w:r w:rsidR="0051479F">
        <w:rPr>
          <w:rFonts w:eastAsia="Calibri"/>
          <w:color w:val="auto"/>
        </w:rPr>
        <w:t>года</w:t>
      </w:r>
      <w:r>
        <w:rPr>
          <w:rFonts w:eastAsia="Calibri"/>
          <w:color w:val="auto"/>
        </w:rPr>
        <w:t>;</w:t>
      </w:r>
    </w:p>
    <w:p w14:paraId="4CF8E5CF" w14:textId="77777777" w:rsidR="005E2D2E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>
        <w:rPr>
          <w:rFonts w:eastAsia="Calibri"/>
          <w:color w:val="auto"/>
        </w:rPr>
        <w:t>- прирост дотации на выравнивание бюджетной обеспеченности в полном объеме направлен на финансовое обеспечение расходов на оплату труда, меры социальной поддержки граждан;</w:t>
      </w:r>
    </w:p>
    <w:p w14:paraId="03950600" w14:textId="7B91545D" w:rsidR="005E2D2E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- утвержден и реализован план («дорожная карта») </w:t>
      </w:r>
      <w:r w:rsidRPr="003352B2">
        <w:rPr>
          <w:rFonts w:eastAsia="Calibri"/>
          <w:color w:val="auto"/>
        </w:rPr>
        <w:t xml:space="preserve">по погашению (реструктуризации) просроченной кредиторской задолженности консолидированного бюджета </w:t>
      </w:r>
      <w:r>
        <w:rPr>
          <w:rFonts w:eastAsia="Calibri"/>
          <w:color w:val="auto"/>
        </w:rPr>
        <w:t>КБР</w:t>
      </w:r>
      <w:r w:rsidRPr="003352B2">
        <w:rPr>
          <w:rFonts w:eastAsia="Calibri"/>
          <w:color w:val="auto"/>
        </w:rPr>
        <w:t xml:space="preserve"> и бюджетных и автономных учреждений </w:t>
      </w:r>
      <w:r>
        <w:rPr>
          <w:rFonts w:eastAsia="Calibri"/>
          <w:color w:val="auto"/>
        </w:rPr>
        <w:t>КБР (р</w:t>
      </w:r>
      <w:r w:rsidRPr="009A44AE">
        <w:rPr>
          <w:rFonts w:eastAsia="Calibri"/>
          <w:color w:val="auto"/>
        </w:rPr>
        <w:t>аспоряжение Правительства КБР от 25.03.2024</w:t>
      </w:r>
      <w:r w:rsidR="002B4B98">
        <w:rPr>
          <w:rFonts w:eastAsia="Calibri"/>
          <w:color w:val="auto"/>
        </w:rPr>
        <w:t xml:space="preserve"> </w:t>
      </w:r>
      <w:r w:rsidR="00C314E4">
        <w:rPr>
          <w:rFonts w:eastAsia="Calibri"/>
          <w:color w:val="auto"/>
        </w:rPr>
        <w:t>года</w:t>
      </w:r>
      <w:r w:rsidRPr="009A44AE">
        <w:rPr>
          <w:rFonts w:eastAsia="Calibri"/>
          <w:color w:val="auto"/>
        </w:rPr>
        <w:t xml:space="preserve"> № 178-рп</w:t>
      </w:r>
      <w:r>
        <w:rPr>
          <w:rFonts w:eastAsia="Calibri"/>
          <w:color w:val="auto"/>
        </w:rPr>
        <w:t>), просроченн</w:t>
      </w:r>
      <w:r w:rsidR="006D5AE5">
        <w:rPr>
          <w:rFonts w:eastAsia="Calibri"/>
          <w:color w:val="auto"/>
        </w:rPr>
        <w:t>ая</w:t>
      </w:r>
      <w:r>
        <w:rPr>
          <w:rFonts w:eastAsia="Calibri"/>
          <w:color w:val="auto"/>
        </w:rPr>
        <w:t xml:space="preserve"> кредиторск</w:t>
      </w:r>
      <w:r w:rsidR="006D5AE5">
        <w:rPr>
          <w:rFonts w:eastAsia="Calibri"/>
          <w:color w:val="auto"/>
        </w:rPr>
        <w:t>ая</w:t>
      </w:r>
      <w:r>
        <w:rPr>
          <w:rFonts w:eastAsia="Calibri"/>
          <w:color w:val="auto"/>
        </w:rPr>
        <w:t xml:space="preserve"> задолженност</w:t>
      </w:r>
      <w:r w:rsidR="006D5AE5">
        <w:rPr>
          <w:rFonts w:eastAsia="Calibri"/>
          <w:color w:val="auto"/>
        </w:rPr>
        <w:t>ь</w:t>
      </w:r>
      <w:r>
        <w:rPr>
          <w:rFonts w:eastAsia="Calibri"/>
          <w:color w:val="auto"/>
        </w:rPr>
        <w:t xml:space="preserve"> консолидированного бюджета КБР</w:t>
      </w:r>
      <w:r w:rsidR="006D5AE5">
        <w:rPr>
          <w:rFonts w:eastAsia="Calibri"/>
          <w:color w:val="auto"/>
        </w:rPr>
        <w:t xml:space="preserve"> отсутствует</w:t>
      </w:r>
      <w:r>
        <w:rPr>
          <w:rFonts w:eastAsia="Calibri"/>
          <w:color w:val="auto"/>
        </w:rPr>
        <w:t>;</w:t>
      </w:r>
    </w:p>
    <w:p w14:paraId="0713F2A3" w14:textId="6E70D00C" w:rsidR="005E2D2E" w:rsidRPr="009E681F" w:rsidRDefault="005E2D2E" w:rsidP="005E2D2E">
      <w:pPr>
        <w:tabs>
          <w:tab w:val="center" w:pos="5599"/>
        </w:tabs>
        <w:autoSpaceDE w:val="0"/>
        <w:autoSpaceDN w:val="0"/>
        <w:adjustRightInd w:val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- обеспечено утверждение плана </w:t>
      </w:r>
      <w:r w:rsidRPr="00F04F6D">
        <w:rPr>
          <w:rFonts w:eastAsia="Calibri"/>
          <w:color w:val="auto"/>
        </w:rPr>
        <w:t>по инвентаризации и оценке эффективности мер социальной поддержки граждан, предоставляемых из консолидированного бюджета Кабардино-Балкарской Республики</w:t>
      </w:r>
      <w:r>
        <w:rPr>
          <w:rFonts w:eastAsia="Calibri"/>
          <w:color w:val="auto"/>
        </w:rPr>
        <w:t xml:space="preserve"> (р</w:t>
      </w:r>
      <w:r w:rsidRPr="00F04F6D">
        <w:rPr>
          <w:rFonts w:eastAsia="Calibri"/>
          <w:color w:val="auto"/>
        </w:rPr>
        <w:t xml:space="preserve">аспоряжение Правительства КБР от </w:t>
      </w:r>
      <w:r w:rsidR="0052511A">
        <w:rPr>
          <w:rFonts w:eastAsia="Calibri"/>
          <w:color w:val="auto"/>
        </w:rPr>
        <w:t xml:space="preserve">                     </w:t>
      </w:r>
      <w:r w:rsidRPr="00F04F6D">
        <w:rPr>
          <w:rFonts w:eastAsia="Calibri"/>
          <w:color w:val="auto"/>
        </w:rPr>
        <w:t>25.03.2024</w:t>
      </w:r>
      <w:r w:rsidR="002B4B98">
        <w:rPr>
          <w:rFonts w:eastAsia="Calibri"/>
          <w:color w:val="auto"/>
        </w:rPr>
        <w:t xml:space="preserve"> </w:t>
      </w:r>
      <w:r w:rsidR="00C314E4">
        <w:rPr>
          <w:rFonts w:eastAsia="Calibri"/>
          <w:color w:val="auto"/>
        </w:rPr>
        <w:t>года</w:t>
      </w:r>
      <w:r w:rsidRPr="00F04F6D">
        <w:rPr>
          <w:rFonts w:eastAsia="Calibri"/>
          <w:color w:val="auto"/>
        </w:rPr>
        <w:t xml:space="preserve"> № 180-рп</w:t>
      </w:r>
      <w:r>
        <w:rPr>
          <w:rFonts w:eastAsia="Calibri"/>
          <w:color w:val="auto"/>
        </w:rPr>
        <w:t>).</w:t>
      </w:r>
    </w:p>
    <w:p w14:paraId="23501961" w14:textId="071B1444" w:rsidR="005E2D2E" w:rsidRPr="00CB7DDC" w:rsidRDefault="005E2D2E" w:rsidP="005E2D2E">
      <w:pPr>
        <w:autoSpaceDE w:val="0"/>
        <w:autoSpaceDN w:val="0"/>
        <w:adjustRightInd w:val="0"/>
        <w:rPr>
          <w:rFonts w:eastAsia="Calibri"/>
          <w:color w:val="auto"/>
        </w:rPr>
      </w:pPr>
      <w:r w:rsidRPr="00CB7DDC">
        <w:rPr>
          <w:rFonts w:eastAsia="Calibri"/>
          <w:color w:val="auto"/>
        </w:rPr>
        <w:t xml:space="preserve">2. Принято постановление Правительства КБР </w:t>
      </w:r>
      <w:r w:rsidRPr="00CB7DDC">
        <w:rPr>
          <w:color w:val="auto"/>
          <w:lang w:eastAsia="ru-RU"/>
        </w:rPr>
        <w:t>от 23</w:t>
      </w:r>
      <w:r w:rsidR="002B4B98">
        <w:rPr>
          <w:color w:val="auto"/>
          <w:lang w:eastAsia="ru-RU"/>
        </w:rPr>
        <w:t>.01.</w:t>
      </w:r>
      <w:r w:rsidRPr="00CB7DDC">
        <w:rPr>
          <w:color w:val="auto"/>
          <w:lang w:eastAsia="ru-RU"/>
        </w:rPr>
        <w:t xml:space="preserve">2024 </w:t>
      </w:r>
      <w:r w:rsidR="00C314E4">
        <w:rPr>
          <w:color w:val="auto"/>
          <w:lang w:eastAsia="ru-RU"/>
        </w:rPr>
        <w:t>года</w:t>
      </w:r>
      <w:r w:rsidRPr="00CB7DDC">
        <w:rPr>
          <w:color w:val="auto"/>
          <w:lang w:eastAsia="ru-RU"/>
        </w:rPr>
        <w:t xml:space="preserve"> № 9-ПП </w:t>
      </w:r>
      <w:r w:rsidR="00446A84">
        <w:rPr>
          <w:color w:val="auto"/>
          <w:lang w:eastAsia="ru-RU"/>
        </w:rPr>
        <w:t xml:space="preserve">               </w:t>
      </w:r>
      <w:proofErr w:type="gramStart"/>
      <w:r w:rsidR="00446A84">
        <w:rPr>
          <w:color w:val="auto"/>
          <w:lang w:eastAsia="ru-RU"/>
        </w:rPr>
        <w:t xml:space="preserve">   </w:t>
      </w:r>
      <w:r w:rsidRPr="00CB7DDC">
        <w:rPr>
          <w:rFonts w:eastAsia="Calibri"/>
          <w:color w:val="auto"/>
        </w:rPr>
        <w:t>«</w:t>
      </w:r>
      <w:proofErr w:type="gramEnd"/>
      <w:r w:rsidRPr="00CB7DDC">
        <w:rPr>
          <w:rFonts w:eastAsia="Calibri"/>
          <w:color w:val="auto"/>
        </w:rPr>
        <w:t xml:space="preserve">О соглашениях, которые предусматривают меры по социально-экономическому развитию и оздоровлению муниципальных финансов муниципальных образований», </w:t>
      </w:r>
      <w:r>
        <w:rPr>
          <w:rFonts w:eastAsia="Calibri"/>
          <w:color w:val="auto"/>
        </w:rPr>
        <w:t>согласно которому</w:t>
      </w:r>
      <w:r w:rsidRPr="00CB7DDC">
        <w:rPr>
          <w:rFonts w:eastAsia="Calibri"/>
          <w:color w:val="auto"/>
        </w:rPr>
        <w:t xml:space="preserve"> для муниципальных образований</w:t>
      </w:r>
      <w:r>
        <w:rPr>
          <w:rFonts w:eastAsia="Calibri"/>
          <w:color w:val="auto"/>
        </w:rPr>
        <w:t>, являющихся получателями дотации на выравнивание бюджетной обеспеченности, предусмотрены аналогичные обязательства</w:t>
      </w:r>
      <w:r w:rsidRPr="00CB7DDC">
        <w:rPr>
          <w:rFonts w:eastAsia="Calibri"/>
          <w:color w:val="auto"/>
        </w:rPr>
        <w:t xml:space="preserve">. </w:t>
      </w:r>
    </w:p>
    <w:p w14:paraId="52EA60A0" w14:textId="77777777" w:rsidR="005E2D2E" w:rsidRPr="00BB6D35" w:rsidRDefault="005E2D2E" w:rsidP="005E2D2E">
      <w:pPr>
        <w:suppressAutoHyphens/>
        <w:contextualSpacing/>
        <w:rPr>
          <w:color w:val="auto"/>
          <w:shd w:val="clear" w:color="auto" w:fill="FFFFFF"/>
        </w:rPr>
      </w:pPr>
      <w:r w:rsidRPr="00BB6D35">
        <w:rPr>
          <w:rFonts w:eastAsia="Calibri"/>
          <w:color w:val="auto"/>
        </w:rPr>
        <w:t xml:space="preserve">3. </w:t>
      </w:r>
      <w:r w:rsidRPr="00BB6D35">
        <w:rPr>
          <w:color w:val="auto"/>
          <w:shd w:val="clear" w:color="auto" w:fill="FFFFFF"/>
        </w:rPr>
        <w:t>В 2024 году успешно реализована принятая Правительством Кабардино-Балкарской Республики Программа оздоровления государственных финансов (оптимизации расходов) на 2018 - 2026 годы, которая определяет основные направления деятельности исполнительных органов государственной власти Кабардино-Балкарской Республики и органов местного самоуправления в целях создания условий для результативного управления государственными финансами и эффективного использования бюджетных средств путем осуществления мер, направленных на мобилизацию доходов, оптимизацию расходов бюджетов бюджетной системы Кабардино-Балкарской Республики, снижение долговой нагрузки на период до 2026 года.</w:t>
      </w:r>
    </w:p>
    <w:p w14:paraId="0489B16C" w14:textId="0168E010" w:rsidR="005E2D2E" w:rsidRPr="00BB6D35" w:rsidRDefault="005E2D2E" w:rsidP="005E2D2E">
      <w:pPr>
        <w:suppressAutoHyphens/>
        <w:contextualSpacing/>
        <w:rPr>
          <w:color w:val="auto"/>
        </w:rPr>
      </w:pPr>
      <w:r w:rsidRPr="00BB6D35">
        <w:rPr>
          <w:color w:val="auto"/>
        </w:rPr>
        <w:t xml:space="preserve"> Совокупный бюджетный эффект от реализации принятого в рамках Программы плана мероприятий по итогам 2024 года составил </w:t>
      </w:r>
      <w:r w:rsidRPr="00BB6D35">
        <w:t>4 156,3 млн рублей, или в 16,2 раза больше годовых плановых показателей и в 1,4 раза больше, чем за 2023 год</w:t>
      </w:r>
      <w:r w:rsidRPr="00BB6D35">
        <w:rPr>
          <w:color w:val="auto"/>
        </w:rPr>
        <w:t>, в том числе по увеличению доходов - 3 698,5 млн рублей, по оптимизации расходов -</w:t>
      </w:r>
      <w:r w:rsidR="00BB6D35">
        <w:rPr>
          <w:color w:val="auto"/>
        </w:rPr>
        <w:t xml:space="preserve"> </w:t>
      </w:r>
      <w:r w:rsidR="00BB6D35">
        <w:rPr>
          <w:color w:val="auto"/>
        </w:rPr>
        <w:br/>
      </w:r>
      <w:r w:rsidRPr="00BB6D35">
        <w:rPr>
          <w:color w:val="auto"/>
        </w:rPr>
        <w:t xml:space="preserve">457,7 млн рублей. </w:t>
      </w:r>
    </w:p>
    <w:p w14:paraId="316820CD" w14:textId="77777777" w:rsidR="005E2D2E" w:rsidRPr="00BB6D35" w:rsidRDefault="005E2D2E" w:rsidP="005E2D2E">
      <w:pPr>
        <w:autoSpaceDE w:val="0"/>
        <w:autoSpaceDN w:val="0"/>
        <w:adjustRightInd w:val="0"/>
        <w:contextualSpacing/>
        <w:rPr>
          <w:iCs/>
          <w:color w:val="auto"/>
        </w:rPr>
      </w:pPr>
      <w:r w:rsidRPr="00BB6D35">
        <w:rPr>
          <w:iCs/>
          <w:color w:val="auto"/>
        </w:rPr>
        <w:t>Бюджетный эффект получен от мероприятий по повышению поступлений налоговых и неналоговых доходов, роста собираемости начисленных платежей, в том числе:</w:t>
      </w:r>
    </w:p>
    <w:p w14:paraId="02BF2487" w14:textId="6B6119BF" w:rsidR="005E2D2E" w:rsidRPr="00BB6D35" w:rsidRDefault="005E2D2E" w:rsidP="005E2D2E">
      <w:pPr>
        <w:autoSpaceDE w:val="0"/>
        <w:autoSpaceDN w:val="0"/>
        <w:adjustRightInd w:val="0"/>
        <w:contextualSpacing/>
        <w:rPr>
          <w:iCs/>
          <w:color w:val="auto"/>
        </w:rPr>
      </w:pPr>
      <w:r w:rsidRPr="00BB6D35">
        <w:rPr>
          <w:iCs/>
          <w:color w:val="auto"/>
        </w:rPr>
        <w:t xml:space="preserve">– </w:t>
      </w:r>
      <w:r w:rsidR="0051479F">
        <w:rPr>
          <w:iCs/>
          <w:color w:val="auto"/>
        </w:rPr>
        <w:t>увеличени</w:t>
      </w:r>
      <w:r w:rsidR="0045726E">
        <w:rPr>
          <w:iCs/>
          <w:color w:val="auto"/>
        </w:rPr>
        <w:t>е</w:t>
      </w:r>
      <w:r w:rsidR="0051479F">
        <w:rPr>
          <w:iCs/>
          <w:color w:val="auto"/>
        </w:rPr>
        <w:t xml:space="preserve"> </w:t>
      </w:r>
      <w:r w:rsidR="00CF47A2">
        <w:rPr>
          <w:iCs/>
          <w:color w:val="auto"/>
        </w:rPr>
        <w:t xml:space="preserve">поступлений </w:t>
      </w:r>
      <w:r w:rsidR="00CF47A2" w:rsidRPr="00BB6D35">
        <w:rPr>
          <w:iCs/>
          <w:color w:val="auto"/>
        </w:rPr>
        <w:t>неналоговых</w:t>
      </w:r>
      <w:r w:rsidRPr="00BB6D35">
        <w:rPr>
          <w:iCs/>
          <w:color w:val="auto"/>
        </w:rPr>
        <w:t xml:space="preserve"> доходов в части </w:t>
      </w:r>
      <w:r w:rsidR="00D950B0">
        <w:rPr>
          <w:iCs/>
          <w:color w:val="auto"/>
        </w:rPr>
        <w:t xml:space="preserve">доходов от </w:t>
      </w:r>
      <w:r w:rsidRPr="00BB6D35">
        <w:rPr>
          <w:iCs/>
          <w:color w:val="auto"/>
        </w:rPr>
        <w:t>управления остатками средств на едином счете бюджета в сумме 1 853,0 млн рублей;</w:t>
      </w:r>
    </w:p>
    <w:p w14:paraId="79E91087" w14:textId="5F2DD53B" w:rsidR="005E2D2E" w:rsidRPr="00BB6D35" w:rsidRDefault="005E2D2E" w:rsidP="005E2D2E">
      <w:pPr>
        <w:autoSpaceDE w:val="0"/>
        <w:autoSpaceDN w:val="0"/>
        <w:adjustRightInd w:val="0"/>
        <w:contextualSpacing/>
        <w:rPr>
          <w:iCs/>
          <w:color w:val="auto"/>
        </w:rPr>
      </w:pPr>
      <w:r w:rsidRPr="00BB6D35">
        <w:rPr>
          <w:iCs/>
          <w:color w:val="auto"/>
        </w:rPr>
        <w:t>– оптимизация налоговых ставок по упрощенной системе налогообложения и транспортному налогу в сумме 324,</w:t>
      </w:r>
      <w:r w:rsidR="0045726E">
        <w:rPr>
          <w:iCs/>
          <w:color w:val="auto"/>
        </w:rPr>
        <w:t>9</w:t>
      </w:r>
      <w:r w:rsidRPr="00BB6D35">
        <w:rPr>
          <w:iCs/>
          <w:color w:val="auto"/>
        </w:rPr>
        <w:t xml:space="preserve"> млн рублей;</w:t>
      </w:r>
    </w:p>
    <w:p w14:paraId="7D2C01CE" w14:textId="5B82D11C" w:rsidR="005E2D2E" w:rsidRPr="00BB6D35" w:rsidRDefault="005E2D2E" w:rsidP="005E2D2E">
      <w:pPr>
        <w:autoSpaceDE w:val="0"/>
        <w:autoSpaceDN w:val="0"/>
        <w:adjustRightInd w:val="0"/>
        <w:contextualSpacing/>
        <w:rPr>
          <w:iCs/>
          <w:color w:val="auto"/>
        </w:rPr>
      </w:pPr>
      <w:r w:rsidRPr="00BB6D35">
        <w:rPr>
          <w:iCs/>
          <w:color w:val="auto"/>
        </w:rPr>
        <w:t>– увеличение собираемости штрафов за нарушение ПДД – 216,9 млн рублей;</w:t>
      </w:r>
    </w:p>
    <w:p w14:paraId="1C4E28DC" w14:textId="45887F4F" w:rsidR="005E2D2E" w:rsidRPr="00BB6D35" w:rsidRDefault="005E2D2E" w:rsidP="005E2D2E">
      <w:pPr>
        <w:autoSpaceDE w:val="0"/>
        <w:autoSpaceDN w:val="0"/>
        <w:adjustRightInd w:val="0"/>
        <w:contextualSpacing/>
        <w:rPr>
          <w:iCs/>
          <w:color w:val="auto"/>
        </w:rPr>
      </w:pPr>
      <w:r w:rsidRPr="00BB6D35">
        <w:rPr>
          <w:iCs/>
          <w:color w:val="auto"/>
        </w:rPr>
        <w:t>– сдача в аренду имущества и земельных участков государственной казны Кабардино-Балкарской Республики и муниципальной казны в сумме 187,</w:t>
      </w:r>
      <w:r w:rsidR="0045726E">
        <w:rPr>
          <w:iCs/>
          <w:color w:val="auto"/>
        </w:rPr>
        <w:t>7</w:t>
      </w:r>
      <w:r w:rsidRPr="00BB6D35">
        <w:rPr>
          <w:iCs/>
          <w:color w:val="auto"/>
        </w:rPr>
        <w:t xml:space="preserve"> млн рублей;</w:t>
      </w:r>
    </w:p>
    <w:p w14:paraId="7D823E7C" w14:textId="440574C6" w:rsidR="005E2D2E" w:rsidRPr="00BB6D35" w:rsidRDefault="005E2D2E" w:rsidP="005E2D2E">
      <w:pPr>
        <w:autoSpaceDE w:val="0"/>
        <w:autoSpaceDN w:val="0"/>
        <w:adjustRightInd w:val="0"/>
        <w:contextualSpacing/>
        <w:rPr>
          <w:iCs/>
          <w:color w:val="auto"/>
        </w:rPr>
      </w:pPr>
      <w:r w:rsidRPr="00BB6D35">
        <w:rPr>
          <w:iCs/>
          <w:color w:val="auto"/>
        </w:rPr>
        <w:t>– увеличение доходов от оказания платных услуг государственными и муниципальными учреждениями – 60,</w:t>
      </w:r>
      <w:r w:rsidR="0045726E">
        <w:rPr>
          <w:iCs/>
          <w:color w:val="auto"/>
        </w:rPr>
        <w:t>5</w:t>
      </w:r>
      <w:r w:rsidRPr="00BB6D35">
        <w:rPr>
          <w:iCs/>
          <w:color w:val="auto"/>
        </w:rPr>
        <w:t xml:space="preserve"> млн рублей;</w:t>
      </w:r>
    </w:p>
    <w:p w14:paraId="2A205CA8" w14:textId="7AC1C9B3" w:rsidR="00BB6D35" w:rsidRDefault="005E2D2E" w:rsidP="00BB6D35">
      <w:pPr>
        <w:autoSpaceDE w:val="0"/>
        <w:autoSpaceDN w:val="0"/>
        <w:adjustRightInd w:val="0"/>
        <w:contextualSpacing/>
        <w:rPr>
          <w:iCs/>
          <w:color w:val="auto"/>
        </w:rPr>
      </w:pPr>
      <w:r w:rsidRPr="00BB6D35">
        <w:rPr>
          <w:iCs/>
          <w:color w:val="auto"/>
        </w:rPr>
        <w:t>– прирост доходов от долей</w:t>
      </w:r>
      <w:r w:rsidRPr="00BB6D35">
        <w:rPr>
          <w:color w:val="auto"/>
        </w:rPr>
        <w:t xml:space="preserve"> </w:t>
      </w:r>
      <w:r w:rsidRPr="00BB6D35">
        <w:rPr>
          <w:iCs/>
          <w:color w:val="auto"/>
        </w:rPr>
        <w:t xml:space="preserve">участия в уставном капитале обществ, принадлежащих Кабардино-Балкарской Республике и муниципальным </w:t>
      </w:r>
      <w:r w:rsidR="00BB6D35">
        <w:rPr>
          <w:iCs/>
          <w:color w:val="auto"/>
        </w:rPr>
        <w:t>образованиям – 18,4 млн рублей;</w:t>
      </w:r>
    </w:p>
    <w:p w14:paraId="0F160A59" w14:textId="4154598E" w:rsidR="005E2D2E" w:rsidRPr="00BB6D35" w:rsidRDefault="005E2D2E" w:rsidP="005E2D2E">
      <w:pPr>
        <w:tabs>
          <w:tab w:val="left" w:pos="0"/>
        </w:tabs>
        <w:contextualSpacing/>
        <w:rPr>
          <w:color w:val="auto"/>
        </w:rPr>
      </w:pPr>
      <w:r w:rsidRPr="00BB6D35">
        <w:rPr>
          <w:color w:val="auto"/>
        </w:rPr>
        <w:t>4.</w:t>
      </w:r>
      <w:r w:rsidR="00BB6D35">
        <w:rPr>
          <w:color w:val="auto"/>
        </w:rPr>
        <w:t xml:space="preserve"> </w:t>
      </w:r>
      <w:r w:rsidRPr="00BB6D35">
        <w:rPr>
          <w:color w:val="auto"/>
        </w:rPr>
        <w:t xml:space="preserve">Продолжена работа по расширению налоговой базы по налогу на имущество организаций путем вовлечения объектов в налоговый оборот. </w:t>
      </w:r>
    </w:p>
    <w:p w14:paraId="5B97A55D" w14:textId="71F63BF9" w:rsidR="005E2D2E" w:rsidRPr="00BB6D35" w:rsidRDefault="005E2D2E" w:rsidP="005E2D2E">
      <w:pPr>
        <w:rPr>
          <w:bCs/>
        </w:rPr>
      </w:pPr>
      <w:r w:rsidRPr="00BB6D35">
        <w:rPr>
          <w:bCs/>
        </w:rPr>
        <w:t xml:space="preserve">Общее количество налогоплательщиков, исчисляющих налог на имущество организаций, увеличилось на 16 организаций, что обусловлено вступлением в силу с </w:t>
      </w:r>
      <w:r w:rsidR="00BB6D35">
        <w:rPr>
          <w:bCs/>
        </w:rPr>
        <w:br/>
      </w:r>
      <w:r w:rsidRPr="00BB6D35">
        <w:rPr>
          <w:bCs/>
        </w:rPr>
        <w:t>1 января 2023 года поправок</w:t>
      </w:r>
      <w:r w:rsidR="00BB6D35">
        <w:rPr>
          <w:bCs/>
        </w:rPr>
        <w:t xml:space="preserve"> </w:t>
      </w:r>
      <w:r w:rsidR="00602FC9">
        <w:rPr>
          <w:bCs/>
        </w:rPr>
        <w:t xml:space="preserve">в </w:t>
      </w:r>
      <w:r w:rsidRPr="00BB6D35">
        <w:rPr>
          <w:bCs/>
        </w:rPr>
        <w:t xml:space="preserve">Закон Кабардино-Балкарской Республики </w:t>
      </w:r>
      <w:r w:rsidR="00BB6D35">
        <w:rPr>
          <w:bCs/>
        </w:rPr>
        <w:br/>
      </w:r>
      <w:r w:rsidRPr="00BB6D35">
        <w:rPr>
          <w:bCs/>
        </w:rPr>
        <w:t>от 27</w:t>
      </w:r>
      <w:r w:rsidR="002B4B98">
        <w:rPr>
          <w:bCs/>
        </w:rPr>
        <w:t>.11.</w:t>
      </w:r>
      <w:r w:rsidRPr="00BB6D35">
        <w:rPr>
          <w:bCs/>
        </w:rPr>
        <w:t xml:space="preserve">2003 </w:t>
      </w:r>
      <w:r w:rsidR="00C314E4">
        <w:rPr>
          <w:bCs/>
        </w:rPr>
        <w:t>года</w:t>
      </w:r>
      <w:r w:rsidRPr="00BB6D35">
        <w:rPr>
          <w:bCs/>
        </w:rPr>
        <w:t xml:space="preserve"> </w:t>
      </w:r>
      <w:r w:rsidR="00BB6D35">
        <w:rPr>
          <w:bCs/>
        </w:rPr>
        <w:t xml:space="preserve"> </w:t>
      </w:r>
      <w:r w:rsidRPr="00BB6D35">
        <w:rPr>
          <w:bCs/>
        </w:rPr>
        <w:t xml:space="preserve">№ 102-РЗ «О налоге на имущество организаций», согласно которым налоговая база определяется как кадастровая стоимость объектов недвижимого имущества в отношении жилых помещений, гаражей, </w:t>
      </w:r>
      <w:proofErr w:type="spellStart"/>
      <w:r w:rsidRPr="00BB6D35">
        <w:rPr>
          <w:bCs/>
        </w:rPr>
        <w:t>машино</w:t>
      </w:r>
      <w:proofErr w:type="spellEnd"/>
      <w:r w:rsidRPr="00BB6D35">
        <w:rPr>
          <w:bCs/>
        </w:rPr>
        <w:t>-мест, объектов незавершенного строительства, а также жилых строений, садовых домов, хозяйственных строений или сооружений, расположенных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14:paraId="63AFC0FE" w14:textId="251E74AB" w:rsidR="005E2D2E" w:rsidRPr="00BB6D35" w:rsidRDefault="005E2D2E" w:rsidP="005E2D2E">
      <w:pPr>
        <w:rPr>
          <w:bCs/>
        </w:rPr>
      </w:pPr>
      <w:r w:rsidRPr="00BB6D35">
        <w:rPr>
          <w:lang w:bidi="ru-RU"/>
        </w:rPr>
        <w:t xml:space="preserve">В 2024 году </w:t>
      </w:r>
      <w:r w:rsidRPr="00BB6D35">
        <w:rPr>
          <w:bCs/>
        </w:rPr>
        <w:t xml:space="preserve">в налоговый оборот дополнительно вовлечены жилые помещения и гаражи, признаваемые объектами налогообложения по налогу на имущество организаций, кадастровая стоимость указанных объектов за 2023 год составила </w:t>
      </w:r>
      <w:r w:rsidR="00380B5A">
        <w:rPr>
          <w:bCs/>
        </w:rPr>
        <w:br/>
        <w:t>1000,6 млн рублей</w:t>
      </w:r>
      <w:r w:rsidRPr="00BB6D35">
        <w:rPr>
          <w:bCs/>
        </w:rPr>
        <w:t>, сумма исчисленного налога – 12,2 млн руб</w:t>
      </w:r>
      <w:r w:rsidR="00380B5A">
        <w:rPr>
          <w:bCs/>
        </w:rPr>
        <w:t>лей</w:t>
      </w:r>
      <w:r w:rsidRPr="00BB6D35">
        <w:rPr>
          <w:bCs/>
        </w:rPr>
        <w:t>.</w:t>
      </w:r>
    </w:p>
    <w:p w14:paraId="688BB2CD" w14:textId="31E72F27" w:rsidR="005E2D2E" w:rsidRPr="00BB6D35" w:rsidRDefault="005E2D2E" w:rsidP="005E2D2E">
      <w:pPr>
        <w:autoSpaceDE w:val="0"/>
        <w:autoSpaceDN w:val="0"/>
        <w:adjustRightInd w:val="0"/>
        <w:ind w:firstLine="708"/>
        <w:contextualSpacing/>
        <w:rPr>
          <w:iCs/>
        </w:rPr>
      </w:pPr>
      <w:r w:rsidRPr="00BB6D35">
        <w:rPr>
          <w:iCs/>
        </w:rPr>
        <w:t xml:space="preserve">5.  Постановлениями Правительства КБР ежегодно утверждаются перечни объектов недвижимого имущества, в отношении которых налоговая база определяется, как кадастровая стоимость. Перечень таких объектов на 2025 год утвержден постановлением Правительства КБР от 10.12.2024 </w:t>
      </w:r>
      <w:r w:rsidR="00C314E4">
        <w:rPr>
          <w:iCs/>
        </w:rPr>
        <w:t>года</w:t>
      </w:r>
      <w:r w:rsidRPr="00BB6D35">
        <w:rPr>
          <w:iCs/>
        </w:rPr>
        <w:t xml:space="preserve"> № 190-ПП и включает 1073 объекта недвижимости (</w:t>
      </w:r>
      <w:r w:rsidRPr="00BB6D35">
        <w:rPr>
          <w:bCs/>
        </w:rPr>
        <w:t>в 2024 году с учетом внесенных изменений перечень состоял из 1059 объектов</w:t>
      </w:r>
      <w:r w:rsidRPr="00BB6D35">
        <w:rPr>
          <w:iCs/>
        </w:rPr>
        <w:t>). В 2024 году организовано и уполномоченной комиссией проведено 27 обследований 45 объектов недвижимого имущества</w:t>
      </w:r>
      <w:r w:rsidR="00380B5A">
        <w:rPr>
          <w:iCs/>
        </w:rPr>
        <w:t xml:space="preserve"> по определению </w:t>
      </w:r>
      <w:r w:rsidR="00CF47A2" w:rsidRPr="00BB6D35">
        <w:rPr>
          <w:iCs/>
        </w:rPr>
        <w:t>вида фактического</w:t>
      </w:r>
      <w:r w:rsidRPr="00BB6D35">
        <w:rPr>
          <w:iCs/>
        </w:rPr>
        <w:t xml:space="preserve"> использования в соответствии с постановлением Правительства КБР от 17.03.2015 </w:t>
      </w:r>
      <w:r w:rsidR="00C314E4">
        <w:rPr>
          <w:iCs/>
        </w:rPr>
        <w:t>года</w:t>
      </w:r>
      <w:r w:rsidRPr="00BB6D35">
        <w:rPr>
          <w:iCs/>
        </w:rPr>
        <w:t xml:space="preserve"> № 53-ПП (ред. от 23.11.2021</w:t>
      </w:r>
      <w:r w:rsidR="00CF47A2">
        <w:rPr>
          <w:iCs/>
        </w:rPr>
        <w:t xml:space="preserve"> </w:t>
      </w:r>
      <w:r w:rsidR="00C314E4">
        <w:rPr>
          <w:iCs/>
        </w:rPr>
        <w:t>года</w:t>
      </w:r>
      <w:r w:rsidRPr="00BB6D35">
        <w:rPr>
          <w:iCs/>
        </w:rPr>
        <w:t>) «О порядке определения вида фактического использования зданий (строений, сооружений) и помещений, в отношении которых налоговая база по налогу на имущество организаций определяется как кадастровая стоимость».</w:t>
      </w:r>
    </w:p>
    <w:p w14:paraId="52575D34" w14:textId="77777777" w:rsidR="005E2D2E" w:rsidRPr="00BB6D35" w:rsidRDefault="005E2D2E" w:rsidP="005E2D2E">
      <w:pPr>
        <w:autoSpaceDE w:val="0"/>
        <w:autoSpaceDN w:val="0"/>
        <w:adjustRightInd w:val="0"/>
        <w:rPr>
          <w:color w:val="auto"/>
        </w:rPr>
      </w:pPr>
      <w:r w:rsidRPr="00BB6D35">
        <w:rPr>
          <w:rFonts w:eastAsia="Calibri"/>
          <w:color w:val="auto"/>
        </w:rPr>
        <w:t>М</w:t>
      </w:r>
      <w:r w:rsidRPr="00BB6D35">
        <w:rPr>
          <w:color w:val="auto"/>
        </w:rPr>
        <w:t>атериалы проведенных уполномоченной комиссией обследований размещены на едином портале исполнительных органов государственной власти Кабардино-Балкарской Республики и органов местного самоуправления (</w:t>
      </w:r>
      <w:hyperlink r:id="rId17" w:history="1">
        <w:r w:rsidRPr="00BB6D35">
          <w:rPr>
            <w:rStyle w:val="ae"/>
            <w:color w:val="auto"/>
            <w:lang w:val="en-US"/>
          </w:rPr>
          <w:t>www</w:t>
        </w:r>
        <w:r w:rsidRPr="00BB6D35">
          <w:rPr>
            <w:rStyle w:val="ae"/>
            <w:color w:val="auto"/>
          </w:rPr>
          <w:t>.</w:t>
        </w:r>
        <w:proofErr w:type="spellStart"/>
        <w:r w:rsidRPr="00BB6D35">
          <w:rPr>
            <w:rStyle w:val="ae"/>
            <w:color w:val="auto"/>
            <w:lang w:val="en-US"/>
          </w:rPr>
          <w:t>pravitelstvokbr</w:t>
        </w:r>
        <w:proofErr w:type="spellEnd"/>
        <w:r w:rsidRPr="00BB6D35">
          <w:rPr>
            <w:rStyle w:val="ae"/>
            <w:color w:val="auto"/>
          </w:rPr>
          <w:t>.</w:t>
        </w:r>
        <w:proofErr w:type="spellStart"/>
        <w:r w:rsidRPr="00BB6D35">
          <w:rPr>
            <w:rStyle w:val="ae"/>
            <w:color w:val="auto"/>
            <w:lang w:val="en-US"/>
          </w:rPr>
          <w:t>ru</w:t>
        </w:r>
        <w:proofErr w:type="spellEnd"/>
      </w:hyperlink>
      <w:r w:rsidRPr="00BB6D35">
        <w:rPr>
          <w:color w:val="auto"/>
        </w:rPr>
        <w:t>).</w:t>
      </w:r>
    </w:p>
    <w:p w14:paraId="7C9F81F5" w14:textId="7E463EDE" w:rsidR="005E2D2E" w:rsidRPr="00BB6D35" w:rsidRDefault="005E2D2E" w:rsidP="005E2D2E">
      <w:pPr>
        <w:autoSpaceDE w:val="0"/>
        <w:autoSpaceDN w:val="0"/>
        <w:adjustRightInd w:val="0"/>
        <w:contextualSpacing/>
        <w:rPr>
          <w:iCs/>
          <w:color w:val="auto"/>
        </w:rPr>
      </w:pPr>
      <w:r w:rsidRPr="00BB6D35">
        <w:rPr>
          <w:iCs/>
          <w:color w:val="auto"/>
        </w:rPr>
        <w:t>6. По состоянию на 31 декабря 2024 года по данным мониторинга ФНС России реализации специального налогового режима «Налог на профессиональный доход», в Кабардино-Балкарской Республике зарегистрировано 81 466 налогоплательщиков НПД (из них физические лица – 79 120, индивидуальные предприниматели – 2 346). Сумма уплаченных налогов за 2024 год по НПД составила 106,7 млн рублей, что в 1,64 раза больше поступлений за 2023 год.</w:t>
      </w:r>
    </w:p>
    <w:p w14:paraId="0E498DB1" w14:textId="245B10D3" w:rsidR="005E2D2E" w:rsidRPr="00BB6D35" w:rsidRDefault="005E2D2E" w:rsidP="005E2D2E">
      <w:pPr>
        <w:autoSpaceDE w:val="0"/>
        <w:autoSpaceDN w:val="0"/>
        <w:adjustRightInd w:val="0"/>
        <w:contextualSpacing/>
        <w:rPr>
          <w:iCs/>
        </w:rPr>
      </w:pPr>
      <w:r w:rsidRPr="00BB6D35">
        <w:rPr>
          <w:iCs/>
        </w:rPr>
        <w:t xml:space="preserve">7. В рамках работы Комиссии </w:t>
      </w:r>
      <w:r w:rsidRPr="00BB6D35">
        <w:rPr>
          <w:iCs/>
          <w:color w:val="auto"/>
        </w:rPr>
        <w:t xml:space="preserve">Правительства Кабардино-Балкарской Республики по обеспечению мобилизации доходов в бюджетную систему, контролю за соблюдением финансовой, бюджетной и налоговой дисциплины (далее – Комиссия), действующей, в соответствии с постановлением Правительства Кабардино-Балкарской Республики от 27.07.2006 </w:t>
      </w:r>
      <w:r w:rsidR="00C314E4">
        <w:rPr>
          <w:iCs/>
          <w:color w:val="auto"/>
        </w:rPr>
        <w:t>года</w:t>
      </w:r>
      <w:r w:rsidRPr="00BB6D35">
        <w:rPr>
          <w:iCs/>
          <w:color w:val="auto"/>
        </w:rPr>
        <w:t xml:space="preserve"> № 196-ПП </w:t>
      </w:r>
      <w:r w:rsidRPr="00BB6D35">
        <w:rPr>
          <w:iCs/>
        </w:rPr>
        <w:t>в 2024 году организованы и проведены два расширенных заседания с участием глав муниципальных районов и городских округов, на которых рассмотрены вопросы, связанные с исполнением налоговых и неналоговых доходов консолидированного бюджета КБР, повышением эффективности управления дебиторской задолженностью по неналоговым доходам (снижению задолженности по доходам от аренды земельных участков и недвижимого имущества), сокращением задолженности учреждений бюджетной сферы и их сотрудников по налогам, сборам и страховым взносам, организацией эффективного управления государственным (муниципальным) имуществом.</w:t>
      </w:r>
    </w:p>
    <w:p w14:paraId="36CD722E" w14:textId="72B4F735" w:rsidR="005E2D2E" w:rsidRPr="00BB6D35" w:rsidRDefault="005E2D2E" w:rsidP="005E2D2E">
      <w:pPr>
        <w:autoSpaceDE w:val="0"/>
        <w:autoSpaceDN w:val="0"/>
        <w:adjustRightInd w:val="0"/>
        <w:ind w:firstLine="708"/>
        <w:rPr>
          <w:bCs/>
        </w:rPr>
      </w:pPr>
      <w:r w:rsidRPr="00BB6D35">
        <w:rPr>
          <w:rFonts w:eastAsia="Calibri"/>
          <w:color w:val="auto"/>
        </w:rPr>
        <w:t>8.</w:t>
      </w:r>
      <w:r w:rsidRPr="00BB6D35">
        <w:rPr>
          <w:rFonts w:eastAsia="Calibri"/>
          <w:color w:val="FF0000"/>
        </w:rPr>
        <w:t xml:space="preserve"> </w:t>
      </w:r>
      <w:r w:rsidRPr="00BB6D35">
        <w:rPr>
          <w:bCs/>
        </w:rPr>
        <w:t xml:space="preserve">В соответствии с масштабной трансформацией налогового законодательства в целях  сохранения налогового потенциала территории в 2024 году подготовлены и приняты региональные законы об актуализации налоговых ставок в отношении  объектов налогообложения, стоимостью свыше 300 млн рублей по налогу на имущество организаций (от 12.11.2024 </w:t>
      </w:r>
      <w:r w:rsidR="00C314E4">
        <w:rPr>
          <w:bCs/>
        </w:rPr>
        <w:t>года</w:t>
      </w:r>
      <w:r w:rsidRPr="00BB6D35">
        <w:rPr>
          <w:bCs/>
        </w:rPr>
        <w:t xml:space="preserve"> № 34-РЗ)</w:t>
      </w:r>
      <w:r w:rsidR="00B91522">
        <w:rPr>
          <w:bCs/>
        </w:rPr>
        <w:t xml:space="preserve"> с п</w:t>
      </w:r>
      <w:r w:rsidR="00B91522" w:rsidRPr="00BB6D35">
        <w:rPr>
          <w:bCs/>
        </w:rPr>
        <w:t>рогнозируемы</w:t>
      </w:r>
      <w:r w:rsidR="00B91522">
        <w:rPr>
          <w:bCs/>
        </w:rPr>
        <w:t>м</w:t>
      </w:r>
      <w:r w:rsidR="00B91522" w:rsidRPr="00BB6D35">
        <w:rPr>
          <w:bCs/>
        </w:rPr>
        <w:t xml:space="preserve"> объем</w:t>
      </w:r>
      <w:r w:rsidR="00B91522">
        <w:rPr>
          <w:bCs/>
        </w:rPr>
        <w:t>ом</w:t>
      </w:r>
      <w:r w:rsidR="00B91522" w:rsidRPr="00BB6D35">
        <w:rPr>
          <w:bCs/>
        </w:rPr>
        <w:t xml:space="preserve"> дополнительных поступлений в связи с принятием закона 9,8 млн рублей</w:t>
      </w:r>
      <w:r w:rsidR="00B91522">
        <w:rPr>
          <w:bCs/>
        </w:rPr>
        <w:t>,</w:t>
      </w:r>
      <w:r w:rsidRPr="00BB6D35">
        <w:rPr>
          <w:bCs/>
        </w:rPr>
        <w:t xml:space="preserve"> о поэтапной отмене корректирующих коэффициентов к налоговым ставкам по транспортному налогу в зависимости от года выпуска транспортного средства, а также о предоставлении социальной поддержки в виде освобождения от уплаты транспортного налога участникам СВО и членам их семей (от 28.11.2024 </w:t>
      </w:r>
      <w:r w:rsidR="00C314E4">
        <w:rPr>
          <w:bCs/>
        </w:rPr>
        <w:t>года</w:t>
      </w:r>
      <w:r w:rsidRPr="00BB6D35">
        <w:rPr>
          <w:bCs/>
        </w:rPr>
        <w:t xml:space="preserve"> № 35-РЗ). </w:t>
      </w:r>
    </w:p>
    <w:p w14:paraId="1E2646FF" w14:textId="571CE97F" w:rsidR="005E2D2E" w:rsidRPr="00BB6D35" w:rsidRDefault="005E2D2E" w:rsidP="005E2D2E">
      <w:pPr>
        <w:spacing w:before="120" w:after="120"/>
        <w:ind w:firstLine="720"/>
        <w:contextualSpacing/>
        <w:rPr>
          <w:bCs/>
        </w:rPr>
      </w:pPr>
      <w:r w:rsidRPr="00BB6D35">
        <w:rPr>
          <w:bCs/>
        </w:rPr>
        <w:t>Кроме того, с Министерством экономического развития КБР согласованы проекты и приняты региональные законы о продлении дейст</w:t>
      </w:r>
      <w:r w:rsidR="00380B5A">
        <w:rPr>
          <w:bCs/>
        </w:rPr>
        <w:t xml:space="preserve">вия нулевой налоговой ставки до </w:t>
      </w:r>
      <w:r w:rsidRPr="00BB6D35">
        <w:rPr>
          <w:bCs/>
        </w:rPr>
        <w:t>1 января 2026 года для отдельных категорий налогоплательщиков, индивидуальных предпринимателей при применении уп</w:t>
      </w:r>
      <w:r w:rsidR="00380B5A">
        <w:rPr>
          <w:bCs/>
        </w:rPr>
        <w:t xml:space="preserve">рощенной и </w:t>
      </w:r>
      <w:r w:rsidRPr="00BB6D35">
        <w:rPr>
          <w:bCs/>
        </w:rPr>
        <w:t xml:space="preserve">патентной системы налогообложения (от 28.11.2024 </w:t>
      </w:r>
      <w:r w:rsidR="00C314E4">
        <w:rPr>
          <w:bCs/>
        </w:rPr>
        <w:t>года</w:t>
      </w:r>
      <w:r w:rsidRPr="00BB6D35">
        <w:rPr>
          <w:bCs/>
        </w:rPr>
        <w:t xml:space="preserve"> № 36-РЗ), о введении с 1 января</w:t>
      </w:r>
      <w:r w:rsidR="008D06E3">
        <w:rPr>
          <w:bCs/>
        </w:rPr>
        <w:t xml:space="preserve"> </w:t>
      </w:r>
      <w:r w:rsidRPr="00BB6D35">
        <w:rPr>
          <w:bCs/>
        </w:rPr>
        <w:t xml:space="preserve">2025 года на территории Кабардино-Балкарской Республики автоматизированной упрощенной системы налогообложения (от 28.11.2024 </w:t>
      </w:r>
      <w:r w:rsidR="00C314E4">
        <w:rPr>
          <w:bCs/>
        </w:rPr>
        <w:t>года</w:t>
      </w:r>
      <w:r w:rsidRPr="00BB6D35">
        <w:rPr>
          <w:bCs/>
        </w:rPr>
        <w:t xml:space="preserve">  № 38-РЗ), об актуализации налоговых ставок по налогу на игорный бизнес (от 28.11.2024 </w:t>
      </w:r>
      <w:r w:rsidR="00C314E4">
        <w:rPr>
          <w:bCs/>
        </w:rPr>
        <w:t>года</w:t>
      </w:r>
      <w:r w:rsidRPr="00BB6D35">
        <w:rPr>
          <w:bCs/>
        </w:rPr>
        <w:t xml:space="preserve"> №</w:t>
      </w:r>
      <w:r w:rsidR="00380B5A">
        <w:rPr>
          <w:bCs/>
        </w:rPr>
        <w:t xml:space="preserve"> </w:t>
      </w:r>
      <w:r w:rsidRPr="00BB6D35">
        <w:rPr>
          <w:bCs/>
        </w:rPr>
        <w:t>37-РЗ).</w:t>
      </w:r>
    </w:p>
    <w:p w14:paraId="3D7E6FDE" w14:textId="027EDDE2" w:rsidR="005E2D2E" w:rsidRPr="00BB6D35" w:rsidRDefault="005E2D2E" w:rsidP="005E2D2E">
      <w:pPr>
        <w:spacing w:before="120" w:after="120"/>
        <w:ind w:firstLine="720"/>
        <w:contextualSpacing/>
        <w:rPr>
          <w:bCs/>
        </w:rPr>
      </w:pPr>
      <w:r w:rsidRPr="00BB6D35">
        <w:rPr>
          <w:bCs/>
        </w:rPr>
        <w:t xml:space="preserve">9. </w:t>
      </w:r>
      <w:r w:rsidR="00695DF0">
        <w:t xml:space="preserve">На местном уровне </w:t>
      </w:r>
      <w:r w:rsidR="00695DF0" w:rsidRPr="007A25AE">
        <w:t>муниципальны</w:t>
      </w:r>
      <w:r w:rsidR="00695DF0">
        <w:t xml:space="preserve">ми </w:t>
      </w:r>
      <w:r w:rsidR="00695DF0" w:rsidRPr="007A25AE">
        <w:t>образовани</w:t>
      </w:r>
      <w:r w:rsidR="00695DF0">
        <w:t>ями</w:t>
      </w:r>
      <w:r w:rsidR="00695DF0" w:rsidRPr="007A25AE">
        <w:t xml:space="preserve"> Кабардино-Балкарской </w:t>
      </w:r>
      <w:r w:rsidR="008D06E3" w:rsidRPr="007A25AE">
        <w:t>Республики приняты</w:t>
      </w:r>
      <w:r w:rsidR="00695DF0" w:rsidRPr="007A25AE">
        <w:t xml:space="preserve"> нормативны</w:t>
      </w:r>
      <w:r w:rsidR="00695DF0">
        <w:t>е</w:t>
      </w:r>
      <w:r w:rsidR="00695DF0" w:rsidRPr="007A25AE">
        <w:t xml:space="preserve"> правовы</w:t>
      </w:r>
      <w:r w:rsidR="00695DF0">
        <w:t>е</w:t>
      </w:r>
      <w:r w:rsidR="00695DF0" w:rsidRPr="007A25AE">
        <w:t xml:space="preserve"> акт</w:t>
      </w:r>
      <w:r w:rsidR="00695DF0">
        <w:t>ы</w:t>
      </w:r>
      <w:r w:rsidR="00695DF0" w:rsidRPr="007A25AE">
        <w:t xml:space="preserve"> по актуализации налоговых ставок по земельному налогу и налогу на имущество физических лиц </w:t>
      </w:r>
      <w:r w:rsidRPr="00BB6D35">
        <w:rPr>
          <w:bCs/>
        </w:rPr>
        <w:t>(в отношении объектов недвижимости и земельных участков стоимостью свыше 300 млн рублей), а также установлению на подведомственных территориях с</w:t>
      </w:r>
      <w:r w:rsidR="00380B5A">
        <w:rPr>
          <w:bCs/>
        </w:rPr>
        <w:t xml:space="preserve"> </w:t>
      </w:r>
      <w:r w:rsidRPr="00BB6D35">
        <w:rPr>
          <w:bCs/>
        </w:rPr>
        <w:t>1 января 2025 года туристического налога. По состоянию на 1 января 2025 года туристический налог установлен в 73 муниципальных образованиях республики</w:t>
      </w:r>
      <w:r w:rsidR="00380B5A">
        <w:rPr>
          <w:bCs/>
        </w:rPr>
        <w:t xml:space="preserve"> и, по прогнозной оценке</w:t>
      </w:r>
      <w:r w:rsidRPr="00BB6D35">
        <w:rPr>
          <w:bCs/>
        </w:rPr>
        <w:t xml:space="preserve"> УФНС России по КБР</w:t>
      </w:r>
      <w:r w:rsidR="00152983">
        <w:rPr>
          <w:bCs/>
        </w:rPr>
        <w:t>,</w:t>
      </w:r>
      <w:r w:rsidRPr="00BB6D35">
        <w:rPr>
          <w:bCs/>
        </w:rPr>
        <w:t xml:space="preserve"> объем дополнительных поступлений местных бюджетов КБР в 2025 году может составить порядка 26,7 млн рублей с тенденций рост</w:t>
      </w:r>
      <w:r w:rsidR="00380B5A">
        <w:rPr>
          <w:bCs/>
        </w:rPr>
        <w:t>а</w:t>
      </w:r>
      <w:r w:rsidRPr="00BB6D35">
        <w:rPr>
          <w:bCs/>
        </w:rPr>
        <w:t xml:space="preserve"> к 2029 году до 187,9 млн рублей.</w:t>
      </w:r>
    </w:p>
    <w:p w14:paraId="63D83918" w14:textId="19BB6F18" w:rsidR="007B2B35" w:rsidRPr="00F3522A" w:rsidRDefault="005E2D2E" w:rsidP="00C66219">
      <w:pPr>
        <w:tabs>
          <w:tab w:val="left" w:pos="0"/>
        </w:tabs>
        <w:contextualSpacing/>
        <w:rPr>
          <w:color w:val="000000"/>
        </w:rPr>
      </w:pPr>
      <w:r w:rsidRPr="00BB6D35">
        <w:rPr>
          <w:rFonts w:eastAsia="Calibri"/>
          <w:color w:val="auto"/>
        </w:rPr>
        <w:t xml:space="preserve">10. </w:t>
      </w:r>
      <w:bookmarkStart w:id="108" w:name="_Hlk173167717"/>
      <w:r w:rsidR="007B2B35" w:rsidRPr="00F3522A">
        <w:rPr>
          <w:color w:val="000000"/>
        </w:rPr>
        <w:t>В рамках федеральной системы учета, контроля и оценки эффективности налоговых расходов в 2024 году проведена оценка объемов налоговых льгот и преференций, предоставленных законодательством К</w:t>
      </w:r>
      <w:r w:rsidR="007B2B35">
        <w:rPr>
          <w:color w:val="000000"/>
        </w:rPr>
        <w:t>абардино-</w:t>
      </w:r>
      <w:r w:rsidR="007B2B35" w:rsidRPr="00F3522A">
        <w:rPr>
          <w:color w:val="000000"/>
        </w:rPr>
        <w:t>Б</w:t>
      </w:r>
      <w:r w:rsidR="007B2B35">
        <w:rPr>
          <w:color w:val="000000"/>
        </w:rPr>
        <w:t>алкарской Республики</w:t>
      </w:r>
      <w:r w:rsidR="007B2B35" w:rsidRPr="00F3522A">
        <w:rPr>
          <w:color w:val="000000"/>
        </w:rPr>
        <w:t xml:space="preserve">, </w:t>
      </w:r>
      <w:r w:rsidR="00515643">
        <w:rPr>
          <w:color w:val="000000"/>
        </w:rPr>
        <w:t xml:space="preserve">а </w:t>
      </w:r>
      <w:r w:rsidR="007B2B35" w:rsidRPr="00F3522A">
        <w:rPr>
          <w:color w:val="000000"/>
        </w:rPr>
        <w:t>также оценка эффективности налоговых расходов республиканского бюджета К</w:t>
      </w:r>
      <w:r w:rsidR="007B2B35">
        <w:rPr>
          <w:color w:val="000000"/>
        </w:rPr>
        <w:t xml:space="preserve">абардино-Балкарской Республики. </w:t>
      </w:r>
      <w:r w:rsidR="007B2B35" w:rsidRPr="00F3522A">
        <w:rPr>
          <w:color w:val="000000"/>
        </w:rPr>
        <w:t xml:space="preserve"> По результатам проведенной уточненной оценки предоставленных законодательством Кабардино-Балкарской Республики региональных налоговых льгот и преференций за 2022 год и предшествующий шестилетний период, количество получателей налоговых льгот составило 39 841, объем налоговых расходов - 407,2 млн рублей.  Согласно предварительным фискальным характеристикам УФНС России по КБР, сумма налоговых расходов республиканского бюджета КБР за 2023 год составила 423,8 млн рублей, или на 4,1 % выше уровня предыдущего года. </w:t>
      </w:r>
    </w:p>
    <w:p w14:paraId="79133CC2" w14:textId="77777777" w:rsidR="007B2B35" w:rsidRPr="00F3522A" w:rsidRDefault="007B2B35" w:rsidP="00C66219">
      <w:pPr>
        <w:tabs>
          <w:tab w:val="left" w:pos="0"/>
        </w:tabs>
        <w:contextualSpacing/>
        <w:rPr>
          <w:color w:val="000000"/>
        </w:rPr>
      </w:pPr>
      <w:r w:rsidRPr="00F3522A">
        <w:rPr>
          <w:color w:val="000000"/>
        </w:rPr>
        <w:t xml:space="preserve">Учитывая направленность стимулирующих налоговых расходов на улучшение инвестиционного климата республики, а также социальную направленность предоставляемых налоговых льгот и пониженных налоговых ставок по транспортном налогу, упрощенной и патентной системе налогообложения, подлежащих отмене </w:t>
      </w:r>
      <w:r>
        <w:rPr>
          <w:color w:val="000000"/>
        </w:rPr>
        <w:t xml:space="preserve">в 2024, 2025 годах </w:t>
      </w:r>
      <w:r w:rsidRPr="00F3522A">
        <w:rPr>
          <w:color w:val="000000"/>
        </w:rPr>
        <w:t>налоговых льгот (пониженных ставок по налогам) не установлено.</w:t>
      </w:r>
    </w:p>
    <w:p w14:paraId="720EE605" w14:textId="77777777" w:rsidR="007B2B35" w:rsidRPr="007A25AE" w:rsidRDefault="007B2B35" w:rsidP="00C66219">
      <w:pPr>
        <w:tabs>
          <w:tab w:val="left" w:pos="0"/>
        </w:tabs>
        <w:contextualSpacing/>
      </w:pPr>
      <w:r w:rsidRPr="007A25AE">
        <w:t xml:space="preserve">Органами местного самоуправления Кабардино-Балкарской Республики также проведены оценки эффективности налоговых расходов (пониженных ставок по налогу на имущество физических лиц и земельному налогу), объем которых за 2022 год составил 42,8 млн рублей, за 2023 год - 43,4 млн рублей с ростом на 1,4%. Городским округом Нальчик в целях оптимизации налоговых расходов местного бюджета </w:t>
      </w:r>
      <w:r>
        <w:t xml:space="preserve">рассматривается вопрос </w:t>
      </w:r>
      <w:r w:rsidRPr="007A25AE">
        <w:t>внесени</w:t>
      </w:r>
      <w:r>
        <w:t>я</w:t>
      </w:r>
      <w:r w:rsidRPr="007A25AE">
        <w:t xml:space="preserve"> изменений в муниципальный нормативный правовой акт в отношении установления с</w:t>
      </w:r>
      <w:r>
        <w:t xml:space="preserve"> </w:t>
      </w:r>
      <w:r w:rsidRPr="007A25AE">
        <w:t>1 января 2026 года максимальной налоговой ставки по налогу на имущество физических лиц 0,3% от кадастровой стоимости объектов налогообложения.</w:t>
      </w:r>
    </w:p>
    <w:p w14:paraId="1DBCC799" w14:textId="0E6987BA" w:rsidR="005E2D2E" w:rsidRPr="00BB6D35" w:rsidRDefault="005E2D2E" w:rsidP="007B2B35">
      <w:pPr>
        <w:spacing w:before="120" w:after="120"/>
        <w:ind w:firstLine="720"/>
        <w:contextualSpacing/>
      </w:pPr>
      <w:r w:rsidRPr="00BB6D35">
        <w:t xml:space="preserve">11. В целях недопущения увеличения долговой нагрузки на республиканский бюджет Кабардино-Балкарской Республики Правительством Кабардино-Балкарской Республики ежегодно утверждаются основные направления государственной долговой политики с обозначением целей, задач и инструментов ее </w:t>
      </w:r>
      <w:r w:rsidR="00380B5A" w:rsidRPr="00BB6D35">
        <w:t xml:space="preserve">реализации </w:t>
      </w:r>
      <w:r w:rsidR="00380B5A" w:rsidRPr="00BB6D35">
        <w:rPr>
          <w:rFonts w:eastAsiaTheme="minorHAnsi"/>
        </w:rPr>
        <w:t>(</w:t>
      </w:r>
      <w:r w:rsidRPr="00BB6D35">
        <w:rPr>
          <w:rFonts w:eastAsiaTheme="minorHAnsi"/>
        </w:rPr>
        <w:t>распоряжение Правительства КБР от 28</w:t>
      </w:r>
      <w:r w:rsidR="00133E0F">
        <w:rPr>
          <w:rFonts w:eastAsiaTheme="minorHAnsi"/>
        </w:rPr>
        <w:t>.10.</w:t>
      </w:r>
      <w:r w:rsidRPr="00BB6D35">
        <w:rPr>
          <w:rFonts w:eastAsiaTheme="minorHAnsi"/>
        </w:rPr>
        <w:t xml:space="preserve">2024 </w:t>
      </w:r>
      <w:r w:rsidR="00C314E4">
        <w:rPr>
          <w:rFonts w:eastAsiaTheme="minorHAnsi"/>
        </w:rPr>
        <w:t>года</w:t>
      </w:r>
      <w:r w:rsidRPr="00BB6D35">
        <w:rPr>
          <w:rFonts w:eastAsiaTheme="minorHAnsi"/>
        </w:rPr>
        <w:t xml:space="preserve"> № 663-рп).</w:t>
      </w:r>
      <w:r w:rsidR="00133E0F">
        <w:rPr>
          <w:rFonts w:eastAsiaTheme="minorHAnsi"/>
        </w:rPr>
        <w:t xml:space="preserve"> </w:t>
      </w:r>
      <w:r w:rsidRPr="00BB6D35">
        <w:t>Основными инструментами сдерживания роста долговой нагрузки на республиканский бюджет являются:</w:t>
      </w:r>
    </w:p>
    <w:p w14:paraId="6E41F379" w14:textId="77777777" w:rsidR="005E2D2E" w:rsidRPr="00BB6D35" w:rsidRDefault="005E2D2E" w:rsidP="005E2D2E">
      <w:r w:rsidRPr="00BB6D35">
        <w:t>– направление дополнительных доходов, полученных при исполнении республиканского бюджета, на замещение планируемых к привлечению заемных средств;</w:t>
      </w:r>
    </w:p>
    <w:p w14:paraId="73266051" w14:textId="77777777" w:rsidR="005E2D2E" w:rsidRPr="00BB6D35" w:rsidRDefault="005E2D2E" w:rsidP="005E2D2E">
      <w:r w:rsidRPr="00BB6D35">
        <w:t>– выполнение условий предоставления (использования, возврата) бюджетных кредитов из федерального бюджета;</w:t>
      </w:r>
    </w:p>
    <w:p w14:paraId="2249EAE7" w14:textId="77777777" w:rsidR="005E2D2E" w:rsidRPr="00BB6D35" w:rsidRDefault="005E2D2E" w:rsidP="005E2D2E">
      <w:r w:rsidRPr="00BB6D35">
        <w:t>– минимизация привлечения кредитов от кредитных организаций;</w:t>
      </w:r>
    </w:p>
    <w:p w14:paraId="08C573EB" w14:textId="77777777" w:rsidR="005E2D2E" w:rsidRPr="00BB6D35" w:rsidRDefault="005E2D2E" w:rsidP="005E2D2E">
      <w:r w:rsidRPr="00BB6D35">
        <w:t>– недопущение принятия новых расходных обязательств Кабардино-Балкарской Республики, не обеспеченных стабильными источниками доходов.</w:t>
      </w:r>
    </w:p>
    <w:p w14:paraId="19FCA33D" w14:textId="0C451DEF" w:rsidR="005E2D2E" w:rsidRPr="00BB6D35" w:rsidRDefault="005E2D2E" w:rsidP="005E2D2E">
      <w:pPr>
        <w:ind w:firstLine="720"/>
        <w:rPr>
          <w:b/>
          <w:color w:val="auto"/>
        </w:rPr>
      </w:pPr>
      <w:r w:rsidRPr="00BB6D35">
        <w:rPr>
          <w:bCs/>
          <w:color w:val="auto"/>
        </w:rPr>
        <w:t>В рамках принятых П</w:t>
      </w:r>
      <w:r w:rsidRPr="00BB6D35">
        <w:rPr>
          <w:color w:val="auto"/>
          <w:shd w:val="clear" w:color="auto" w:fill="FFFFFF"/>
        </w:rPr>
        <w:t>ланом мероприятий по оздоровлению государственных финансов (оптимизации расходов КБР) мер по у</w:t>
      </w:r>
      <w:r w:rsidRPr="00BB6D35">
        <w:rPr>
          <w:color w:val="auto"/>
        </w:rPr>
        <w:t xml:space="preserve">лучшению структуры государственного долга, сдерживанию расходов на его обслуживание в 2024 </w:t>
      </w:r>
      <w:r w:rsidR="00380B5A" w:rsidRPr="00BB6D35">
        <w:rPr>
          <w:color w:val="auto"/>
        </w:rPr>
        <w:t>году, республиканским</w:t>
      </w:r>
      <w:r w:rsidRPr="00BB6D35">
        <w:rPr>
          <w:color w:val="auto"/>
        </w:rPr>
        <w:t xml:space="preserve"> бюджетом Кабардино-Балкарской Республики не привлекались рыночные заимствования, а также краткосрочные кредиты. </w:t>
      </w:r>
    </w:p>
    <w:bookmarkEnd w:id="108"/>
    <w:p w14:paraId="73BB52DB" w14:textId="111D8A38" w:rsidR="00111CE8" w:rsidRDefault="007B2B35" w:rsidP="005E2D2E">
      <w:pPr>
        <w:autoSpaceDE w:val="0"/>
        <w:autoSpaceDN w:val="0"/>
        <w:adjustRightInd w:val="0"/>
        <w:contextualSpacing/>
        <w:rPr>
          <w:color w:val="auto"/>
        </w:rPr>
      </w:pPr>
      <w:r w:rsidRPr="007B2B35">
        <w:rPr>
          <w:color w:val="auto"/>
        </w:rPr>
        <w:t>Для снижения долговой нагрузки на местные бюджеты принято постановление Правительства Кабардино-Балкарской Республики от   18</w:t>
      </w:r>
      <w:r w:rsidR="00133E0F">
        <w:rPr>
          <w:color w:val="auto"/>
        </w:rPr>
        <w:t>.04.2</w:t>
      </w:r>
      <w:r w:rsidRPr="007B2B35">
        <w:rPr>
          <w:color w:val="auto"/>
        </w:rPr>
        <w:t xml:space="preserve">024 </w:t>
      </w:r>
      <w:r w:rsidR="00C314E4">
        <w:rPr>
          <w:color w:val="auto"/>
        </w:rPr>
        <w:t>года</w:t>
      </w:r>
      <w:r w:rsidRPr="007B2B35">
        <w:rPr>
          <w:color w:val="auto"/>
        </w:rPr>
        <w:t xml:space="preserve"> № 60-ПП «Об утверждении Порядка согласования лимита бюджетного кредита на пополнение остатка средств на едином счете бюджета, предоставляемого муниципальному району (городскому округу)», в соответствии с которым муниципальные образования несут обязательства по  направлению в приоритетном порядке средств распределенного  бюджетного кредита на пополнение остатка средств на едином счете местного бюджета на погашение долговых обязательств по рыночным заимствованиям,  а также не увеличения до 1 января 2030 года  доли  общего объема долговых обязательств по рыночным заимствованиям муниципальных образований более, чем  32%</w:t>
      </w:r>
      <w:r w:rsidR="00515643" w:rsidRPr="00515643">
        <w:t xml:space="preserve"> </w:t>
      </w:r>
      <w:r w:rsidR="00515643" w:rsidRPr="00515643">
        <w:rPr>
          <w:color w:val="auto"/>
        </w:rPr>
        <w:t>объема доходов местного бюджета без учета безвозмездных поступлений</w:t>
      </w:r>
      <w:r w:rsidRPr="007B2B35">
        <w:rPr>
          <w:color w:val="auto"/>
        </w:rPr>
        <w:t>.</w:t>
      </w:r>
    </w:p>
    <w:p w14:paraId="3ACDBC93" w14:textId="2C8E8CC6" w:rsidR="005E2D2E" w:rsidRPr="00BB6D35" w:rsidRDefault="005E2D2E" w:rsidP="005E2D2E">
      <w:pPr>
        <w:autoSpaceDE w:val="0"/>
        <w:autoSpaceDN w:val="0"/>
        <w:adjustRightInd w:val="0"/>
        <w:contextualSpacing/>
      </w:pPr>
      <w:r w:rsidRPr="00BB6D35">
        <w:t>12. На 1 января 2025 года в структуре государственного долга Кабардино-Балкарской Республики (с учетом совокупного долга муниципальных образований) доля коммерческих заимствований составила 10,1 %, на б</w:t>
      </w:r>
      <w:r w:rsidR="00E634E0">
        <w:t>юджетные кредиты приходится</w:t>
      </w:r>
      <w:r w:rsidRPr="00BB6D35">
        <w:t xml:space="preserve"> 89,9 %. В результате замещения </w:t>
      </w:r>
      <w:r w:rsidR="00380B5A" w:rsidRPr="00BB6D35">
        <w:t>коммерческих кредитов,</w:t>
      </w:r>
      <w:r w:rsidRPr="00BB6D35">
        <w:t xml:space="preserve"> привлеченных городским округом Нальчик предоставленным в 2024 году бюджетным кредитом в размере 592,6 млн рублей по ставке 0,1 % годовых, существенно снижена финансовая нагрузка на местный бюджет по расходам на обслуживание муниципального долга, включая уплату процентных платежей. В течение отчетного года высвобождающиеся финансовые ресурсы направляются на погашение коммерческих кредитов, полученных в виде возобновляемых кредитных линий.</w:t>
      </w:r>
    </w:p>
    <w:p w14:paraId="7592EF8F" w14:textId="77777777" w:rsidR="005E2D2E" w:rsidRPr="00AC71F5" w:rsidRDefault="005E2D2E" w:rsidP="005E2D2E">
      <w:pPr>
        <w:autoSpaceDE w:val="0"/>
        <w:autoSpaceDN w:val="0"/>
        <w:adjustRightInd w:val="0"/>
        <w:ind w:firstLine="708"/>
        <w:contextualSpacing/>
        <w:rPr>
          <w:i/>
          <w:iCs/>
          <w:sz w:val="27"/>
          <w:szCs w:val="27"/>
          <w:shd w:val="clear" w:color="auto" w:fill="FFFFFF"/>
        </w:rPr>
      </w:pPr>
    </w:p>
    <w:p w14:paraId="39E78419" w14:textId="77777777" w:rsidR="00C32F32" w:rsidRDefault="00F811F4" w:rsidP="008D06E3">
      <w:pPr>
        <w:pStyle w:val="24"/>
        <w:spacing w:before="0" w:after="0"/>
        <w:ind w:left="431" w:hanging="431"/>
        <w:rPr>
          <w:color w:val="568D11" w:themeColor="accent3" w:themeShade="80"/>
        </w:rPr>
      </w:pPr>
      <w:r w:rsidRPr="00C32F32">
        <w:rPr>
          <w:color w:val="568D11" w:themeColor="accent3" w:themeShade="80"/>
        </w:rPr>
        <w:t>Деятельность Министерства финансов КБР по</w:t>
      </w:r>
      <w:bookmarkStart w:id="109" w:name="_Toc131085640"/>
      <w:bookmarkEnd w:id="104"/>
      <w:bookmarkEnd w:id="105"/>
    </w:p>
    <w:p w14:paraId="1D431F27" w14:textId="77777777" w:rsidR="008D06E3" w:rsidRDefault="00F811F4" w:rsidP="008D06E3">
      <w:pPr>
        <w:pStyle w:val="24"/>
        <w:numPr>
          <w:ilvl w:val="0"/>
          <w:numId w:val="0"/>
        </w:numPr>
        <w:spacing w:before="0" w:after="0"/>
        <w:ind w:left="431"/>
        <w:rPr>
          <w:color w:val="568D11" w:themeColor="accent3" w:themeShade="80"/>
        </w:rPr>
      </w:pPr>
      <w:bookmarkStart w:id="110" w:name="_Toc162008796"/>
      <w:r w:rsidRPr="00C32F32">
        <w:rPr>
          <w:color w:val="568D11" w:themeColor="accent3" w:themeShade="80"/>
        </w:rPr>
        <w:t>норматив</w:t>
      </w:r>
      <w:r w:rsidR="00C42BA9" w:rsidRPr="00C32F32">
        <w:rPr>
          <w:color w:val="568D11" w:themeColor="accent3" w:themeShade="80"/>
        </w:rPr>
        <w:t xml:space="preserve">но-правовому </w:t>
      </w:r>
      <w:r w:rsidRPr="00C32F32">
        <w:rPr>
          <w:color w:val="568D11" w:themeColor="accent3" w:themeShade="80"/>
        </w:rPr>
        <w:t>обеспечению</w:t>
      </w:r>
      <w:bookmarkStart w:id="111" w:name="_Toc162008797"/>
      <w:bookmarkEnd w:id="110"/>
    </w:p>
    <w:p w14:paraId="447B1CFF" w14:textId="1004A538" w:rsidR="00034CD9" w:rsidRPr="008D06E3" w:rsidRDefault="00F811F4" w:rsidP="008D06E3">
      <w:pPr>
        <w:pStyle w:val="24"/>
        <w:numPr>
          <w:ilvl w:val="0"/>
          <w:numId w:val="0"/>
        </w:numPr>
        <w:spacing w:before="0" w:after="0"/>
        <w:ind w:left="431"/>
        <w:rPr>
          <w:color w:val="568D11" w:themeColor="accent3" w:themeShade="80"/>
        </w:rPr>
      </w:pPr>
      <w:r w:rsidRPr="00C32F32">
        <w:rPr>
          <w:color w:val="568D11" w:themeColor="accent3" w:themeShade="80"/>
        </w:rPr>
        <w:t xml:space="preserve">бюджетного процесса в </w:t>
      </w:r>
      <w:bookmarkEnd w:id="106"/>
      <w:r w:rsidRPr="00C32F32">
        <w:rPr>
          <w:color w:val="568D11" w:themeColor="accent3" w:themeShade="80"/>
        </w:rPr>
        <w:t>КБР</w:t>
      </w:r>
      <w:bookmarkEnd w:id="109"/>
      <w:bookmarkEnd w:id="111"/>
    </w:p>
    <w:p w14:paraId="42142D0B" w14:textId="77777777" w:rsidR="00DB3FBB" w:rsidRDefault="00DB3FBB" w:rsidP="0082617E">
      <w:pPr>
        <w:rPr>
          <w:color w:val="FF0000"/>
        </w:rPr>
      </w:pPr>
    </w:p>
    <w:p w14:paraId="1B10D7A4" w14:textId="62A4EEE7" w:rsidR="00F811F4" w:rsidRPr="00431180" w:rsidRDefault="00F811F4" w:rsidP="0082617E">
      <w:r w:rsidRPr="00431180">
        <w:t xml:space="preserve">Министерством проводится постоянная работа по формированию и совершенствованию нормативно-правовой базы для обеспечения бюджетного процесса в республике, в том числе бюджетного и налогового законодательства. В </w:t>
      </w:r>
      <w:r w:rsidR="004E228F" w:rsidRPr="00431180">
        <w:t>202</w:t>
      </w:r>
      <w:r w:rsidR="00431180" w:rsidRPr="00431180">
        <w:t>4</w:t>
      </w:r>
      <w:r w:rsidR="004E228F" w:rsidRPr="00431180">
        <w:t xml:space="preserve"> году</w:t>
      </w:r>
      <w:r w:rsidRPr="00431180">
        <w:t xml:space="preserve"> Министерством финансов КБР был</w:t>
      </w:r>
      <w:r w:rsidR="00456AA6" w:rsidRPr="00431180">
        <w:t>и</w:t>
      </w:r>
      <w:r w:rsidRPr="00431180">
        <w:t xml:space="preserve"> разработан</w:t>
      </w:r>
      <w:r w:rsidR="00456AA6" w:rsidRPr="00431180">
        <w:t>ы</w:t>
      </w:r>
      <w:r w:rsidR="00431180" w:rsidRPr="00431180">
        <w:t xml:space="preserve"> </w:t>
      </w:r>
      <w:r w:rsidRPr="00431180">
        <w:t>проект</w:t>
      </w:r>
      <w:r w:rsidR="00456AA6" w:rsidRPr="00431180">
        <w:t>ы</w:t>
      </w:r>
      <w:r w:rsidR="00431180" w:rsidRPr="00431180">
        <w:t xml:space="preserve"> </w:t>
      </w:r>
      <w:r w:rsidR="00456AA6" w:rsidRPr="00431180">
        <w:t>следующих</w:t>
      </w:r>
      <w:r w:rsidR="00431180" w:rsidRPr="00431180">
        <w:t xml:space="preserve"> </w:t>
      </w:r>
      <w:r w:rsidRPr="00431180">
        <w:t>нормативных правовых актов:</w:t>
      </w:r>
    </w:p>
    <w:p w14:paraId="702D5D7B" w14:textId="77777777" w:rsidR="00403EB7" w:rsidRPr="00034CD9" w:rsidRDefault="00403EB7" w:rsidP="0082617E">
      <w:pPr>
        <w:rPr>
          <w:color w:val="FF0000"/>
        </w:rPr>
      </w:pPr>
    </w:p>
    <w:p w14:paraId="17682CA6" w14:textId="77777777" w:rsidR="00F811F4" w:rsidRPr="00431180" w:rsidRDefault="00F811F4" w:rsidP="0082617E">
      <w:pPr>
        <w:rPr>
          <w:b/>
          <w:bCs/>
        </w:rPr>
      </w:pPr>
      <w:r w:rsidRPr="00431180">
        <w:rPr>
          <w:b/>
          <w:bCs/>
        </w:rPr>
        <w:t>Законы КБР:</w:t>
      </w:r>
    </w:p>
    <w:p w14:paraId="1285A49D" w14:textId="77777777" w:rsidR="00F811F4" w:rsidRPr="00431180" w:rsidRDefault="00F811F4" w:rsidP="0082617E"/>
    <w:p w14:paraId="2C08D961" w14:textId="7803AC98" w:rsidR="00AC627F" w:rsidRPr="00431180" w:rsidRDefault="001D2580" w:rsidP="00AC627F">
      <w:pPr>
        <w:pStyle w:val="a"/>
        <w:numPr>
          <w:ilvl w:val="0"/>
          <w:numId w:val="2"/>
        </w:numPr>
        <w:jc w:val="both"/>
      </w:pPr>
      <w:r w:rsidRPr="00431180">
        <w:t xml:space="preserve">Закон </w:t>
      </w:r>
      <w:r w:rsidR="00E851C6" w:rsidRPr="00431180">
        <w:t>Кабардино-Балкарской Республики</w:t>
      </w:r>
      <w:r w:rsidR="00431180" w:rsidRPr="00431180">
        <w:t xml:space="preserve"> от 24</w:t>
      </w:r>
      <w:r w:rsidRPr="00431180">
        <w:t>.06.202</w:t>
      </w:r>
      <w:r w:rsidR="00431180" w:rsidRPr="00431180">
        <w:t>4</w:t>
      </w:r>
      <w:r w:rsidR="00F811F4" w:rsidRPr="00431180">
        <w:t xml:space="preserve"> </w:t>
      </w:r>
      <w:r w:rsidR="00C314E4">
        <w:t>года</w:t>
      </w:r>
      <w:r w:rsidR="00F811F4" w:rsidRPr="00431180">
        <w:t xml:space="preserve"> № </w:t>
      </w:r>
      <w:r w:rsidR="007D3CD3" w:rsidRPr="00431180">
        <w:t>2</w:t>
      </w:r>
      <w:r w:rsidR="00431180" w:rsidRPr="00431180">
        <w:t>0</w:t>
      </w:r>
      <w:r w:rsidR="00F811F4" w:rsidRPr="00431180">
        <w:t xml:space="preserve">-РЗ </w:t>
      </w:r>
      <w:r w:rsidR="008D06E3">
        <w:br/>
      </w:r>
      <w:r w:rsidR="00A32071" w:rsidRPr="00431180">
        <w:t>«</w:t>
      </w:r>
      <w:r w:rsidR="00F811F4" w:rsidRPr="00431180">
        <w:t>Об исполнении республиканского бюджета Кабардино-Балкарской Республики за 20</w:t>
      </w:r>
      <w:r w:rsidRPr="00431180">
        <w:t>2</w:t>
      </w:r>
      <w:r w:rsidR="00431180" w:rsidRPr="00431180">
        <w:t>3</w:t>
      </w:r>
      <w:r w:rsidR="00F811F4" w:rsidRPr="00431180">
        <w:t xml:space="preserve"> год</w:t>
      </w:r>
      <w:r w:rsidR="00A32071" w:rsidRPr="00431180">
        <w:t>»</w:t>
      </w:r>
    </w:p>
    <w:p w14:paraId="6A881682" w14:textId="77777777" w:rsidR="004C7541" w:rsidRPr="00034CD9" w:rsidRDefault="004C7541" w:rsidP="004C7541">
      <w:pPr>
        <w:pStyle w:val="a"/>
        <w:numPr>
          <w:ilvl w:val="0"/>
          <w:numId w:val="0"/>
        </w:numPr>
        <w:ind w:left="720"/>
        <w:jc w:val="both"/>
        <w:rPr>
          <w:color w:val="FF0000"/>
        </w:rPr>
      </w:pPr>
    </w:p>
    <w:p w14:paraId="5C5C897E" w14:textId="448187C7" w:rsidR="0008799B" w:rsidRPr="0008799B" w:rsidRDefault="0008799B" w:rsidP="0008799B">
      <w:pPr>
        <w:widowControl/>
        <w:numPr>
          <w:ilvl w:val="0"/>
          <w:numId w:val="2"/>
        </w:numPr>
        <w:spacing w:before="120" w:after="120"/>
        <w:contextualSpacing/>
        <w:rPr>
          <w:color w:val="auto"/>
        </w:rPr>
      </w:pPr>
      <w:r w:rsidRPr="0008799B">
        <w:rPr>
          <w:color w:val="auto"/>
        </w:rPr>
        <w:t xml:space="preserve">Закон Кабардино-Балкарской Республики от 12.11.2024 </w:t>
      </w:r>
      <w:r w:rsidR="00C314E4">
        <w:rPr>
          <w:color w:val="auto"/>
        </w:rPr>
        <w:t>года</w:t>
      </w:r>
      <w:r w:rsidRPr="0008799B">
        <w:rPr>
          <w:color w:val="auto"/>
        </w:rPr>
        <w:t xml:space="preserve"> № 34-РЗ </w:t>
      </w:r>
      <w:r w:rsidR="008D06E3">
        <w:rPr>
          <w:color w:val="auto"/>
        </w:rPr>
        <w:br/>
      </w:r>
      <w:r w:rsidRPr="0008799B">
        <w:rPr>
          <w:color w:val="auto"/>
        </w:rPr>
        <w:t>«</w:t>
      </w:r>
      <w:r w:rsidRPr="0008799B">
        <w:rPr>
          <w:rFonts w:eastAsia="Trebuchet MS"/>
          <w:color w:val="auto"/>
        </w:rPr>
        <w:t xml:space="preserve">О внесении изменений в статью 2 Закона Кабардино-Балкарской Республики </w:t>
      </w:r>
      <w:r w:rsidR="008D06E3">
        <w:rPr>
          <w:rFonts w:eastAsia="Trebuchet MS"/>
          <w:color w:val="auto"/>
        </w:rPr>
        <w:br/>
      </w:r>
      <w:r w:rsidRPr="0008799B">
        <w:rPr>
          <w:rFonts w:eastAsia="Trebuchet MS"/>
          <w:color w:val="auto"/>
        </w:rPr>
        <w:t>«О налоге на имущество организаций»</w:t>
      </w:r>
    </w:p>
    <w:p w14:paraId="4BE2098F" w14:textId="77777777" w:rsidR="00931D7B" w:rsidRPr="00034CD9" w:rsidRDefault="00931D7B" w:rsidP="00931D7B">
      <w:pPr>
        <w:pStyle w:val="a"/>
        <w:numPr>
          <w:ilvl w:val="0"/>
          <w:numId w:val="0"/>
        </w:numPr>
        <w:ind w:left="720"/>
        <w:jc w:val="both"/>
        <w:rPr>
          <w:color w:val="FF0000"/>
        </w:rPr>
      </w:pPr>
    </w:p>
    <w:p w14:paraId="1864100B" w14:textId="45264971" w:rsidR="0008799B" w:rsidRPr="0008799B" w:rsidRDefault="0008799B" w:rsidP="0008799B">
      <w:pPr>
        <w:widowControl/>
        <w:numPr>
          <w:ilvl w:val="0"/>
          <w:numId w:val="2"/>
        </w:numPr>
        <w:spacing w:before="120" w:after="120"/>
        <w:contextualSpacing/>
        <w:rPr>
          <w:color w:val="auto"/>
        </w:rPr>
      </w:pPr>
      <w:r w:rsidRPr="0008799B">
        <w:rPr>
          <w:color w:val="auto"/>
        </w:rPr>
        <w:t xml:space="preserve">Закон Кабардино-Балкарской Республики от 28.11.2024 </w:t>
      </w:r>
      <w:r w:rsidR="00C314E4">
        <w:rPr>
          <w:color w:val="auto"/>
        </w:rPr>
        <w:t>года</w:t>
      </w:r>
      <w:r w:rsidRPr="0008799B">
        <w:rPr>
          <w:color w:val="auto"/>
        </w:rPr>
        <w:t xml:space="preserve"> № 35-РЗ </w:t>
      </w:r>
      <w:r w:rsidR="008D06E3">
        <w:rPr>
          <w:color w:val="auto"/>
        </w:rPr>
        <w:br/>
      </w:r>
      <w:r w:rsidRPr="0008799B">
        <w:rPr>
          <w:color w:val="auto"/>
        </w:rPr>
        <w:t>«О внесении изменений в статью 6 и 7 Закона Кабардино-Балкарской республики                            «О транспортном налоге»</w:t>
      </w:r>
    </w:p>
    <w:p w14:paraId="3B2154B8" w14:textId="77777777" w:rsidR="001D2580" w:rsidRPr="00034CD9" w:rsidRDefault="001D2580" w:rsidP="001D2580">
      <w:pPr>
        <w:pStyle w:val="a"/>
        <w:numPr>
          <w:ilvl w:val="0"/>
          <w:numId w:val="0"/>
        </w:numPr>
        <w:ind w:left="1211"/>
        <w:rPr>
          <w:color w:val="FF0000"/>
        </w:rPr>
      </w:pPr>
    </w:p>
    <w:p w14:paraId="08BBF1BC" w14:textId="3837F4B4" w:rsidR="001D2580" w:rsidRPr="00431180" w:rsidRDefault="001D2580" w:rsidP="001D2580">
      <w:pPr>
        <w:pStyle w:val="a"/>
        <w:numPr>
          <w:ilvl w:val="0"/>
          <w:numId w:val="2"/>
        </w:numPr>
        <w:jc w:val="both"/>
        <w:rPr>
          <w:rFonts w:eastAsiaTheme="minorHAnsi"/>
        </w:rPr>
      </w:pPr>
      <w:r w:rsidRPr="00431180">
        <w:t xml:space="preserve">Закон Кабардино-Балкарской Республики от </w:t>
      </w:r>
      <w:r w:rsidR="00431180" w:rsidRPr="00431180">
        <w:t>27</w:t>
      </w:r>
      <w:r w:rsidRPr="00431180">
        <w:t>.12.202</w:t>
      </w:r>
      <w:r w:rsidR="00431180" w:rsidRPr="00431180">
        <w:t>4</w:t>
      </w:r>
      <w:r w:rsidRPr="00431180">
        <w:t xml:space="preserve"> </w:t>
      </w:r>
      <w:r w:rsidR="00C314E4">
        <w:t>года</w:t>
      </w:r>
      <w:r w:rsidRPr="00431180">
        <w:t xml:space="preserve"> № </w:t>
      </w:r>
      <w:r w:rsidR="00431180" w:rsidRPr="00431180">
        <w:t>50</w:t>
      </w:r>
      <w:r w:rsidRPr="00431180">
        <w:t xml:space="preserve">-РЗ </w:t>
      </w:r>
      <w:r w:rsidR="008D06E3">
        <w:br/>
      </w:r>
      <w:r w:rsidR="00A32071" w:rsidRPr="00431180">
        <w:t>«</w:t>
      </w:r>
      <w:r w:rsidRPr="00431180">
        <w:rPr>
          <w:rFonts w:eastAsiaTheme="minorHAnsi"/>
        </w:rPr>
        <w:t xml:space="preserve">О внесении изменений в Закон Кабардино-Балкарской Республики </w:t>
      </w:r>
      <w:r w:rsidR="008D06E3">
        <w:rPr>
          <w:rFonts w:eastAsiaTheme="minorHAnsi"/>
        </w:rPr>
        <w:br/>
      </w:r>
      <w:r w:rsidR="00A32071" w:rsidRPr="00431180">
        <w:rPr>
          <w:rFonts w:eastAsiaTheme="minorHAnsi"/>
        </w:rPr>
        <w:t>«</w:t>
      </w:r>
      <w:r w:rsidRPr="00431180">
        <w:rPr>
          <w:rFonts w:eastAsiaTheme="minorHAnsi"/>
        </w:rPr>
        <w:t>О республиканском бюджете Кабардино-Балкарской Республики на 202</w:t>
      </w:r>
      <w:r w:rsidR="00431180" w:rsidRPr="00431180">
        <w:rPr>
          <w:rFonts w:eastAsiaTheme="minorHAnsi"/>
        </w:rPr>
        <w:t>4</w:t>
      </w:r>
      <w:r w:rsidRPr="00431180">
        <w:rPr>
          <w:rFonts w:eastAsiaTheme="minorHAnsi"/>
        </w:rPr>
        <w:t xml:space="preserve"> год и на плановый период 202</w:t>
      </w:r>
      <w:r w:rsidR="00431180" w:rsidRPr="00431180">
        <w:rPr>
          <w:rFonts w:eastAsiaTheme="minorHAnsi"/>
        </w:rPr>
        <w:t>5</w:t>
      </w:r>
      <w:r w:rsidRPr="00431180">
        <w:rPr>
          <w:rFonts w:eastAsiaTheme="minorHAnsi"/>
        </w:rPr>
        <w:t xml:space="preserve"> и 202</w:t>
      </w:r>
      <w:r w:rsidR="00431180" w:rsidRPr="00431180">
        <w:rPr>
          <w:rFonts w:eastAsiaTheme="minorHAnsi"/>
        </w:rPr>
        <w:t>6</w:t>
      </w:r>
      <w:r w:rsidRPr="00431180">
        <w:rPr>
          <w:rFonts w:eastAsiaTheme="minorHAnsi"/>
        </w:rPr>
        <w:t xml:space="preserve"> годов</w:t>
      </w:r>
      <w:r w:rsidR="00A32071" w:rsidRPr="00431180">
        <w:t>»</w:t>
      </w:r>
    </w:p>
    <w:p w14:paraId="2D357970" w14:textId="77777777" w:rsidR="00AE1D94" w:rsidRPr="00034CD9" w:rsidRDefault="00AE1D94" w:rsidP="00AE1D94">
      <w:pPr>
        <w:pStyle w:val="a"/>
        <w:numPr>
          <w:ilvl w:val="0"/>
          <w:numId w:val="0"/>
        </w:numPr>
        <w:ind w:left="1211"/>
        <w:rPr>
          <w:rFonts w:eastAsiaTheme="minorHAnsi"/>
          <w:color w:val="FF0000"/>
        </w:rPr>
      </w:pPr>
    </w:p>
    <w:p w14:paraId="1851DF68" w14:textId="424BD687" w:rsidR="00C70F41" w:rsidRPr="00C70F41" w:rsidRDefault="001D2580" w:rsidP="00C70F41">
      <w:pPr>
        <w:pStyle w:val="a"/>
        <w:numPr>
          <w:ilvl w:val="0"/>
          <w:numId w:val="2"/>
        </w:numPr>
        <w:jc w:val="both"/>
        <w:rPr>
          <w:rFonts w:eastAsiaTheme="minorHAnsi"/>
        </w:rPr>
      </w:pPr>
      <w:r w:rsidRPr="00431180">
        <w:t>Закон Кабардино-Балкарской Республики от 2</w:t>
      </w:r>
      <w:r w:rsidR="00431180" w:rsidRPr="00431180">
        <w:t>8</w:t>
      </w:r>
      <w:r w:rsidRPr="00431180">
        <w:t>.12.202</w:t>
      </w:r>
      <w:r w:rsidR="00431180" w:rsidRPr="00431180">
        <w:t>4</w:t>
      </w:r>
      <w:r w:rsidRPr="00431180">
        <w:t xml:space="preserve"> </w:t>
      </w:r>
      <w:r w:rsidR="00C314E4">
        <w:t>года</w:t>
      </w:r>
      <w:r w:rsidRPr="00431180">
        <w:t xml:space="preserve"> № </w:t>
      </w:r>
      <w:r w:rsidR="00431180" w:rsidRPr="00431180">
        <w:t>5</w:t>
      </w:r>
      <w:r w:rsidR="00AE1D94" w:rsidRPr="00431180">
        <w:t>2</w:t>
      </w:r>
      <w:r w:rsidRPr="00431180">
        <w:t xml:space="preserve">-РЗ </w:t>
      </w:r>
      <w:r w:rsidR="008D06E3">
        <w:br/>
      </w:r>
      <w:r w:rsidR="00A32071" w:rsidRPr="00431180">
        <w:t>«</w:t>
      </w:r>
      <w:r w:rsidRPr="00431180">
        <w:t>О республиканском бюджете Кабардино-Балкарской Республики на 202</w:t>
      </w:r>
      <w:r w:rsidR="00431180" w:rsidRPr="00431180">
        <w:t>5</w:t>
      </w:r>
      <w:r w:rsidRPr="00431180">
        <w:t xml:space="preserve"> год и на плановый период 202</w:t>
      </w:r>
      <w:r w:rsidR="00431180" w:rsidRPr="00431180">
        <w:t>6</w:t>
      </w:r>
      <w:r w:rsidRPr="00431180">
        <w:t xml:space="preserve"> и 202</w:t>
      </w:r>
      <w:r w:rsidR="00431180" w:rsidRPr="00431180">
        <w:t>7</w:t>
      </w:r>
      <w:r w:rsidRPr="00431180">
        <w:t xml:space="preserve"> годов</w:t>
      </w:r>
      <w:r w:rsidR="00A32071" w:rsidRPr="00431180">
        <w:t>»</w:t>
      </w:r>
    </w:p>
    <w:p w14:paraId="2CB89633" w14:textId="77777777" w:rsidR="00C70F41" w:rsidRPr="00C70F41" w:rsidRDefault="00C70F41" w:rsidP="00C70F41">
      <w:pPr>
        <w:pStyle w:val="a"/>
        <w:numPr>
          <w:ilvl w:val="0"/>
          <w:numId w:val="0"/>
        </w:numPr>
        <w:ind w:left="1211"/>
        <w:rPr>
          <w:color w:val="FF0000"/>
        </w:rPr>
      </w:pPr>
    </w:p>
    <w:p w14:paraId="3F80EA43" w14:textId="4E248D54" w:rsidR="00FA0443" w:rsidRDefault="00CB4A25" w:rsidP="00C70F41">
      <w:pPr>
        <w:pStyle w:val="a"/>
        <w:numPr>
          <w:ilvl w:val="0"/>
          <w:numId w:val="2"/>
        </w:numPr>
        <w:jc w:val="both"/>
      </w:pPr>
      <w:r w:rsidRPr="00C70F41">
        <w:t xml:space="preserve">Закон Кабардино-Балкарской Республики от </w:t>
      </w:r>
      <w:r w:rsidR="00935907" w:rsidRPr="00C70F41">
        <w:t>2</w:t>
      </w:r>
      <w:r w:rsidR="00C70F41">
        <w:t>8</w:t>
      </w:r>
      <w:r w:rsidRPr="00C70F41">
        <w:t>.12.202</w:t>
      </w:r>
      <w:r w:rsidR="00C70F41">
        <w:t>4</w:t>
      </w:r>
      <w:r w:rsidRPr="00C70F41">
        <w:t xml:space="preserve"> </w:t>
      </w:r>
      <w:r w:rsidR="00C314E4">
        <w:t>года</w:t>
      </w:r>
      <w:r w:rsidRPr="00C70F41">
        <w:t xml:space="preserve"> № </w:t>
      </w:r>
      <w:r w:rsidR="00C70F41">
        <w:t>5</w:t>
      </w:r>
      <w:r w:rsidR="00AE1D94" w:rsidRPr="00C70F41">
        <w:t>3</w:t>
      </w:r>
      <w:r w:rsidRPr="00C70F41">
        <w:t>-РЗ</w:t>
      </w:r>
      <w:r w:rsidR="00431180" w:rsidRPr="00C70F41">
        <w:t xml:space="preserve"> </w:t>
      </w:r>
      <w:r w:rsidR="008D06E3">
        <w:br/>
      </w:r>
      <w:r w:rsidR="00A32071" w:rsidRPr="00C70F41">
        <w:t>«</w:t>
      </w:r>
      <w:r w:rsidR="00C70F41" w:rsidRPr="00C70F41">
        <w:t>О приостановлении действия отдельных положений законодательных актов Кабардино-Балкарской Республики, внесении изменений в отдельные законодательные акты Кабардино-Балкарской Республики и об установлении особенностей исполнения республиканского бюджета Кабардино-Балкарской Республики в 2025 году</w:t>
      </w:r>
      <w:r w:rsidR="00A32071" w:rsidRPr="00C70F41">
        <w:t>»</w:t>
      </w:r>
    </w:p>
    <w:p w14:paraId="0CCE495B" w14:textId="77777777" w:rsidR="00C70F41" w:rsidRPr="00E90E97" w:rsidRDefault="00C70F41" w:rsidP="00C70F41"/>
    <w:p w14:paraId="4FA7E07C" w14:textId="77777777" w:rsidR="00F811F4" w:rsidRPr="00E90E97" w:rsidRDefault="00F811F4" w:rsidP="0082617E">
      <w:pPr>
        <w:rPr>
          <w:b/>
          <w:bCs/>
        </w:rPr>
      </w:pPr>
      <w:r w:rsidRPr="00E90E97">
        <w:rPr>
          <w:b/>
          <w:bCs/>
        </w:rPr>
        <w:t>Постановления Правительства КБР:</w:t>
      </w:r>
    </w:p>
    <w:p w14:paraId="765BCE35" w14:textId="77777777" w:rsidR="00F811F4" w:rsidRPr="00034CD9" w:rsidRDefault="00F811F4" w:rsidP="0082617E">
      <w:pPr>
        <w:rPr>
          <w:color w:val="FF0000"/>
        </w:rPr>
      </w:pPr>
    </w:p>
    <w:tbl>
      <w:tblPr>
        <w:tblW w:w="10666" w:type="dxa"/>
        <w:tblInd w:w="-34" w:type="dxa"/>
        <w:tblLook w:val="04A0" w:firstRow="1" w:lastRow="0" w:firstColumn="1" w:lastColumn="0" w:noHBand="0" w:noVBand="1"/>
      </w:tblPr>
      <w:tblGrid>
        <w:gridCol w:w="10666"/>
      </w:tblGrid>
      <w:tr w:rsidR="00034CD9" w:rsidRPr="00034CD9" w14:paraId="65BAA256" w14:textId="77777777" w:rsidTr="00723344">
        <w:tc>
          <w:tcPr>
            <w:tcW w:w="10666" w:type="dxa"/>
          </w:tcPr>
          <w:p w14:paraId="698A593F" w14:textId="10B4717E" w:rsidR="00CF50B9" w:rsidRDefault="00A74BF9" w:rsidP="00CF50B9">
            <w:pPr>
              <w:pStyle w:val="a"/>
              <w:numPr>
                <w:ilvl w:val="0"/>
                <w:numId w:val="3"/>
              </w:numPr>
              <w:jc w:val="both"/>
            </w:pPr>
            <w:r w:rsidRPr="00CB5ED9">
              <w:t>Поста</w:t>
            </w:r>
            <w:r w:rsidR="00CB5ED9" w:rsidRPr="00CB5ED9">
              <w:t>новление Правительства КБР от 19</w:t>
            </w:r>
            <w:r w:rsidRPr="00CB5ED9">
              <w:t>.02.202</w:t>
            </w:r>
            <w:r w:rsidR="00CB5ED9" w:rsidRPr="00CB5ED9">
              <w:t>4</w:t>
            </w:r>
            <w:r w:rsidRPr="00CB5ED9">
              <w:t xml:space="preserve"> </w:t>
            </w:r>
            <w:r w:rsidR="00C314E4">
              <w:t>года</w:t>
            </w:r>
            <w:r w:rsidRPr="00CB5ED9">
              <w:t xml:space="preserve"> № 2</w:t>
            </w:r>
            <w:r w:rsidR="00CB5ED9" w:rsidRPr="00CB5ED9">
              <w:t>5</w:t>
            </w:r>
            <w:r w:rsidRPr="00CB5ED9">
              <w:t>-ПП «О внесении изменений в приложения № 1 и 2 к бюджетному прогнозу Кабардино-Балкарской Республики на долгосрочный период до 2040 года»</w:t>
            </w:r>
          </w:p>
          <w:p w14:paraId="19123D1E" w14:textId="77777777" w:rsidR="00CF50B9" w:rsidRDefault="00CF50B9" w:rsidP="00CF50B9">
            <w:pPr>
              <w:pStyle w:val="a"/>
              <w:numPr>
                <w:ilvl w:val="0"/>
                <w:numId w:val="0"/>
              </w:numPr>
              <w:ind w:left="720"/>
              <w:jc w:val="both"/>
            </w:pPr>
          </w:p>
          <w:p w14:paraId="0B395802" w14:textId="4BF4F555" w:rsidR="00CF50B9" w:rsidRPr="00CF50B9" w:rsidRDefault="00CF50B9" w:rsidP="00CF50B9">
            <w:pPr>
              <w:pStyle w:val="a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>
              <w:rPr>
                <w:sz w:val="27"/>
                <w:szCs w:val="27"/>
              </w:rPr>
              <w:t>П</w:t>
            </w:r>
            <w:r w:rsidRPr="00E45F01">
              <w:rPr>
                <w:sz w:val="27"/>
                <w:szCs w:val="27"/>
              </w:rPr>
              <w:t>остановление Правительства</w:t>
            </w:r>
            <w:r>
              <w:rPr>
                <w:sz w:val="27"/>
                <w:szCs w:val="27"/>
              </w:rPr>
              <w:t xml:space="preserve"> </w:t>
            </w:r>
            <w:r w:rsidRPr="00E45F01"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БР</w:t>
            </w:r>
            <w:r w:rsidRPr="00E45F01">
              <w:rPr>
                <w:sz w:val="27"/>
                <w:szCs w:val="27"/>
              </w:rPr>
              <w:t xml:space="preserve"> от 18</w:t>
            </w:r>
            <w:r>
              <w:rPr>
                <w:sz w:val="27"/>
                <w:szCs w:val="27"/>
              </w:rPr>
              <w:t xml:space="preserve">.04.2024 </w:t>
            </w:r>
            <w:r w:rsidR="00C314E4">
              <w:rPr>
                <w:sz w:val="27"/>
                <w:szCs w:val="27"/>
              </w:rPr>
              <w:t>года</w:t>
            </w:r>
            <w:r w:rsidRPr="00E45F01">
              <w:rPr>
                <w:sz w:val="27"/>
                <w:szCs w:val="27"/>
              </w:rPr>
              <w:t xml:space="preserve"> № 60-ПП «Об утверждении Порядка согласования лимита бюджетного кредита на пополнение остатка средств на едином счете бюджета, предоставляемого муниципальному району (городскому округу)»</w:t>
            </w:r>
          </w:p>
          <w:p w14:paraId="7AC807D7" w14:textId="5E2A5C74" w:rsidR="00CF50B9" w:rsidRPr="00CF50B9" w:rsidRDefault="00CF50B9" w:rsidP="00CF50B9">
            <w:pPr>
              <w:pStyle w:val="a"/>
              <w:numPr>
                <w:ilvl w:val="0"/>
                <w:numId w:val="0"/>
              </w:numPr>
              <w:ind w:left="1211"/>
              <w:rPr>
                <w:color w:val="auto"/>
              </w:rPr>
            </w:pPr>
          </w:p>
          <w:p w14:paraId="4270DF47" w14:textId="09FB1C58" w:rsidR="00CF50B9" w:rsidRDefault="00CF50B9" w:rsidP="00CF50B9">
            <w:pPr>
              <w:pStyle w:val="a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51DAF">
              <w:rPr>
                <w:color w:val="auto"/>
              </w:rPr>
              <w:t xml:space="preserve">Постановление Правительства КБР от 10.07.2024 </w:t>
            </w:r>
            <w:r w:rsidR="00C314E4">
              <w:rPr>
                <w:color w:val="auto"/>
              </w:rPr>
              <w:t>года</w:t>
            </w:r>
            <w:r w:rsidRPr="00C51DAF">
              <w:rPr>
                <w:color w:val="auto"/>
              </w:rPr>
              <w:t xml:space="preserve"> №105-ПП</w:t>
            </w:r>
            <w:r>
              <w:rPr>
                <w:color w:val="auto"/>
              </w:rPr>
              <w:t xml:space="preserve"> «</w:t>
            </w:r>
            <w:r w:rsidRPr="00C51DAF">
              <w:rPr>
                <w:color w:val="auto"/>
              </w:rPr>
              <w:t>О признании утратившими силу отдельных положений некоторых актов Правительства Кабардино-Балкарской Республики</w:t>
            </w:r>
            <w:r>
              <w:rPr>
                <w:color w:val="auto"/>
              </w:rPr>
              <w:t>»</w:t>
            </w:r>
          </w:p>
          <w:p w14:paraId="563D36B6" w14:textId="77777777" w:rsidR="00CF50B9" w:rsidRPr="00CF50B9" w:rsidRDefault="00CF50B9" w:rsidP="00CF50B9">
            <w:pPr>
              <w:pStyle w:val="a"/>
              <w:numPr>
                <w:ilvl w:val="0"/>
                <w:numId w:val="0"/>
              </w:numPr>
              <w:ind w:left="1211"/>
              <w:rPr>
                <w:color w:val="auto"/>
              </w:rPr>
            </w:pPr>
          </w:p>
          <w:p w14:paraId="6D71F70F" w14:textId="7A5D1D79" w:rsidR="00CF50B9" w:rsidRPr="00F2013F" w:rsidRDefault="00CF50B9" w:rsidP="00CF50B9">
            <w:pPr>
              <w:pStyle w:val="a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F2013F">
              <w:rPr>
                <w:color w:val="auto"/>
              </w:rPr>
              <w:t xml:space="preserve">Постановление Правительства КБР от 26.07.2024 </w:t>
            </w:r>
            <w:r w:rsidR="00C314E4">
              <w:rPr>
                <w:color w:val="auto"/>
              </w:rPr>
              <w:t>года</w:t>
            </w:r>
            <w:r w:rsidRPr="00F2013F">
              <w:rPr>
                <w:color w:val="auto"/>
              </w:rPr>
              <w:t xml:space="preserve"> № 120-ПП </w:t>
            </w:r>
            <w:r w:rsidR="008D06E3">
              <w:rPr>
                <w:color w:val="auto"/>
              </w:rPr>
              <w:br/>
            </w:r>
            <w:r w:rsidRPr="00F2013F">
              <w:rPr>
                <w:color w:val="auto"/>
              </w:rPr>
              <w:t xml:space="preserve">«Об утверждении Порядка проведения Министерством финансов Кабардино-Балкарской Республики проверки годового отчета </w:t>
            </w:r>
            <w:r w:rsidR="00E90E97">
              <w:rPr>
                <w:color w:val="auto"/>
              </w:rPr>
              <w:t>об исполнении местного бюджета»</w:t>
            </w:r>
          </w:p>
          <w:p w14:paraId="2E077E74" w14:textId="77777777" w:rsidR="00CF50B9" w:rsidRPr="00CF50B9" w:rsidRDefault="00CF50B9" w:rsidP="00CF50B9">
            <w:pPr>
              <w:pStyle w:val="a"/>
              <w:numPr>
                <w:ilvl w:val="0"/>
                <w:numId w:val="0"/>
              </w:numPr>
              <w:ind w:left="720"/>
              <w:jc w:val="both"/>
              <w:rPr>
                <w:color w:val="auto"/>
              </w:rPr>
            </w:pPr>
          </w:p>
          <w:p w14:paraId="758ADB29" w14:textId="77777777" w:rsidR="00DC1388" w:rsidRPr="00034CD9" w:rsidRDefault="00DC1388" w:rsidP="00DC1388">
            <w:pPr>
              <w:pStyle w:val="a"/>
              <w:numPr>
                <w:ilvl w:val="0"/>
                <w:numId w:val="0"/>
              </w:numPr>
              <w:ind w:left="1211"/>
              <w:rPr>
                <w:color w:val="FF0000"/>
              </w:rPr>
            </w:pPr>
          </w:p>
          <w:p w14:paraId="1F3DC28B" w14:textId="0F6EAC5E" w:rsidR="00613F47" w:rsidRPr="00613F47" w:rsidRDefault="00613F47" w:rsidP="00CF50B9">
            <w:pPr>
              <w:pStyle w:val="a"/>
              <w:numPr>
                <w:ilvl w:val="0"/>
                <w:numId w:val="3"/>
              </w:numPr>
              <w:jc w:val="both"/>
            </w:pPr>
            <w:r w:rsidRPr="00613F47">
              <w:t xml:space="preserve">Постановление Правительства КБР от 23.08.2024 </w:t>
            </w:r>
            <w:r w:rsidR="00C314E4">
              <w:t>года</w:t>
            </w:r>
            <w:r w:rsidRPr="00613F47">
              <w:t xml:space="preserve"> № 135-ПП «О внесении изменений в приложение к Порядку составления проекта республиканского бюджета Кабардино-Балкарской Республики и проекта бюджета Территориального фонда обязательного медицинского страхования Кабардино-Балкарской Республики на очередной финансовый год и плановый период»</w:t>
            </w:r>
          </w:p>
          <w:p w14:paraId="4A92082A" w14:textId="77777777" w:rsidR="00613F47" w:rsidRPr="00613F47" w:rsidRDefault="00613F47" w:rsidP="00CF50B9">
            <w:pPr>
              <w:pStyle w:val="a"/>
              <w:numPr>
                <w:ilvl w:val="0"/>
                <w:numId w:val="0"/>
              </w:numPr>
              <w:ind w:left="720"/>
              <w:jc w:val="both"/>
              <w:rPr>
                <w:color w:val="FF0000"/>
              </w:rPr>
            </w:pPr>
          </w:p>
          <w:p w14:paraId="15472748" w14:textId="160F6BDC" w:rsidR="007A6A83" w:rsidRPr="00CF50B9" w:rsidRDefault="00CF50B9" w:rsidP="00133E0F">
            <w:pPr>
              <w:pStyle w:val="a"/>
              <w:numPr>
                <w:ilvl w:val="0"/>
                <w:numId w:val="3"/>
              </w:numPr>
              <w:jc w:val="both"/>
            </w:pPr>
            <w:r w:rsidRPr="00CF50B9">
              <w:t xml:space="preserve">Постановление Правительства КБР от 02.12.2024 </w:t>
            </w:r>
            <w:r w:rsidR="00C314E4">
              <w:t>года</w:t>
            </w:r>
            <w:r w:rsidRPr="00CF50B9">
              <w:t xml:space="preserve"> № 186-ПП «О признании утратившими силу отдельных положений некоторых актов Правительства Кабардино-Балкарской Республики»</w:t>
            </w:r>
          </w:p>
        </w:tc>
      </w:tr>
      <w:tr w:rsidR="00034CD9" w:rsidRPr="00034CD9" w14:paraId="6E254327" w14:textId="77777777" w:rsidTr="00723344">
        <w:tc>
          <w:tcPr>
            <w:tcW w:w="10666" w:type="dxa"/>
          </w:tcPr>
          <w:p w14:paraId="44461387" w14:textId="4C74A1E4" w:rsidR="00CF50B9" w:rsidRPr="0071634A" w:rsidRDefault="00CF50B9" w:rsidP="00CF50B9">
            <w:pPr>
              <w:pStyle w:val="a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71634A">
              <w:rPr>
                <w:color w:val="auto"/>
              </w:rPr>
              <w:t xml:space="preserve">Постановление Правительства КБР от 10.12.2024 </w:t>
            </w:r>
            <w:r w:rsidR="00C314E4">
              <w:rPr>
                <w:color w:val="auto"/>
              </w:rPr>
              <w:t>года</w:t>
            </w:r>
            <w:r w:rsidRPr="0071634A">
              <w:rPr>
                <w:color w:val="auto"/>
              </w:rPr>
              <w:t xml:space="preserve"> № 190-ПП</w:t>
            </w:r>
            <w:r>
              <w:rPr>
                <w:color w:val="auto"/>
              </w:rPr>
              <w:t xml:space="preserve"> </w:t>
            </w:r>
            <w:r w:rsidR="008D06E3">
              <w:rPr>
                <w:color w:val="auto"/>
              </w:rPr>
              <w:br/>
            </w:r>
            <w:r>
              <w:rPr>
                <w:color w:val="auto"/>
              </w:rPr>
              <w:t>«</w:t>
            </w:r>
            <w:r w:rsidRPr="0071634A">
              <w:rPr>
                <w:color w:val="auto"/>
              </w:rPr>
              <w:t>Об утверждении перечня объектов недвижимого имущества, в отношении которых в 2025 году налоговая база определяется исходя из кадастровой стоимости</w:t>
            </w:r>
            <w:r>
              <w:rPr>
                <w:color w:val="auto"/>
              </w:rPr>
              <w:t>»</w:t>
            </w:r>
          </w:p>
          <w:p w14:paraId="74126A0C" w14:textId="77777777" w:rsidR="00F2013F" w:rsidRPr="00F2013F" w:rsidRDefault="00F2013F" w:rsidP="00F2013F">
            <w:pPr>
              <w:pStyle w:val="a"/>
              <w:numPr>
                <w:ilvl w:val="0"/>
                <w:numId w:val="0"/>
              </w:numPr>
              <w:ind w:left="1211"/>
              <w:rPr>
                <w:color w:val="FF0000"/>
              </w:rPr>
            </w:pPr>
          </w:p>
          <w:p w14:paraId="476392BF" w14:textId="21DD26E0" w:rsidR="00CF50B9" w:rsidRPr="00276221" w:rsidRDefault="00CF50B9" w:rsidP="00CF50B9">
            <w:pPr>
              <w:pStyle w:val="a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037029">
              <w:rPr>
                <w:color w:val="auto"/>
              </w:rPr>
              <w:t xml:space="preserve">Постановление Правительства КБР от 27.12.2024 </w:t>
            </w:r>
            <w:r w:rsidR="00C314E4">
              <w:rPr>
                <w:color w:val="auto"/>
              </w:rPr>
              <w:t>года</w:t>
            </w:r>
            <w:r w:rsidRPr="00037029">
              <w:rPr>
                <w:color w:val="auto"/>
              </w:rPr>
              <w:t xml:space="preserve"> № </w:t>
            </w:r>
            <w:r w:rsidRPr="00037029">
              <w:rPr>
                <w:rFonts w:eastAsiaTheme="minorHAnsi"/>
                <w:color w:val="auto"/>
              </w:rPr>
              <w:t xml:space="preserve">216-ПП «О внесении изменений в постановление Правительства Кабардино-Балкарской Республики от 9 июля 2014 </w:t>
            </w:r>
            <w:r w:rsidR="0051479F">
              <w:rPr>
                <w:rFonts w:eastAsiaTheme="minorHAnsi"/>
                <w:color w:val="auto"/>
              </w:rPr>
              <w:t>года</w:t>
            </w:r>
            <w:r w:rsidRPr="00037029">
              <w:rPr>
                <w:rFonts w:eastAsiaTheme="minorHAnsi"/>
                <w:color w:val="auto"/>
              </w:rPr>
              <w:t xml:space="preserve"> № 148-ПП»</w:t>
            </w:r>
          </w:p>
          <w:p w14:paraId="156C1318" w14:textId="70F805B6" w:rsidR="00D97BE2" w:rsidRPr="00CF50B9" w:rsidRDefault="00D97BE2" w:rsidP="00CF50B9">
            <w:pPr>
              <w:rPr>
                <w:color w:val="FF0000"/>
              </w:rPr>
            </w:pPr>
          </w:p>
        </w:tc>
      </w:tr>
    </w:tbl>
    <w:p w14:paraId="268E1B4B" w14:textId="77777777" w:rsidR="00F811F4" w:rsidRPr="00E90E97" w:rsidRDefault="00F811F4" w:rsidP="0082617E">
      <w:pPr>
        <w:rPr>
          <w:b/>
        </w:rPr>
      </w:pPr>
      <w:r w:rsidRPr="00E90E97">
        <w:rPr>
          <w:b/>
        </w:rPr>
        <w:t>Распоряжения Правительства КБР:</w:t>
      </w:r>
    </w:p>
    <w:p w14:paraId="34B9C3EB" w14:textId="77777777" w:rsidR="00F811F4" w:rsidRPr="00034CD9" w:rsidRDefault="00F811F4" w:rsidP="0082617E">
      <w:pPr>
        <w:rPr>
          <w:color w:val="FF0000"/>
        </w:rPr>
      </w:pPr>
    </w:p>
    <w:p w14:paraId="559DE6A3" w14:textId="121AC076" w:rsidR="00E23011" w:rsidRPr="00522C27" w:rsidRDefault="00E23011" w:rsidP="00E23011">
      <w:pPr>
        <w:pStyle w:val="a"/>
        <w:numPr>
          <w:ilvl w:val="0"/>
          <w:numId w:val="1"/>
        </w:numPr>
        <w:jc w:val="both"/>
      </w:pPr>
      <w:r w:rsidRPr="00522C27">
        <w:t>Распоряжение Правительства КБР от 1</w:t>
      </w:r>
      <w:r w:rsidR="00CB5ED9" w:rsidRPr="00522C27">
        <w:t>2</w:t>
      </w:r>
      <w:r w:rsidRPr="00522C27">
        <w:t>.04.202</w:t>
      </w:r>
      <w:r w:rsidR="00CB5ED9" w:rsidRPr="00522C27">
        <w:t xml:space="preserve">4 </w:t>
      </w:r>
      <w:r w:rsidR="00C314E4">
        <w:t>года</w:t>
      </w:r>
      <w:r w:rsidR="00CB5ED9" w:rsidRPr="00522C27">
        <w:t xml:space="preserve"> № 212</w:t>
      </w:r>
      <w:r w:rsidRPr="00522C27">
        <w:t xml:space="preserve">-рп </w:t>
      </w:r>
      <w:r w:rsidR="00A32071" w:rsidRPr="00522C27">
        <w:t>«</w:t>
      </w:r>
      <w:r w:rsidRPr="00522C27">
        <w:t xml:space="preserve">Об исполнении республиканского бюджета </w:t>
      </w:r>
      <w:r w:rsidR="007F56E4" w:rsidRPr="00522C27">
        <w:t xml:space="preserve">Кабардино-Балкарской Республики </w:t>
      </w:r>
      <w:r w:rsidRPr="00522C27">
        <w:t>за 202</w:t>
      </w:r>
      <w:r w:rsidR="00CB5ED9" w:rsidRPr="00522C27">
        <w:t>3</w:t>
      </w:r>
      <w:r w:rsidRPr="00522C27">
        <w:t xml:space="preserve"> год</w:t>
      </w:r>
      <w:r w:rsidR="00A32071" w:rsidRPr="00522C27">
        <w:t>»</w:t>
      </w:r>
    </w:p>
    <w:p w14:paraId="25A5D402" w14:textId="77777777" w:rsidR="00292C48" w:rsidRPr="00034CD9" w:rsidRDefault="00292C48" w:rsidP="0082617E">
      <w:pPr>
        <w:pStyle w:val="a"/>
        <w:numPr>
          <w:ilvl w:val="0"/>
          <w:numId w:val="0"/>
        </w:numPr>
        <w:ind w:left="720"/>
        <w:jc w:val="both"/>
        <w:rPr>
          <w:color w:val="FF0000"/>
        </w:rPr>
      </w:pPr>
    </w:p>
    <w:p w14:paraId="4A04F9C8" w14:textId="2EEBF615" w:rsidR="00E90E97" w:rsidRDefault="00F811F4" w:rsidP="00E90E97">
      <w:pPr>
        <w:pStyle w:val="a"/>
        <w:numPr>
          <w:ilvl w:val="0"/>
          <w:numId w:val="1"/>
        </w:numPr>
        <w:jc w:val="both"/>
      </w:pPr>
      <w:r w:rsidRPr="00522C27">
        <w:t xml:space="preserve">Распоряжение Правительства КБР от </w:t>
      </w:r>
      <w:r w:rsidR="00522C27" w:rsidRPr="00522C27">
        <w:t>08</w:t>
      </w:r>
      <w:r w:rsidRPr="00522C27">
        <w:t>.0</w:t>
      </w:r>
      <w:r w:rsidR="004A6B74" w:rsidRPr="00522C27">
        <w:t>5</w:t>
      </w:r>
      <w:r w:rsidRPr="00522C27">
        <w:t>.202</w:t>
      </w:r>
      <w:r w:rsidR="00522C27" w:rsidRPr="00522C27">
        <w:t>4</w:t>
      </w:r>
      <w:r w:rsidRPr="00522C27">
        <w:t xml:space="preserve"> </w:t>
      </w:r>
      <w:r w:rsidR="00C314E4">
        <w:t>года</w:t>
      </w:r>
      <w:r w:rsidRPr="00522C27">
        <w:t xml:space="preserve"> №</w:t>
      </w:r>
      <w:r w:rsidR="00522C27" w:rsidRPr="00522C27">
        <w:t xml:space="preserve"> 265</w:t>
      </w:r>
      <w:r w:rsidRPr="00522C27">
        <w:t xml:space="preserve">-рп </w:t>
      </w:r>
      <w:r w:rsidR="00A32071" w:rsidRPr="00522C27">
        <w:t>«</w:t>
      </w:r>
      <w:r w:rsidRPr="00522C27">
        <w:t>Об утверждении отчета об исполнении республиканского бюджета Кабардино-Балкарской Республики за I квартал 202</w:t>
      </w:r>
      <w:r w:rsidR="00522C27" w:rsidRPr="00522C27">
        <w:t>4</w:t>
      </w:r>
      <w:r w:rsidRPr="00522C27">
        <w:t xml:space="preserve"> года</w:t>
      </w:r>
      <w:r w:rsidR="00A32071" w:rsidRPr="00522C27">
        <w:t>»</w:t>
      </w:r>
    </w:p>
    <w:p w14:paraId="31DC5DAE" w14:textId="77777777" w:rsidR="00E90E97" w:rsidRPr="00E90E97" w:rsidRDefault="00E90E97" w:rsidP="00E90E97">
      <w:pPr>
        <w:pStyle w:val="a"/>
        <w:numPr>
          <w:ilvl w:val="0"/>
          <w:numId w:val="0"/>
        </w:numPr>
        <w:ind w:left="720"/>
        <w:jc w:val="both"/>
      </w:pPr>
    </w:p>
    <w:p w14:paraId="476E84A1" w14:textId="620A2009" w:rsidR="00A66E3D" w:rsidRPr="00522C27" w:rsidRDefault="00912D8C" w:rsidP="00A66E3D">
      <w:pPr>
        <w:pStyle w:val="a"/>
        <w:numPr>
          <w:ilvl w:val="0"/>
          <w:numId w:val="1"/>
        </w:numPr>
        <w:jc w:val="both"/>
      </w:pPr>
      <w:r w:rsidRPr="00522C27">
        <w:t>Распоряжение Правител</w:t>
      </w:r>
      <w:r w:rsidR="00522C27" w:rsidRPr="00522C27">
        <w:t>ьства КБР от 14</w:t>
      </w:r>
      <w:r w:rsidR="002A20EC" w:rsidRPr="00522C27">
        <w:t>.08.202</w:t>
      </w:r>
      <w:r w:rsidR="00522C27" w:rsidRPr="00522C27">
        <w:t>4</w:t>
      </w:r>
      <w:r w:rsidR="009B3196" w:rsidRPr="00522C27">
        <w:t xml:space="preserve"> </w:t>
      </w:r>
      <w:r w:rsidR="00C314E4">
        <w:t>года</w:t>
      </w:r>
      <w:r w:rsidR="002A20EC" w:rsidRPr="00522C27">
        <w:t xml:space="preserve"> № </w:t>
      </w:r>
      <w:r w:rsidR="00522C27" w:rsidRPr="00522C27">
        <w:t>505</w:t>
      </w:r>
      <w:r w:rsidRPr="00522C27">
        <w:t>–рп</w:t>
      </w:r>
      <w:r w:rsidR="00522C27" w:rsidRPr="00522C27">
        <w:t xml:space="preserve"> </w:t>
      </w:r>
      <w:r w:rsidR="00A32071" w:rsidRPr="00522C27">
        <w:t>«</w:t>
      </w:r>
      <w:r w:rsidRPr="00522C27">
        <w:t>Об исполнении республиканского бюджета за первое полугодие 20</w:t>
      </w:r>
      <w:r w:rsidR="00522C27" w:rsidRPr="00522C27">
        <w:t xml:space="preserve">24 </w:t>
      </w:r>
      <w:r w:rsidRPr="00522C27">
        <w:t>года</w:t>
      </w:r>
      <w:r w:rsidR="00A32071" w:rsidRPr="00522C27">
        <w:t>»</w:t>
      </w:r>
    </w:p>
    <w:p w14:paraId="75E3010E" w14:textId="77777777" w:rsidR="00A66E3D" w:rsidRPr="00034CD9" w:rsidRDefault="00A66E3D" w:rsidP="00A66E3D">
      <w:pPr>
        <w:pStyle w:val="a"/>
        <w:numPr>
          <w:ilvl w:val="0"/>
          <w:numId w:val="0"/>
        </w:numPr>
        <w:ind w:left="720"/>
        <w:jc w:val="both"/>
        <w:rPr>
          <w:color w:val="FF0000"/>
        </w:rPr>
      </w:pPr>
    </w:p>
    <w:p w14:paraId="78688512" w14:textId="624F9D73" w:rsidR="006B50B1" w:rsidRPr="00873B0E" w:rsidRDefault="006B50B1" w:rsidP="006B50B1">
      <w:pPr>
        <w:pStyle w:val="a"/>
        <w:numPr>
          <w:ilvl w:val="0"/>
          <w:numId w:val="1"/>
        </w:numPr>
        <w:jc w:val="both"/>
      </w:pPr>
      <w:r w:rsidRPr="00873B0E">
        <w:t>Распоряжение Правит</w:t>
      </w:r>
      <w:r w:rsidR="00873B0E" w:rsidRPr="00873B0E">
        <w:t xml:space="preserve">ельства КБР от 28.10.2024 </w:t>
      </w:r>
      <w:r w:rsidR="00C314E4">
        <w:t>года</w:t>
      </w:r>
      <w:r w:rsidR="00873B0E" w:rsidRPr="00873B0E">
        <w:t xml:space="preserve"> № 66</w:t>
      </w:r>
      <w:r w:rsidR="00475FC0">
        <w:t>1</w:t>
      </w:r>
      <w:r w:rsidRPr="00873B0E">
        <w:t>-рп «О проекте закона КБР «О республиканском бюджете КБР на 202</w:t>
      </w:r>
      <w:r w:rsidR="00873B0E" w:rsidRPr="00873B0E">
        <w:t>5</w:t>
      </w:r>
      <w:r w:rsidRPr="00873B0E">
        <w:t xml:space="preserve"> год и на плановый период 202</w:t>
      </w:r>
      <w:r w:rsidR="00873B0E" w:rsidRPr="00873B0E">
        <w:t>6</w:t>
      </w:r>
      <w:r w:rsidRPr="00873B0E">
        <w:t xml:space="preserve"> и 202</w:t>
      </w:r>
      <w:r w:rsidR="00873B0E" w:rsidRPr="00873B0E">
        <w:t>7</w:t>
      </w:r>
      <w:r w:rsidRPr="00873B0E">
        <w:t xml:space="preserve"> годов»</w:t>
      </w:r>
    </w:p>
    <w:p w14:paraId="5CC5F0B5" w14:textId="77777777" w:rsidR="006B50B1" w:rsidRPr="00034CD9" w:rsidRDefault="006B50B1" w:rsidP="006B50B1">
      <w:pPr>
        <w:pStyle w:val="a"/>
        <w:numPr>
          <w:ilvl w:val="0"/>
          <w:numId w:val="0"/>
        </w:numPr>
        <w:ind w:left="1211"/>
        <w:rPr>
          <w:color w:val="FF0000"/>
        </w:rPr>
      </w:pPr>
    </w:p>
    <w:p w14:paraId="30B0429F" w14:textId="083C3252" w:rsidR="006B50B1" w:rsidRPr="00475FC0" w:rsidRDefault="006B50B1" w:rsidP="006B50B1">
      <w:pPr>
        <w:pStyle w:val="a"/>
        <w:numPr>
          <w:ilvl w:val="0"/>
          <w:numId w:val="1"/>
        </w:numPr>
        <w:jc w:val="both"/>
      </w:pPr>
      <w:r w:rsidRPr="00475FC0">
        <w:t>Распоряжение Правительства КБР от 2</w:t>
      </w:r>
      <w:r w:rsidR="00475FC0" w:rsidRPr="00475FC0">
        <w:t>8</w:t>
      </w:r>
      <w:r w:rsidRPr="00475FC0">
        <w:t>.10.202</w:t>
      </w:r>
      <w:r w:rsidR="00475FC0" w:rsidRPr="00475FC0">
        <w:t>4</w:t>
      </w:r>
      <w:r w:rsidRPr="00475FC0">
        <w:t xml:space="preserve"> </w:t>
      </w:r>
      <w:r w:rsidR="00C314E4">
        <w:t>года</w:t>
      </w:r>
      <w:r w:rsidRPr="00475FC0">
        <w:t xml:space="preserve"> № </w:t>
      </w:r>
      <w:r w:rsidR="00475FC0" w:rsidRPr="00475FC0">
        <w:t>662</w:t>
      </w:r>
      <w:r w:rsidRPr="00475FC0">
        <w:t>-рп «О проекте закона Кабардино-Балкарской Республики «О приостановлении действия отдельных положений законодательных актов Кабардино-Балкарской Республики</w:t>
      </w:r>
      <w:r w:rsidR="00475FC0" w:rsidRPr="00475FC0">
        <w:t>, внесении изменений в отдельные законодательные акты Кабардино-Балкарской Республики и об установлении особенностей исполнения</w:t>
      </w:r>
      <w:r w:rsidRPr="00475FC0">
        <w:t xml:space="preserve"> </w:t>
      </w:r>
      <w:r w:rsidR="00475FC0" w:rsidRPr="00475FC0">
        <w:t>республиканского</w:t>
      </w:r>
      <w:r w:rsidRPr="00475FC0">
        <w:t xml:space="preserve"> бюджет</w:t>
      </w:r>
      <w:r w:rsidR="00475FC0" w:rsidRPr="00475FC0">
        <w:t>а</w:t>
      </w:r>
      <w:r w:rsidRPr="00475FC0">
        <w:t xml:space="preserve"> К</w:t>
      </w:r>
      <w:r w:rsidR="00475FC0" w:rsidRPr="00475FC0">
        <w:t>абардино-Балкарской Республики в</w:t>
      </w:r>
      <w:r w:rsidRPr="00475FC0">
        <w:t xml:space="preserve"> 202</w:t>
      </w:r>
      <w:r w:rsidR="00475FC0" w:rsidRPr="00475FC0">
        <w:t>5</w:t>
      </w:r>
      <w:r w:rsidRPr="00475FC0">
        <w:t xml:space="preserve"> год</w:t>
      </w:r>
      <w:r w:rsidR="00475FC0" w:rsidRPr="00475FC0">
        <w:t>у</w:t>
      </w:r>
    </w:p>
    <w:p w14:paraId="74F892B1" w14:textId="77777777" w:rsidR="00C433A5" w:rsidRPr="00034CD9" w:rsidRDefault="00C433A5" w:rsidP="00C433A5">
      <w:pPr>
        <w:pStyle w:val="a"/>
        <w:numPr>
          <w:ilvl w:val="0"/>
          <w:numId w:val="0"/>
        </w:numPr>
        <w:ind w:left="1211"/>
        <w:rPr>
          <w:color w:val="FF0000"/>
        </w:rPr>
      </w:pPr>
    </w:p>
    <w:p w14:paraId="5494040B" w14:textId="6144B216" w:rsidR="00E90E97" w:rsidRPr="00133E0F" w:rsidRDefault="00E90E97" w:rsidP="00E90E97">
      <w:pPr>
        <w:widowControl/>
        <w:numPr>
          <w:ilvl w:val="0"/>
          <w:numId w:val="1"/>
        </w:numPr>
        <w:spacing w:before="120" w:after="120"/>
        <w:contextualSpacing/>
        <w:rPr>
          <w:color w:val="auto"/>
        </w:rPr>
      </w:pPr>
      <w:r w:rsidRPr="00133E0F">
        <w:rPr>
          <w:color w:val="auto"/>
        </w:rPr>
        <w:t xml:space="preserve">Распоряжение Правительства КБР </w:t>
      </w:r>
      <w:r w:rsidRPr="00133E0F">
        <w:rPr>
          <w:rFonts w:eastAsia="Trebuchet MS"/>
          <w:color w:val="000000"/>
        </w:rPr>
        <w:t xml:space="preserve">от 28 октября 2024 </w:t>
      </w:r>
      <w:r w:rsidR="00C314E4">
        <w:rPr>
          <w:rFonts w:eastAsia="Trebuchet MS"/>
          <w:color w:val="000000"/>
        </w:rPr>
        <w:t>года</w:t>
      </w:r>
      <w:r w:rsidRPr="00133E0F">
        <w:rPr>
          <w:rFonts w:eastAsia="Trebuchet MS"/>
          <w:color w:val="000000"/>
        </w:rPr>
        <w:t xml:space="preserve"> № 663-рп</w:t>
      </w:r>
      <w:r w:rsidRPr="00133E0F">
        <w:rPr>
          <w:color w:val="auto"/>
        </w:rPr>
        <w:t xml:space="preserve"> «Об утверждении основных направлений государственной долговой политики </w:t>
      </w:r>
      <w:r w:rsidRPr="00133E0F">
        <w:rPr>
          <w:color w:val="auto"/>
        </w:rPr>
        <w:br/>
        <w:t xml:space="preserve">Кабардино-Балкарской Республики на 2025 год и на плановый период </w:t>
      </w:r>
      <w:r w:rsidRPr="00133E0F">
        <w:rPr>
          <w:color w:val="auto"/>
        </w:rPr>
        <w:br/>
        <w:t>2026 и 2027 годов»</w:t>
      </w:r>
    </w:p>
    <w:p w14:paraId="1FF56F5F" w14:textId="77777777" w:rsidR="006B50B1" w:rsidRPr="00034CD9" w:rsidRDefault="006B50B1" w:rsidP="006B50B1">
      <w:pPr>
        <w:pStyle w:val="a"/>
        <w:numPr>
          <w:ilvl w:val="0"/>
          <w:numId w:val="0"/>
        </w:numPr>
        <w:ind w:left="1211"/>
        <w:rPr>
          <w:color w:val="FF0000"/>
        </w:rPr>
      </w:pPr>
    </w:p>
    <w:p w14:paraId="517005C5" w14:textId="3BBC3AB6" w:rsidR="008368DE" w:rsidRDefault="008368DE" w:rsidP="00774860">
      <w:pPr>
        <w:pStyle w:val="a"/>
        <w:numPr>
          <w:ilvl w:val="0"/>
          <w:numId w:val="11"/>
        </w:numPr>
        <w:jc w:val="both"/>
      </w:pPr>
      <w:r w:rsidRPr="00214752">
        <w:t>Распоряжение Правит</w:t>
      </w:r>
      <w:r w:rsidR="009B3196" w:rsidRPr="00214752">
        <w:t>ельства КБР от 1</w:t>
      </w:r>
      <w:r w:rsidR="00214752" w:rsidRPr="00214752">
        <w:t xml:space="preserve">1.11.2024 </w:t>
      </w:r>
      <w:r w:rsidR="00C314E4">
        <w:t>года</w:t>
      </w:r>
      <w:r w:rsidR="00214752" w:rsidRPr="00214752">
        <w:t xml:space="preserve"> № 691</w:t>
      </w:r>
      <w:r w:rsidRPr="00214752">
        <w:t>–рп</w:t>
      </w:r>
      <w:r w:rsidR="00214752" w:rsidRPr="00214752">
        <w:t xml:space="preserve"> </w:t>
      </w:r>
      <w:r w:rsidR="00A32071" w:rsidRPr="00214752">
        <w:t>«</w:t>
      </w:r>
      <w:r w:rsidRPr="00214752">
        <w:t>Об исполнении республика</w:t>
      </w:r>
      <w:r w:rsidR="009B3196" w:rsidRPr="00214752">
        <w:t>нского бюджета за 9 месяцев 202</w:t>
      </w:r>
      <w:r w:rsidR="00214752" w:rsidRPr="00214752">
        <w:t>4</w:t>
      </w:r>
      <w:r w:rsidRPr="00214752">
        <w:t xml:space="preserve"> года</w:t>
      </w:r>
      <w:r w:rsidR="00A32071" w:rsidRPr="00214752">
        <w:t>»</w:t>
      </w:r>
    </w:p>
    <w:p w14:paraId="47137897" w14:textId="77777777" w:rsidR="00606498" w:rsidRDefault="00606498" w:rsidP="00606498">
      <w:pPr>
        <w:pStyle w:val="a"/>
        <w:numPr>
          <w:ilvl w:val="0"/>
          <w:numId w:val="0"/>
        </w:numPr>
        <w:ind w:left="720"/>
        <w:jc w:val="both"/>
      </w:pPr>
    </w:p>
    <w:p w14:paraId="2A0D0738" w14:textId="127E6438" w:rsidR="00873B0E" w:rsidRPr="00873B0E" w:rsidRDefault="00873B0E" w:rsidP="00873B0E">
      <w:pPr>
        <w:pStyle w:val="a"/>
        <w:numPr>
          <w:ilvl w:val="0"/>
          <w:numId w:val="1"/>
        </w:numPr>
      </w:pPr>
      <w:r w:rsidRPr="00873B0E">
        <w:t xml:space="preserve">Распоряжение Правительства КБР от 11.11.2024 </w:t>
      </w:r>
      <w:r w:rsidR="00C314E4">
        <w:t>года</w:t>
      </w:r>
      <w:r w:rsidRPr="00873B0E">
        <w:t xml:space="preserve"> № 700-рп «О проекте закона Кабардино-Балкарской Республики «О внесении изменений в Закон Кабардино-Балкарской Республики «О республиканском бюджете Кабардино-Балкарской Республики на 202</w:t>
      </w:r>
      <w:r>
        <w:t>4</w:t>
      </w:r>
      <w:r w:rsidRPr="00873B0E">
        <w:t xml:space="preserve"> год и на плановый период 202</w:t>
      </w:r>
      <w:r>
        <w:t>5</w:t>
      </w:r>
      <w:r w:rsidRPr="00873B0E">
        <w:t xml:space="preserve"> и 202</w:t>
      </w:r>
      <w:r>
        <w:t>6</w:t>
      </w:r>
      <w:r w:rsidRPr="00873B0E">
        <w:t xml:space="preserve"> годов»  </w:t>
      </w:r>
    </w:p>
    <w:p w14:paraId="6C9CADBD" w14:textId="77777777" w:rsidR="007F56E4" w:rsidRPr="00E634E0" w:rsidRDefault="00F811F4" w:rsidP="007F56E4">
      <w:r w:rsidRPr="00E634E0">
        <w:t>В ходе данной работы Министе</w:t>
      </w:r>
      <w:r w:rsidR="007F56E4" w:rsidRPr="00E634E0">
        <w:t>рство активно взаимодействовало с государственно-правовым управлением Администрации Главы КБР, Парламентом КБР, управлением Министерства юстиции России по КБР.</w:t>
      </w:r>
    </w:p>
    <w:p w14:paraId="51C22F4F" w14:textId="77777777" w:rsidR="009B0E97" w:rsidRPr="00D05E60" w:rsidRDefault="009B0E97" w:rsidP="0082617E">
      <w:pPr>
        <w:rPr>
          <w:color w:val="FF0000"/>
        </w:rPr>
      </w:pPr>
    </w:p>
    <w:p w14:paraId="219DC916" w14:textId="2B0FAEE2" w:rsidR="00F811F4" w:rsidRPr="000E38E3" w:rsidRDefault="00F811F4" w:rsidP="00370B39">
      <w:pPr>
        <w:pStyle w:val="24"/>
        <w:spacing w:before="0" w:after="0"/>
        <w:ind w:left="431" w:hanging="431"/>
        <w:rPr>
          <w:color w:val="568D11" w:themeColor="accent3" w:themeShade="80"/>
        </w:rPr>
      </w:pPr>
      <w:bookmarkStart w:id="112" w:name="_Toc131085641"/>
      <w:bookmarkStart w:id="113" w:name="_Toc162008798"/>
      <w:r w:rsidRPr="00370B39">
        <w:rPr>
          <w:color w:val="568D11" w:themeColor="accent3" w:themeShade="80"/>
        </w:rPr>
        <w:t>Деятельность Министерства финансов КБР</w:t>
      </w:r>
      <w:bookmarkStart w:id="114" w:name="_Toc482701252"/>
      <w:bookmarkEnd w:id="107"/>
      <w:r w:rsidR="00310142">
        <w:rPr>
          <w:color w:val="568D11" w:themeColor="accent3" w:themeShade="80"/>
        </w:rPr>
        <w:t xml:space="preserve"> </w:t>
      </w:r>
      <w:r w:rsidRPr="00370B39">
        <w:rPr>
          <w:color w:val="568D11" w:themeColor="accent3" w:themeShade="80"/>
        </w:rPr>
        <w:t>по автоматизации бюджетного процесса</w:t>
      </w:r>
      <w:bookmarkEnd w:id="112"/>
      <w:bookmarkEnd w:id="114"/>
      <w:bookmarkEnd w:id="113"/>
      <w:r w:rsidR="00310142">
        <w:rPr>
          <w:color w:val="568D11" w:themeColor="accent3" w:themeShade="80"/>
        </w:rPr>
        <w:t xml:space="preserve"> </w:t>
      </w:r>
    </w:p>
    <w:p w14:paraId="3D380D3C" w14:textId="77777777" w:rsidR="000C770D" w:rsidRPr="00D05E60" w:rsidRDefault="000C770D" w:rsidP="0082617E">
      <w:pPr>
        <w:pStyle w:val="24"/>
        <w:numPr>
          <w:ilvl w:val="0"/>
          <w:numId w:val="0"/>
        </w:numPr>
        <w:spacing w:before="0" w:after="0"/>
        <w:ind w:left="431"/>
        <w:jc w:val="both"/>
        <w:rPr>
          <w:color w:val="FF0000"/>
          <w:sz w:val="20"/>
          <w:szCs w:val="20"/>
        </w:rPr>
      </w:pPr>
    </w:p>
    <w:p w14:paraId="2A609223" w14:textId="77777777" w:rsidR="000E43AF" w:rsidRPr="00C766B7" w:rsidRDefault="000E43AF" w:rsidP="000E43AF">
      <w:pPr>
        <w:spacing w:line="276" w:lineRule="auto"/>
      </w:pPr>
      <w:r w:rsidRPr="00C766B7">
        <w:t xml:space="preserve">В Кабардино-Балкарской Республике функционирует информационная система управления общественными финансами (далее – ИС УОФ КБР). Оператором </w:t>
      </w:r>
      <w:r w:rsidRPr="00C766B7">
        <w:br/>
        <w:t xml:space="preserve">ИС УОФ КБР является Министерство финансов Кабардино-Балкарской Республики. </w:t>
      </w:r>
    </w:p>
    <w:p w14:paraId="55D30C4D" w14:textId="77777777" w:rsidR="000E43AF" w:rsidRPr="00C766B7" w:rsidRDefault="000E43AF" w:rsidP="000E43AF">
      <w:pPr>
        <w:spacing w:line="276" w:lineRule="auto"/>
      </w:pPr>
      <w:r w:rsidRPr="00C766B7">
        <w:t xml:space="preserve">Система представляет собой централизованное решение, позволившее создать единую информационную систему исполнения бюджетов всех уровней на территории КБР. Особенностью системы является создание единой базы данных, хранящей и обрабатывающей все операции по исполнению республиканского бюджета и 132 бюджетов муниципальных образований. </w:t>
      </w:r>
    </w:p>
    <w:p w14:paraId="1C8BB9AC" w14:textId="77777777" w:rsidR="000E43AF" w:rsidRPr="00C766B7" w:rsidRDefault="000E43AF" w:rsidP="000E43AF">
      <w:pPr>
        <w:spacing w:line="276" w:lineRule="auto"/>
      </w:pPr>
      <w:r w:rsidRPr="00C766B7">
        <w:t>ИС УОФ КБР включает в себя информационные подсистемы (сегменты):</w:t>
      </w:r>
    </w:p>
    <w:p w14:paraId="375EAAD7" w14:textId="77777777" w:rsidR="000E43AF" w:rsidRPr="00C766B7" w:rsidRDefault="000E43AF" w:rsidP="000E43AF">
      <w:pPr>
        <w:spacing w:line="276" w:lineRule="auto"/>
      </w:pPr>
      <w:r w:rsidRPr="00C766B7">
        <w:t>•</w:t>
      </w:r>
      <w:r w:rsidRPr="00C766B7">
        <w:tab/>
        <w:t>управление бюджетным процессом (система управления бюджетным процессом);</w:t>
      </w:r>
    </w:p>
    <w:p w14:paraId="45CCCC27" w14:textId="77777777" w:rsidR="000E43AF" w:rsidRPr="00C766B7" w:rsidRDefault="000E43AF" w:rsidP="000E43AF">
      <w:pPr>
        <w:spacing w:line="276" w:lineRule="auto"/>
      </w:pPr>
      <w:r w:rsidRPr="00C766B7">
        <w:t>•</w:t>
      </w:r>
      <w:r w:rsidRPr="00C766B7">
        <w:tab/>
        <w:t>составление отчетности.</w:t>
      </w:r>
    </w:p>
    <w:p w14:paraId="5CC0CA09" w14:textId="467A25C3" w:rsidR="000E43AF" w:rsidRPr="00C766B7" w:rsidRDefault="000E43AF" w:rsidP="000E43AF">
      <w:pPr>
        <w:spacing w:line="276" w:lineRule="auto"/>
      </w:pPr>
      <w:r w:rsidRPr="00C766B7">
        <w:t xml:space="preserve">Пользователями ИС УОФ КБР являются </w:t>
      </w:r>
      <w:r w:rsidRPr="000E38E3">
        <w:t>99</w:t>
      </w:r>
      <w:r w:rsidR="000E38E3">
        <w:t>6</w:t>
      </w:r>
      <w:r w:rsidRPr="00C766B7">
        <w:t xml:space="preserve"> участников бюджетного процесса республиканского бюджета и муниципальных образований КБР, включая финансовые органы, распорядителей и получателей бюджетных средств. Указанная система является самой крупной информационной системой на территории </w:t>
      </w:r>
      <w:r w:rsidR="00133E0F">
        <w:br/>
      </w:r>
      <w:r w:rsidRPr="00C766B7">
        <w:t xml:space="preserve">Кабардино-Балкарской Республики. </w:t>
      </w:r>
    </w:p>
    <w:p w14:paraId="6B139B40" w14:textId="77777777" w:rsidR="000E43AF" w:rsidRPr="00C766B7" w:rsidRDefault="000E43AF" w:rsidP="000E43AF">
      <w:pPr>
        <w:spacing w:line="276" w:lineRule="auto"/>
      </w:pPr>
      <w:r w:rsidRPr="00C766B7">
        <w:t xml:space="preserve">На сегодняшний день все этапы исполнения бюджета от планирования до сдачи отчетности осуществляются в указанном комплексе, в котором работает более 5 тысяч пользователей. </w:t>
      </w:r>
    </w:p>
    <w:p w14:paraId="6A37DA3D" w14:textId="4F2C121F" w:rsidR="000E43AF" w:rsidRPr="00C766B7" w:rsidRDefault="000E43AF" w:rsidP="000E43AF">
      <w:pPr>
        <w:spacing w:line="276" w:lineRule="auto"/>
      </w:pPr>
      <w:r w:rsidRPr="00C766B7">
        <w:t>Реализованы настройки, позволяющие осуществлять контроль, предусмотренный частью 5 статьи 99 Федерального закона «О контрактной системе в сфере закупок товаров, работ, услуг для обеспечения государственных нужд», и реализовать положения Постановления Правительства РФ от 06.08.2020</w:t>
      </w:r>
      <w:r w:rsidR="00133E0F">
        <w:t xml:space="preserve"> </w:t>
      </w:r>
      <w:r w:rsidR="00C314E4">
        <w:t>года</w:t>
      </w:r>
      <w:r w:rsidRPr="00C766B7">
        <w:t xml:space="preserve"> № 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и об изменении и признании утратившими силу некоторых актов Правительства Российской Федерации». Таким образом, стало возможным осуществление финансовыми органами КБР контроля в отношении соответствия информации, содержащейся в документах, указанных в части 5 статьи 99 Федерального закона, информации об объеме финансового обеспечения закупки, утвержденном и доведенном до заказчика в установленном порядке.</w:t>
      </w:r>
    </w:p>
    <w:p w14:paraId="7BBC36E4" w14:textId="3C3D0BF3" w:rsidR="000E43AF" w:rsidRPr="00C766B7" w:rsidRDefault="000E43AF" w:rsidP="000E43AF">
      <w:pPr>
        <w:spacing w:line="276" w:lineRule="auto"/>
      </w:pPr>
      <w:r w:rsidRPr="00C766B7">
        <w:t>В рамках указанного механизма Министерством финансов КБР и финансовыми органами муниципальных районов в ИС УОФ КБР обработано в 202</w:t>
      </w:r>
      <w:r w:rsidR="00C766B7" w:rsidRPr="00C766B7">
        <w:t>4</w:t>
      </w:r>
      <w:r w:rsidRPr="00C766B7">
        <w:t xml:space="preserve"> году </w:t>
      </w:r>
      <w:r w:rsidR="00C766B7" w:rsidRPr="00C766B7">
        <w:t>20</w:t>
      </w:r>
      <w:r w:rsidRPr="00C766B7">
        <w:t xml:space="preserve"> </w:t>
      </w:r>
      <w:r w:rsidR="00C766B7" w:rsidRPr="00C766B7">
        <w:t>06</w:t>
      </w:r>
      <w:r w:rsidRPr="00C766B7">
        <w:t>1 электронны</w:t>
      </w:r>
      <w:r w:rsidR="00133E0F">
        <w:t>й</w:t>
      </w:r>
      <w:r w:rsidRPr="00C766B7">
        <w:t xml:space="preserve"> документ «Планирование закупок», что на 3,</w:t>
      </w:r>
      <w:r w:rsidR="00C766B7" w:rsidRPr="00C766B7">
        <w:t>5</w:t>
      </w:r>
      <w:r w:rsidRPr="00C766B7">
        <w:t xml:space="preserve"> % больше, чем за 202</w:t>
      </w:r>
      <w:r w:rsidR="00C766B7" w:rsidRPr="00C766B7">
        <w:t>3</w:t>
      </w:r>
      <w:r w:rsidRPr="00C766B7">
        <w:t xml:space="preserve"> год. Для обработки электронных документов «Планирование закупок» формируются электронные документы «Протоколов несоответствия» и «Уведомление о контролируемой информации».</w:t>
      </w:r>
    </w:p>
    <w:p w14:paraId="7E92B5C5" w14:textId="77777777" w:rsidR="000E43AF" w:rsidRPr="00C766B7" w:rsidRDefault="000E43AF" w:rsidP="000E43AF">
      <w:pPr>
        <w:spacing w:line="276" w:lineRule="auto"/>
      </w:pPr>
      <w:r w:rsidRPr="00C766B7">
        <w:t>Таким образом, в среднем на одного сотрудника отраслевого отдела приходится более 1 000 электронных документов, а на одного сотрудника отдела методологии бюджетного процесса при импорте электронных документов «Планирование закупок» из системы единой информационной системы в сфере закупок в ИС УОФ КБР приходится более 6 400 электронных документов.</w:t>
      </w:r>
    </w:p>
    <w:p w14:paraId="5D544AF7" w14:textId="77777777" w:rsidR="000E43AF" w:rsidRPr="007A1F8E" w:rsidRDefault="000E43AF" w:rsidP="000E43AF">
      <w:pPr>
        <w:spacing w:line="276" w:lineRule="auto"/>
        <w:rPr>
          <w:b/>
          <w:color w:val="auto"/>
        </w:rPr>
      </w:pPr>
      <w:r w:rsidRPr="007A1F8E">
        <w:rPr>
          <w:b/>
          <w:color w:val="auto"/>
        </w:rPr>
        <w:t>Сегмент управления обращениями.</w:t>
      </w:r>
    </w:p>
    <w:p w14:paraId="05CCBE13" w14:textId="340947F8" w:rsidR="000E43AF" w:rsidRPr="007A1F8E" w:rsidRDefault="000E43AF" w:rsidP="000E43AF">
      <w:pPr>
        <w:spacing w:line="276" w:lineRule="auto"/>
        <w:rPr>
          <w:color w:val="auto"/>
        </w:rPr>
      </w:pPr>
      <w:r w:rsidRPr="007A1F8E">
        <w:rPr>
          <w:color w:val="auto"/>
        </w:rPr>
        <w:t xml:space="preserve">В целях оперативного решения вопросов и устранения </w:t>
      </w:r>
      <w:r w:rsidR="00A14B86" w:rsidRPr="007A1F8E">
        <w:rPr>
          <w:color w:val="auto"/>
        </w:rPr>
        <w:t>проблем, возникающих при работе</w:t>
      </w:r>
      <w:r w:rsidRPr="007A1F8E">
        <w:rPr>
          <w:color w:val="auto"/>
        </w:rPr>
        <w:t xml:space="preserve"> в ИС УОФ КБР </w:t>
      </w:r>
      <w:r w:rsidR="007A1F8E" w:rsidRPr="007A1F8E">
        <w:rPr>
          <w:color w:val="auto"/>
        </w:rPr>
        <w:t xml:space="preserve">используется подсистема </w:t>
      </w:r>
      <w:r w:rsidRPr="007A1F8E">
        <w:rPr>
          <w:color w:val="auto"/>
        </w:rPr>
        <w:t>«Сегмент управления обращения</w:t>
      </w:r>
      <w:r w:rsidR="00A14B86" w:rsidRPr="007A1F8E">
        <w:rPr>
          <w:color w:val="auto"/>
        </w:rPr>
        <w:t>ми</w:t>
      </w:r>
      <w:r w:rsidRPr="007A1F8E">
        <w:rPr>
          <w:color w:val="auto"/>
        </w:rPr>
        <w:t>», в работе которо</w:t>
      </w:r>
      <w:r w:rsidR="00133E0F">
        <w:rPr>
          <w:color w:val="auto"/>
        </w:rPr>
        <w:t>го</w:t>
      </w:r>
      <w:r w:rsidRPr="007A1F8E">
        <w:rPr>
          <w:color w:val="auto"/>
        </w:rPr>
        <w:t xml:space="preserve"> используется двухуровневая система поддержки пользователей. В рамках указанного сегмента регистрируются поступающие от уполномоченных лиц обращения, рассматриваются запросы и предоставляются консультации. </w:t>
      </w:r>
    </w:p>
    <w:p w14:paraId="1AA4984D" w14:textId="7B2652A7" w:rsidR="000E43AF" w:rsidRPr="00034CD9" w:rsidRDefault="000E43AF" w:rsidP="000E43AF">
      <w:pPr>
        <w:spacing w:line="276" w:lineRule="auto"/>
        <w:rPr>
          <w:color w:val="FF0000"/>
        </w:rPr>
      </w:pPr>
      <w:r w:rsidRPr="007A1F8E">
        <w:rPr>
          <w:color w:val="auto"/>
        </w:rPr>
        <w:t>В 202</w:t>
      </w:r>
      <w:r w:rsidR="007A1F8E" w:rsidRPr="007A1F8E">
        <w:rPr>
          <w:color w:val="auto"/>
        </w:rPr>
        <w:t>4</w:t>
      </w:r>
      <w:r w:rsidRPr="007A1F8E">
        <w:rPr>
          <w:color w:val="auto"/>
        </w:rPr>
        <w:t xml:space="preserve"> году в сегмент управления обращения</w:t>
      </w:r>
      <w:r w:rsidR="00A14B86" w:rsidRPr="007A1F8E">
        <w:rPr>
          <w:color w:val="auto"/>
        </w:rPr>
        <w:t>ми</w:t>
      </w:r>
      <w:r w:rsidRPr="007A1F8E">
        <w:rPr>
          <w:color w:val="auto"/>
        </w:rPr>
        <w:t xml:space="preserve"> поступило </w:t>
      </w:r>
      <w:r w:rsidR="00C766B7">
        <w:rPr>
          <w:color w:val="auto"/>
        </w:rPr>
        <w:t xml:space="preserve">4 924 </w:t>
      </w:r>
      <w:r w:rsidRPr="007A1F8E">
        <w:rPr>
          <w:color w:val="auto"/>
        </w:rPr>
        <w:t>обращени</w:t>
      </w:r>
      <w:r w:rsidR="00133E0F">
        <w:rPr>
          <w:color w:val="auto"/>
        </w:rPr>
        <w:t>я</w:t>
      </w:r>
      <w:r w:rsidRPr="00E20D04">
        <w:rPr>
          <w:color w:val="auto"/>
        </w:rPr>
        <w:t xml:space="preserve">, что на </w:t>
      </w:r>
      <w:r w:rsidR="00C766B7">
        <w:rPr>
          <w:color w:val="auto"/>
        </w:rPr>
        <w:t xml:space="preserve">9,8 </w:t>
      </w:r>
      <w:r w:rsidRPr="00E20D04">
        <w:rPr>
          <w:color w:val="auto"/>
        </w:rPr>
        <w:t xml:space="preserve">% </w:t>
      </w:r>
      <w:r w:rsidR="00C766B7">
        <w:rPr>
          <w:color w:val="auto"/>
        </w:rPr>
        <w:t>больше</w:t>
      </w:r>
      <w:r w:rsidRPr="00E20D04">
        <w:rPr>
          <w:color w:val="auto"/>
        </w:rPr>
        <w:t>, чем за 202</w:t>
      </w:r>
      <w:r w:rsidR="007A1F8E" w:rsidRPr="00E20D04">
        <w:rPr>
          <w:color w:val="auto"/>
        </w:rPr>
        <w:t>3</w:t>
      </w:r>
      <w:r w:rsidRPr="00E20D04">
        <w:rPr>
          <w:color w:val="auto"/>
        </w:rPr>
        <w:t xml:space="preserve"> год. </w:t>
      </w:r>
    </w:p>
    <w:p w14:paraId="37737AB2" w14:textId="77777777" w:rsidR="000E43AF" w:rsidRPr="006D3D5A" w:rsidRDefault="000E43AF" w:rsidP="000E43AF">
      <w:pPr>
        <w:spacing w:line="276" w:lineRule="auto"/>
        <w:rPr>
          <w:color w:val="auto"/>
        </w:rPr>
      </w:pPr>
      <w:r w:rsidRPr="006D3D5A">
        <w:rPr>
          <w:color w:val="auto"/>
        </w:rPr>
        <w:t xml:space="preserve">Таким образом, по каждому обращению предоставлена соответствующая консультация, по наиболее распространенным вопросам разработаны и доработаны инструкции по работе в ИС УОФ КБР, и размещены на официальном сайте Министерства финансов КБР в сети Интернет. </w:t>
      </w:r>
    </w:p>
    <w:p w14:paraId="6436C565" w14:textId="708D50C7" w:rsidR="000E43AF" w:rsidRPr="00C766B7" w:rsidRDefault="000E43AF" w:rsidP="000E43AF">
      <w:pPr>
        <w:spacing w:line="276" w:lineRule="auto"/>
      </w:pPr>
      <w:r w:rsidRPr="00C766B7">
        <w:t>Сотрудниками отдела методологии бюджетного процесса рассмотрено 2 </w:t>
      </w:r>
      <w:r w:rsidR="00C766B7" w:rsidRPr="00C766B7">
        <w:t>728</w:t>
      </w:r>
      <w:r w:rsidRPr="00C766B7">
        <w:t xml:space="preserve"> обращений. </w:t>
      </w:r>
    </w:p>
    <w:p w14:paraId="243F9F84" w14:textId="1721BA9E" w:rsidR="000E43AF" w:rsidRPr="00DA5C6A" w:rsidRDefault="000E43AF" w:rsidP="000E43AF">
      <w:pPr>
        <w:spacing w:line="276" w:lineRule="auto"/>
        <w:rPr>
          <w:color w:val="auto"/>
        </w:rPr>
      </w:pPr>
      <w:r w:rsidRPr="00DA5C6A">
        <w:rPr>
          <w:color w:val="auto"/>
        </w:rPr>
        <w:t xml:space="preserve"> Сотрудниками отдела методологического обеспечения бюджетного учета рассмотрено </w:t>
      </w:r>
      <w:r w:rsidR="00DA5C6A" w:rsidRPr="00DA5C6A">
        <w:rPr>
          <w:color w:val="auto"/>
        </w:rPr>
        <w:t>1021</w:t>
      </w:r>
      <w:r w:rsidRPr="00DA5C6A">
        <w:rPr>
          <w:color w:val="auto"/>
        </w:rPr>
        <w:t xml:space="preserve"> обращени</w:t>
      </w:r>
      <w:r w:rsidR="00133E0F">
        <w:rPr>
          <w:color w:val="auto"/>
        </w:rPr>
        <w:t>е</w:t>
      </w:r>
      <w:r w:rsidRPr="00DA5C6A">
        <w:rPr>
          <w:color w:val="auto"/>
        </w:rPr>
        <w:t xml:space="preserve">. </w:t>
      </w:r>
    </w:p>
    <w:p w14:paraId="37D74D0A" w14:textId="6CFF60BA" w:rsidR="000E43AF" w:rsidRPr="0039575E" w:rsidRDefault="000E43AF" w:rsidP="000E43AF">
      <w:pPr>
        <w:spacing w:line="276" w:lineRule="auto"/>
        <w:rPr>
          <w:color w:val="auto"/>
        </w:rPr>
      </w:pPr>
      <w:r w:rsidRPr="0039575E">
        <w:rPr>
          <w:color w:val="auto"/>
        </w:rPr>
        <w:t xml:space="preserve">Сотрудниками отдела информационных технологий рассмотрено </w:t>
      </w:r>
      <w:r w:rsidR="005A01BF" w:rsidRPr="0039575E">
        <w:rPr>
          <w:color w:val="auto"/>
        </w:rPr>
        <w:t>1175</w:t>
      </w:r>
      <w:r w:rsidR="00997CA7">
        <w:rPr>
          <w:color w:val="auto"/>
        </w:rPr>
        <w:t xml:space="preserve"> </w:t>
      </w:r>
      <w:r w:rsidRPr="0039575E">
        <w:rPr>
          <w:color w:val="auto"/>
        </w:rPr>
        <w:t xml:space="preserve">обращений. </w:t>
      </w:r>
    </w:p>
    <w:p w14:paraId="59B35A6A" w14:textId="5C8889DD" w:rsidR="000E43AF" w:rsidRPr="00C766B7" w:rsidRDefault="0002307F" w:rsidP="000E43AF">
      <w:pPr>
        <w:spacing w:line="276" w:lineRule="auto"/>
      </w:pPr>
      <w:r>
        <w:rPr>
          <w:b/>
        </w:rPr>
        <w:t>К</w:t>
      </w:r>
      <w:r w:rsidR="000E43AF" w:rsidRPr="00C766B7">
        <w:rPr>
          <w:b/>
        </w:rPr>
        <w:t>азначейско</w:t>
      </w:r>
      <w:r>
        <w:rPr>
          <w:b/>
        </w:rPr>
        <w:t>е</w:t>
      </w:r>
      <w:r w:rsidR="000E43AF" w:rsidRPr="00C766B7">
        <w:rPr>
          <w:b/>
        </w:rPr>
        <w:t xml:space="preserve"> сопровождени</w:t>
      </w:r>
      <w:r>
        <w:rPr>
          <w:b/>
        </w:rPr>
        <w:t>е</w:t>
      </w:r>
      <w:r w:rsidR="000E43AF" w:rsidRPr="00C766B7">
        <w:rPr>
          <w:b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 w:rsidR="00133E0F">
        <w:rPr>
          <w:b/>
        </w:rPr>
        <w:t>.</w:t>
      </w:r>
    </w:p>
    <w:p w14:paraId="50A06FEB" w14:textId="77777777" w:rsidR="000E43AF" w:rsidRPr="0002307F" w:rsidRDefault="000E43AF" w:rsidP="000E43AF">
      <w:pPr>
        <w:spacing w:line="276" w:lineRule="auto"/>
      </w:pPr>
      <w:r w:rsidRPr="0002307F">
        <w:t>Для работы в подсистемах «Управление расходами (казначейское сопровождение)» и «Нормативно-справочная информация» в ГИИС УОФ «Электронный бюджет» были предоставлены полномочия ответственны</w:t>
      </w:r>
      <w:r w:rsidR="00A14B86" w:rsidRPr="0002307F">
        <w:t>м</w:t>
      </w:r>
      <w:r w:rsidRPr="0002307F">
        <w:t xml:space="preserve"> сотрудникам Министерства финансов КБР, представителям и получателям субсидий из федерального бюджета и республиканского бюджета КБР. </w:t>
      </w:r>
    </w:p>
    <w:p w14:paraId="35F27B4A" w14:textId="4E7B52C1" w:rsidR="000E43AF" w:rsidRPr="0002307F" w:rsidRDefault="0002307F" w:rsidP="000E43AF">
      <w:pPr>
        <w:spacing w:line="276" w:lineRule="auto"/>
      </w:pPr>
      <w:r>
        <w:t>Сотрудниками</w:t>
      </w:r>
      <w:r w:rsidR="000E43AF" w:rsidRPr="0002307F">
        <w:t xml:space="preserve"> Министерств</w:t>
      </w:r>
      <w:r>
        <w:t>а</w:t>
      </w:r>
      <w:r w:rsidR="000E43AF" w:rsidRPr="0002307F">
        <w:t xml:space="preserve"> финансов КБР:</w:t>
      </w:r>
    </w:p>
    <w:p w14:paraId="32709575" w14:textId="13973DC8" w:rsidR="000E43AF" w:rsidRPr="0002307F" w:rsidRDefault="000E43AF" w:rsidP="000E43AF">
      <w:pPr>
        <w:spacing w:line="276" w:lineRule="auto"/>
      </w:pPr>
      <w:r w:rsidRPr="0002307F">
        <w:t>- в 202</w:t>
      </w:r>
      <w:r w:rsidR="00C766B7" w:rsidRPr="0002307F">
        <w:t>4</w:t>
      </w:r>
      <w:r w:rsidRPr="0002307F">
        <w:t xml:space="preserve"> году открыто </w:t>
      </w:r>
      <w:r w:rsidR="00C766B7" w:rsidRPr="0002307F">
        <w:t>635</w:t>
      </w:r>
      <w:r w:rsidR="00133E0F">
        <w:t xml:space="preserve"> лицевых счетов</w:t>
      </w:r>
      <w:r w:rsidRPr="0002307F">
        <w:t xml:space="preserve"> с кодом «71» для получателей субсидий из федерального бюджета и республиканского бюджета КБР и для исполнителей г</w:t>
      </w:r>
      <w:r w:rsidR="004372CA">
        <w:t>осударственных контрактов, что на</w:t>
      </w:r>
      <w:r w:rsidRPr="0002307F">
        <w:t xml:space="preserve"> </w:t>
      </w:r>
      <w:r w:rsidR="004372CA">
        <w:t>34</w:t>
      </w:r>
      <w:r w:rsidR="00902F56" w:rsidRPr="0002307F">
        <w:t>%</w:t>
      </w:r>
      <w:r w:rsidRPr="0002307F">
        <w:t xml:space="preserve"> превышает аналогичный показатель за 202</w:t>
      </w:r>
      <w:r w:rsidR="00902F56" w:rsidRPr="0002307F">
        <w:t>3</w:t>
      </w:r>
      <w:r w:rsidRPr="0002307F">
        <w:t xml:space="preserve"> год;</w:t>
      </w:r>
    </w:p>
    <w:p w14:paraId="24227F99" w14:textId="1F305F5B" w:rsidR="000E43AF" w:rsidRPr="0002307F" w:rsidRDefault="000E43AF" w:rsidP="000E43AF">
      <w:pPr>
        <w:spacing w:line="276" w:lineRule="auto"/>
      </w:pPr>
      <w:r w:rsidRPr="0002307F">
        <w:t xml:space="preserve">- обработано </w:t>
      </w:r>
      <w:r w:rsidR="00902F56" w:rsidRPr="0002307F">
        <w:t>2 339</w:t>
      </w:r>
      <w:r w:rsidRPr="0002307F">
        <w:t xml:space="preserve"> электронных документов «Документ-основание» в 202</w:t>
      </w:r>
      <w:r w:rsidR="00902F56" w:rsidRPr="0002307F">
        <w:t>4</w:t>
      </w:r>
      <w:r w:rsidRPr="0002307F">
        <w:t xml:space="preserve"> году, </w:t>
      </w:r>
      <w:r w:rsidR="004372CA">
        <w:t>что на 221</w:t>
      </w:r>
      <w:r w:rsidR="0002307F" w:rsidRPr="0002307F">
        <w:t>% превышает аналогичный показатель за 2023 год;</w:t>
      </w:r>
    </w:p>
    <w:p w14:paraId="0AA9E27B" w14:textId="09BDF424" w:rsidR="0002307F" w:rsidRPr="0002307F" w:rsidRDefault="000E43AF" w:rsidP="000E43AF">
      <w:pPr>
        <w:spacing w:line="276" w:lineRule="auto"/>
      </w:pPr>
      <w:r w:rsidRPr="0002307F">
        <w:t xml:space="preserve">- зарегистрировано </w:t>
      </w:r>
      <w:r w:rsidR="0002307F" w:rsidRPr="0002307F">
        <w:t>1 456</w:t>
      </w:r>
      <w:r w:rsidRPr="0002307F">
        <w:t xml:space="preserve"> электронных документов «Сведения об операциях с целевыми средствами» в 202</w:t>
      </w:r>
      <w:r w:rsidR="0002307F" w:rsidRPr="0002307F">
        <w:t>4</w:t>
      </w:r>
      <w:r w:rsidRPr="0002307F">
        <w:t xml:space="preserve"> году, </w:t>
      </w:r>
      <w:r w:rsidR="004372CA">
        <w:t>что на</w:t>
      </w:r>
      <w:r w:rsidR="0002307F" w:rsidRPr="0002307F">
        <w:t xml:space="preserve"> 166% превышает аналогичный показатель за 2023 год;</w:t>
      </w:r>
    </w:p>
    <w:p w14:paraId="4283B366" w14:textId="70E29090" w:rsidR="0002307F" w:rsidRPr="0002307F" w:rsidRDefault="000E43AF" w:rsidP="0002307F">
      <w:pPr>
        <w:spacing w:line="276" w:lineRule="auto"/>
      </w:pPr>
      <w:r w:rsidRPr="0002307F">
        <w:t xml:space="preserve">- исполнено </w:t>
      </w:r>
      <w:r w:rsidR="0002307F" w:rsidRPr="0002307F">
        <w:t>2 847</w:t>
      </w:r>
      <w:r w:rsidRPr="0002307F">
        <w:t xml:space="preserve"> электронных документов «Поручения о перечислениях» в 202</w:t>
      </w:r>
      <w:r w:rsidR="0002307F" w:rsidRPr="0002307F">
        <w:t>4</w:t>
      </w:r>
      <w:r w:rsidRPr="0002307F">
        <w:t xml:space="preserve"> году, </w:t>
      </w:r>
      <w:r w:rsidR="004372CA">
        <w:t>что на 365</w:t>
      </w:r>
      <w:r w:rsidR="0002307F" w:rsidRPr="0002307F">
        <w:t>% превышает аналогичный показатель за 2023 год;</w:t>
      </w:r>
    </w:p>
    <w:p w14:paraId="3E16E22E" w14:textId="62473C9B" w:rsidR="000E43AF" w:rsidRPr="0002307F" w:rsidRDefault="000E43AF" w:rsidP="0002307F">
      <w:pPr>
        <w:spacing w:line="276" w:lineRule="auto"/>
      </w:pPr>
      <w:r w:rsidRPr="0002307F">
        <w:t xml:space="preserve">- исполнено </w:t>
      </w:r>
      <w:r w:rsidR="0002307F" w:rsidRPr="0002307F">
        <w:t>4 476</w:t>
      </w:r>
      <w:r w:rsidRPr="0002307F">
        <w:t xml:space="preserve"> электронных документов «Исходящие платежные поручения» в 202</w:t>
      </w:r>
      <w:r w:rsidR="0002307F" w:rsidRPr="0002307F">
        <w:t>4</w:t>
      </w:r>
      <w:r w:rsidRPr="0002307F">
        <w:t xml:space="preserve"> году, </w:t>
      </w:r>
      <w:r w:rsidR="0002307F" w:rsidRPr="0002307F">
        <w:t xml:space="preserve">что </w:t>
      </w:r>
      <w:r w:rsidR="004372CA">
        <w:t>на</w:t>
      </w:r>
      <w:r w:rsidR="0002307F" w:rsidRPr="0002307F">
        <w:t xml:space="preserve"> 1</w:t>
      </w:r>
      <w:r w:rsidR="0002307F">
        <w:t>85</w:t>
      </w:r>
      <w:r w:rsidR="0002307F" w:rsidRPr="0002307F">
        <w:t>% превышает аналогичный показатель за 2023 год;</w:t>
      </w:r>
    </w:p>
    <w:p w14:paraId="0EEFE118" w14:textId="2C2C7FC4" w:rsidR="000E43AF" w:rsidRPr="00687402" w:rsidRDefault="000E43AF" w:rsidP="000E43AF">
      <w:pPr>
        <w:spacing w:line="276" w:lineRule="auto"/>
        <w:rPr>
          <w:rFonts w:ascii="Calibri" w:hAnsi="Calibri" w:cs="Calibri"/>
          <w:sz w:val="22"/>
          <w:szCs w:val="22"/>
          <w:lang w:eastAsia="ru-RU"/>
        </w:rPr>
      </w:pPr>
      <w:r w:rsidRPr="00687402">
        <w:t xml:space="preserve">На основании обращений, вынесенных Министерством финансов КБР в службу технической поддержки ГИИС УОФ «Электронный бюджет», </w:t>
      </w:r>
      <w:r w:rsidR="00687402" w:rsidRPr="00687402">
        <w:t>ведутся доработки по</w:t>
      </w:r>
      <w:r w:rsidRPr="00687402">
        <w:t xml:space="preserve"> механизм</w:t>
      </w:r>
      <w:r w:rsidR="00687402" w:rsidRPr="00687402">
        <w:t>у</w:t>
      </w:r>
      <w:r w:rsidRPr="00687402">
        <w:t xml:space="preserve"> открытия </w:t>
      </w:r>
      <w:r w:rsidRPr="00687402">
        <w:rPr>
          <w:bCs/>
        </w:rPr>
        <w:t xml:space="preserve">и ведения лицевых счетов физическим лицам – получателям грантов в форме субсидий. </w:t>
      </w:r>
    </w:p>
    <w:p w14:paraId="2DB04FA0" w14:textId="4324A329" w:rsidR="000E43AF" w:rsidRPr="00011253" w:rsidRDefault="004372CA" w:rsidP="000E43AF">
      <w:pPr>
        <w:spacing w:line="276" w:lineRule="auto"/>
        <w:rPr>
          <w:b/>
          <w:bCs/>
        </w:rPr>
      </w:pPr>
      <w:r>
        <w:rPr>
          <w:b/>
          <w:bCs/>
        </w:rPr>
        <w:t>Казначейское сопровождение.</w:t>
      </w:r>
    </w:p>
    <w:p w14:paraId="5FEB7534" w14:textId="77777777" w:rsidR="000E43AF" w:rsidRPr="00011253" w:rsidRDefault="000E43AF" w:rsidP="000E43AF">
      <w:pPr>
        <w:spacing w:line="276" w:lineRule="auto"/>
      </w:pPr>
      <w:r w:rsidRPr="00011253">
        <w:t xml:space="preserve">Начиная с 2016 года, Министерством финансов КБР осуществляется механизм казначейского сопровождения всех субсидий, выделяемых из регионального бюджета, а также всех контрактов (договоров), заключаемых с поставщиками, у которых суммарный объем контрактов (договоров), заключенных с государственными учреждениями, превышает 1 млн рублей (вне зависимости от источников финансового обеспечения). </w:t>
      </w:r>
    </w:p>
    <w:p w14:paraId="767ED7B8" w14:textId="53E44C8F" w:rsidR="000E43AF" w:rsidRPr="00011253" w:rsidRDefault="000E43AF" w:rsidP="000E43AF">
      <w:pPr>
        <w:spacing w:line="276" w:lineRule="auto"/>
      </w:pPr>
      <w:r w:rsidRPr="00011253">
        <w:t>В рамках казначейского сопровождения</w:t>
      </w:r>
      <w:r w:rsidR="004372CA">
        <w:t xml:space="preserve"> в 2024 году</w:t>
      </w:r>
      <w:r w:rsidRPr="00011253">
        <w:t xml:space="preserve">: </w:t>
      </w:r>
    </w:p>
    <w:p w14:paraId="12637CFA" w14:textId="77ACFFE2" w:rsidR="000E43AF" w:rsidRPr="00011253" w:rsidRDefault="000E43AF" w:rsidP="000E43AF">
      <w:pPr>
        <w:spacing w:line="276" w:lineRule="auto"/>
      </w:pPr>
      <w:r w:rsidRPr="00011253">
        <w:t xml:space="preserve">- зарегистрирован </w:t>
      </w:r>
      <w:r w:rsidR="00687402" w:rsidRPr="00011253">
        <w:t>42</w:t>
      </w:r>
      <w:r w:rsidRPr="00011253">
        <w:t>1 электронны</w:t>
      </w:r>
      <w:r w:rsidR="004372CA">
        <w:t>й</w:t>
      </w:r>
      <w:r w:rsidRPr="00011253">
        <w:t xml:space="preserve"> документ «Сведения об о</w:t>
      </w:r>
      <w:r w:rsidR="004372CA">
        <w:t>перациях с целевыми средствами»</w:t>
      </w:r>
      <w:r w:rsidRPr="00011253">
        <w:t xml:space="preserve">, что на </w:t>
      </w:r>
      <w:r w:rsidR="00687402" w:rsidRPr="00011253">
        <w:t>17</w:t>
      </w:r>
      <w:r w:rsidRPr="00011253">
        <w:t>% больше, чем за 202</w:t>
      </w:r>
      <w:r w:rsidR="00687402" w:rsidRPr="00011253">
        <w:t>3</w:t>
      </w:r>
      <w:r w:rsidRPr="00011253">
        <w:t xml:space="preserve"> год;</w:t>
      </w:r>
    </w:p>
    <w:p w14:paraId="0DBE3ACC" w14:textId="08CECA48" w:rsidR="000E43AF" w:rsidRPr="00011253" w:rsidRDefault="000E43AF" w:rsidP="000E43AF">
      <w:pPr>
        <w:spacing w:line="276" w:lineRule="auto"/>
      </w:pPr>
      <w:r w:rsidRPr="00011253">
        <w:t xml:space="preserve">-  обработано 1 </w:t>
      </w:r>
      <w:r w:rsidR="00687402" w:rsidRPr="00011253">
        <w:t>756</w:t>
      </w:r>
      <w:r w:rsidRPr="00011253">
        <w:t xml:space="preserve"> электронных документов «Сведения об обязательствах и дого</w:t>
      </w:r>
      <w:r w:rsidR="004372CA">
        <w:t>воре БУ/АУ»</w:t>
      </w:r>
      <w:r w:rsidRPr="00011253">
        <w:t xml:space="preserve">, что на </w:t>
      </w:r>
      <w:r w:rsidR="00687402" w:rsidRPr="00011253">
        <w:t>30</w:t>
      </w:r>
      <w:r w:rsidRPr="00011253">
        <w:t>% больше, чем за 202</w:t>
      </w:r>
      <w:r w:rsidR="00687402" w:rsidRPr="00011253">
        <w:t xml:space="preserve">3 </w:t>
      </w:r>
      <w:r w:rsidRPr="00011253">
        <w:t>год;</w:t>
      </w:r>
    </w:p>
    <w:p w14:paraId="55E24B85" w14:textId="34C40C0A" w:rsidR="000E43AF" w:rsidRPr="00011253" w:rsidRDefault="000E43AF" w:rsidP="000E43AF">
      <w:pPr>
        <w:spacing w:line="276" w:lineRule="auto"/>
      </w:pPr>
      <w:r w:rsidRPr="00011253">
        <w:t xml:space="preserve">- исполнено 30 </w:t>
      </w:r>
      <w:r w:rsidR="00687402" w:rsidRPr="00011253">
        <w:t>649</w:t>
      </w:r>
      <w:r w:rsidRPr="00011253">
        <w:t xml:space="preserve"> электронных документов «З</w:t>
      </w:r>
      <w:r w:rsidR="004372CA">
        <w:t>аявка БУ/АУ на выплату средств»</w:t>
      </w:r>
      <w:r w:rsidRPr="00011253">
        <w:t xml:space="preserve">, что на </w:t>
      </w:r>
      <w:r w:rsidR="00011253" w:rsidRPr="00011253">
        <w:t>2,1</w:t>
      </w:r>
      <w:r w:rsidRPr="00011253">
        <w:t>% больше, чем за 202</w:t>
      </w:r>
      <w:r w:rsidR="00011253" w:rsidRPr="00011253">
        <w:t>3</w:t>
      </w:r>
      <w:r w:rsidRPr="00011253">
        <w:t xml:space="preserve"> год.</w:t>
      </w:r>
    </w:p>
    <w:p w14:paraId="65781BFC" w14:textId="77777777" w:rsidR="000E43AF" w:rsidRPr="00011253" w:rsidRDefault="000E43AF" w:rsidP="000E43AF">
      <w:pPr>
        <w:spacing w:line="276" w:lineRule="auto"/>
      </w:pPr>
      <w:r w:rsidRPr="00011253">
        <w:t>Таким образом, благодаря казначейскому сопровождению, обеспечен контроль исполнения целевых средств и недопущение нецелевого использования авансовых платежей и субсидий (за исключением субсидий, которые предоставляются в порядке возмещения расходов).</w:t>
      </w:r>
    </w:p>
    <w:p w14:paraId="49DED838" w14:textId="7DE23BDE" w:rsidR="000E43AF" w:rsidRPr="00B94000" w:rsidRDefault="000E43AF" w:rsidP="000E43AF">
      <w:pPr>
        <w:ind w:firstLine="567"/>
        <w:rPr>
          <w:color w:val="auto"/>
        </w:rPr>
      </w:pPr>
      <w:r w:rsidRPr="00B94000">
        <w:rPr>
          <w:b/>
          <w:bCs/>
          <w:color w:val="auto"/>
        </w:rPr>
        <w:t>Организация электронного документооборота (далее – ЭДО)</w:t>
      </w:r>
      <w:r w:rsidR="004372CA">
        <w:rPr>
          <w:b/>
          <w:bCs/>
          <w:color w:val="auto"/>
        </w:rPr>
        <w:t>.</w:t>
      </w:r>
    </w:p>
    <w:p w14:paraId="729F5AD2" w14:textId="760A233E" w:rsidR="00B94000" w:rsidRPr="00B94000" w:rsidRDefault="00B94000" w:rsidP="00B94000">
      <w:pPr>
        <w:ind w:firstLine="567"/>
        <w:rPr>
          <w:color w:val="auto"/>
        </w:rPr>
      </w:pPr>
      <w:r w:rsidRPr="00B94000">
        <w:rPr>
          <w:color w:val="auto"/>
        </w:rPr>
        <w:t>В 2024 году продолжает обеспечиваться работоспособность модуля ЭДО</w:t>
      </w:r>
      <w:r>
        <w:rPr>
          <w:color w:val="auto"/>
        </w:rPr>
        <w:t xml:space="preserve"> в подсистеме Учет и отчетность Минфина КБР</w:t>
      </w:r>
      <w:r w:rsidRPr="00B94000">
        <w:rPr>
          <w:color w:val="auto"/>
        </w:rPr>
        <w:t>.</w:t>
      </w:r>
    </w:p>
    <w:p w14:paraId="666C259E" w14:textId="2C21057D" w:rsidR="00B94000" w:rsidRPr="00B94000" w:rsidRDefault="00B94000" w:rsidP="00B94000">
      <w:pPr>
        <w:ind w:firstLine="567"/>
      </w:pPr>
      <w:r w:rsidRPr="00B94000">
        <w:rPr>
          <w:color w:val="auto"/>
        </w:rPr>
        <w:t xml:space="preserve">Были учтены изменения, в соответствии с Федеральным законом от 04.08.2023 </w:t>
      </w:r>
      <w:r w:rsidR="00C314E4">
        <w:rPr>
          <w:color w:val="auto"/>
        </w:rPr>
        <w:t>года</w:t>
      </w:r>
      <w:r w:rsidR="004372CA">
        <w:rPr>
          <w:color w:val="auto"/>
        </w:rPr>
        <w:t xml:space="preserve"> </w:t>
      </w:r>
      <w:r w:rsidRPr="00B94000">
        <w:rPr>
          <w:color w:val="auto"/>
        </w:rPr>
        <w:t>№ 457-ФЗ, согласно которому с</w:t>
      </w:r>
      <w:r w:rsidRPr="00B94000">
        <w:t xml:space="preserve"> 1 сентября 2024 года для сотрудников, работающих с электронными документами, стало обязательным использовать усиленную квалифицированную электронную подпись физического лица и МЧД, подтверждающую полномочия на подписание электронных документов от имени организации. Был</w:t>
      </w:r>
      <w:r w:rsidR="00916939">
        <w:t>и</w:t>
      </w:r>
      <w:r w:rsidRPr="00B94000">
        <w:t xml:space="preserve"> разработаны и опубликованы на сайте Минфина КБР соответствующие методические инструкции.</w:t>
      </w:r>
    </w:p>
    <w:p w14:paraId="5DEC1E00" w14:textId="77777777" w:rsidR="00B94000" w:rsidRPr="00B94000" w:rsidRDefault="00B94000" w:rsidP="00B94000">
      <w:pPr>
        <w:spacing w:line="276" w:lineRule="auto"/>
        <w:ind w:firstLine="567"/>
        <w:rPr>
          <w:color w:val="auto"/>
        </w:rPr>
      </w:pPr>
      <w:r w:rsidRPr="00B94000">
        <w:rPr>
          <w:color w:val="auto"/>
        </w:rPr>
        <w:t xml:space="preserve">На текущий момент практически все поставщики предоставляют заказчикам документы о приемке товара исключительно в электронном виде посредством сервисов ЭДО ФНС России и ЭДО ЕИС. </w:t>
      </w:r>
    </w:p>
    <w:p w14:paraId="4647CCA7" w14:textId="77777777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 xml:space="preserve">Успешно используется импорт электронных документов из ЕИС в сфере закупок в подсистему «Учет и отчетность» интегрированной информационной системы управления общественными финансами Кабардино-Балкарской Республики, что позволяет </w:t>
      </w:r>
      <w:r w:rsidRPr="00B94000">
        <w:rPr>
          <w:color w:val="auto"/>
          <w:shd w:val="clear" w:color="auto" w:fill="FFFFFF"/>
        </w:rPr>
        <w:t xml:space="preserve">ускорить процесс оформления платежных документов и повышает скорость осуществления расчетов с поставщиками. </w:t>
      </w:r>
    </w:p>
    <w:p w14:paraId="4B82F6AA" w14:textId="77777777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>Использование ЭДО позволяет обеспечить оперативное получение счетов на оплату и своевременную оплату за коммунальные услуги в полном объеме.</w:t>
      </w:r>
    </w:p>
    <w:p w14:paraId="7A3DA2FC" w14:textId="62A28C97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 xml:space="preserve">Также во исполнение подпункта «б» пункта 2 протокола от 27.09.2023 </w:t>
      </w:r>
      <w:r w:rsidR="00C314E4">
        <w:rPr>
          <w:color w:val="auto"/>
        </w:rPr>
        <w:t>года</w:t>
      </w:r>
      <w:r w:rsidRPr="00B94000">
        <w:rPr>
          <w:color w:val="auto"/>
        </w:rPr>
        <w:t xml:space="preserve"> </w:t>
      </w:r>
      <w:r w:rsidRPr="00B94000">
        <w:rPr>
          <w:color w:val="auto"/>
        </w:rPr>
        <w:br/>
        <w:t>№ А73-п-42вн, ООО «Газпром межрегионгаз» и ПАО «</w:t>
      </w:r>
      <w:proofErr w:type="spellStart"/>
      <w:r w:rsidRPr="00B94000">
        <w:rPr>
          <w:color w:val="auto"/>
        </w:rPr>
        <w:t>Россети</w:t>
      </w:r>
      <w:proofErr w:type="spellEnd"/>
      <w:r w:rsidRPr="00B94000">
        <w:rPr>
          <w:color w:val="auto"/>
        </w:rPr>
        <w:t xml:space="preserve"> Северный Кавказ» обеспечивают ежемесячно проведение сверки взаимных расчетов с потребителями, финансируемыми за счет средств бюджетов субъектов округа и муниципальных бюджетов, посредством направления актов сверки взаимных расчетов посредством сервиса ЭДО.</w:t>
      </w:r>
    </w:p>
    <w:p w14:paraId="29A28579" w14:textId="6D7A6B50" w:rsidR="00B94000" w:rsidRPr="00B94000" w:rsidRDefault="00B94000" w:rsidP="00B94000">
      <w:pPr>
        <w:spacing w:line="276" w:lineRule="auto"/>
        <w:rPr>
          <w:b/>
          <w:bCs/>
          <w:color w:val="auto"/>
        </w:rPr>
      </w:pPr>
      <w:r w:rsidRPr="00B94000">
        <w:rPr>
          <w:b/>
          <w:bCs/>
          <w:color w:val="auto"/>
        </w:rPr>
        <w:t>Организация взаимодействия с Государственной информационной системой о государственных и муниципальных платежах</w:t>
      </w:r>
      <w:r w:rsidR="004372CA">
        <w:rPr>
          <w:b/>
          <w:bCs/>
          <w:color w:val="auto"/>
        </w:rPr>
        <w:t>.</w:t>
      </w:r>
    </w:p>
    <w:p w14:paraId="5AE74A66" w14:textId="256736B4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 xml:space="preserve">Администраторы доходов бюджета, в соответствии с пунктом 5 статьи 21.3 Федерального Закона от 27.07.2010 </w:t>
      </w:r>
      <w:r w:rsidR="00C314E4">
        <w:rPr>
          <w:color w:val="auto"/>
        </w:rPr>
        <w:t>года</w:t>
      </w:r>
      <w:r w:rsidRPr="00B94000">
        <w:rPr>
          <w:color w:val="auto"/>
        </w:rPr>
        <w:t xml:space="preserve"> № 210-ФЗ «Об организации предоставления государственных и муниципальных услуг», обязаны незамедлительно направлять информацию, необходимую для уплаты всех платежей в Государственную информационную систему о государственных и муниципальных платежах (далее - ГИС ГМП).</w:t>
      </w:r>
    </w:p>
    <w:p w14:paraId="761E03EB" w14:textId="08E6FD51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 xml:space="preserve">В 2024 году отделом методологического обеспечения бюджетного учета были проведены работы по регистрации администраторов доходов в качестве главных администраторов начислений (далее – ГАН) в Майском, </w:t>
      </w:r>
      <w:proofErr w:type="spellStart"/>
      <w:r w:rsidRPr="00B94000">
        <w:rPr>
          <w:color w:val="auto"/>
        </w:rPr>
        <w:t>Баксанском</w:t>
      </w:r>
      <w:proofErr w:type="spellEnd"/>
      <w:r w:rsidRPr="00B94000">
        <w:rPr>
          <w:color w:val="auto"/>
        </w:rPr>
        <w:t xml:space="preserve">, Чегемском, </w:t>
      </w:r>
      <w:proofErr w:type="spellStart"/>
      <w:r w:rsidRPr="00B94000">
        <w:rPr>
          <w:color w:val="auto"/>
        </w:rPr>
        <w:t>Черекском</w:t>
      </w:r>
      <w:proofErr w:type="spellEnd"/>
      <w:r w:rsidRPr="00B94000">
        <w:rPr>
          <w:color w:val="auto"/>
        </w:rPr>
        <w:t xml:space="preserve">, </w:t>
      </w:r>
      <w:proofErr w:type="spellStart"/>
      <w:r w:rsidRPr="00B94000">
        <w:rPr>
          <w:color w:val="auto"/>
        </w:rPr>
        <w:t>Зольском</w:t>
      </w:r>
      <w:proofErr w:type="spellEnd"/>
      <w:r w:rsidRPr="00B94000">
        <w:rPr>
          <w:color w:val="auto"/>
        </w:rPr>
        <w:t xml:space="preserve">, Эльбрусском, </w:t>
      </w:r>
      <w:proofErr w:type="spellStart"/>
      <w:r w:rsidRPr="00B94000">
        <w:rPr>
          <w:color w:val="auto"/>
        </w:rPr>
        <w:t>Лескенском</w:t>
      </w:r>
      <w:proofErr w:type="spellEnd"/>
      <w:r w:rsidRPr="00B94000">
        <w:rPr>
          <w:color w:val="auto"/>
        </w:rPr>
        <w:t xml:space="preserve">, Терском муниципальных районах, а также в </w:t>
      </w:r>
      <w:proofErr w:type="spellStart"/>
      <w:r w:rsidR="008D06E3">
        <w:rPr>
          <w:color w:val="auto"/>
        </w:rPr>
        <w:t>г.</w:t>
      </w:r>
      <w:r w:rsidRPr="00B94000">
        <w:rPr>
          <w:color w:val="auto"/>
        </w:rPr>
        <w:t>о</w:t>
      </w:r>
      <w:proofErr w:type="spellEnd"/>
      <w:r w:rsidRPr="00B94000">
        <w:rPr>
          <w:color w:val="auto"/>
        </w:rPr>
        <w:t xml:space="preserve">. Нальчик, </w:t>
      </w:r>
      <w:proofErr w:type="spellStart"/>
      <w:r w:rsidR="008D06E3">
        <w:rPr>
          <w:color w:val="auto"/>
        </w:rPr>
        <w:t>г.</w:t>
      </w:r>
      <w:r w:rsidRPr="00B94000">
        <w:rPr>
          <w:color w:val="auto"/>
        </w:rPr>
        <w:t>о</w:t>
      </w:r>
      <w:proofErr w:type="spellEnd"/>
      <w:r w:rsidRPr="00B94000">
        <w:rPr>
          <w:color w:val="auto"/>
        </w:rPr>
        <w:t xml:space="preserve">. Баксан и </w:t>
      </w:r>
      <w:proofErr w:type="spellStart"/>
      <w:r w:rsidR="008D06E3">
        <w:rPr>
          <w:color w:val="auto"/>
        </w:rPr>
        <w:t>г.</w:t>
      </w:r>
      <w:r w:rsidRPr="00B94000">
        <w:rPr>
          <w:color w:val="auto"/>
        </w:rPr>
        <w:t>о</w:t>
      </w:r>
      <w:proofErr w:type="spellEnd"/>
      <w:r w:rsidRPr="00B94000">
        <w:rPr>
          <w:color w:val="auto"/>
        </w:rPr>
        <w:t>. Прохладный. Было зарегистрировано 12 ГАН для обеспечения взаимодействия с ГИС ГМП косвенных участников:</w:t>
      </w:r>
    </w:p>
    <w:p w14:paraId="7889388B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 xml:space="preserve">Местная администрация городского округа Нальчик; </w:t>
      </w:r>
    </w:p>
    <w:p w14:paraId="434B152C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>Муниципальное казенное учреждение «Департамент образования Местной администрации городского округа Нальчик»;</w:t>
      </w:r>
    </w:p>
    <w:p w14:paraId="32780962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>Муниципальное учреждение «Финансовое управление местной администрации городского округа Прохладный Кабардино-Балкарской Республики»;</w:t>
      </w:r>
    </w:p>
    <w:p w14:paraId="420CCA9F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>Муниципальное казенное учреждение «Финансовое управление Администрации городского округа Баксан Кабардино-Балкарской Республики»;</w:t>
      </w:r>
    </w:p>
    <w:p w14:paraId="7FC5FD51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>Муниципальное учреждение «Управление финансами Баксанского района»;</w:t>
      </w:r>
    </w:p>
    <w:p w14:paraId="6993F82C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>Муниципальное учреждение «Управление финансами Чегемского муниципального района»;</w:t>
      </w:r>
    </w:p>
    <w:p w14:paraId="6CA4919D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 xml:space="preserve">Муниципальное учреждение «Управление финансами </w:t>
      </w:r>
      <w:proofErr w:type="spellStart"/>
      <w:r w:rsidRPr="00B94000">
        <w:rPr>
          <w:color w:val="auto"/>
        </w:rPr>
        <w:t>Черекского</w:t>
      </w:r>
      <w:proofErr w:type="spellEnd"/>
      <w:r w:rsidRPr="00B94000">
        <w:rPr>
          <w:color w:val="auto"/>
        </w:rPr>
        <w:t xml:space="preserve"> муниципального района»;</w:t>
      </w:r>
    </w:p>
    <w:p w14:paraId="007327E1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>Муниципальное учреждение «Управление финансов местной администрации Майского муниципального района»;</w:t>
      </w:r>
    </w:p>
    <w:p w14:paraId="5CCD8F52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 xml:space="preserve">Муниципальное казенное учреждение «Управление финансами» местной администрации </w:t>
      </w:r>
      <w:proofErr w:type="spellStart"/>
      <w:r w:rsidRPr="00B94000">
        <w:rPr>
          <w:color w:val="auto"/>
        </w:rPr>
        <w:t>Зольского</w:t>
      </w:r>
      <w:proofErr w:type="spellEnd"/>
      <w:r w:rsidRPr="00B94000">
        <w:rPr>
          <w:color w:val="auto"/>
        </w:rPr>
        <w:t xml:space="preserve"> муниципального района Кабардино-Балкарской Республики;</w:t>
      </w:r>
    </w:p>
    <w:p w14:paraId="5500198D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>Муниципальное учреждение «Управление финансами Эльбрусского муниципального района»;</w:t>
      </w:r>
    </w:p>
    <w:p w14:paraId="7FE11694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>Муниципальное учреждение «Управление финансами Чегемского муниципального района»;</w:t>
      </w:r>
    </w:p>
    <w:p w14:paraId="792C1C3B" w14:textId="77777777" w:rsidR="00B94000" w:rsidRPr="00B94000" w:rsidRDefault="00B94000" w:rsidP="00B94000">
      <w:pPr>
        <w:widowControl/>
        <w:numPr>
          <w:ilvl w:val="0"/>
          <w:numId w:val="34"/>
        </w:numPr>
        <w:spacing w:before="120" w:after="120" w:line="276" w:lineRule="auto"/>
        <w:contextualSpacing/>
        <w:jc w:val="left"/>
        <w:rPr>
          <w:color w:val="auto"/>
        </w:rPr>
      </w:pPr>
      <w:r w:rsidRPr="00B94000">
        <w:rPr>
          <w:color w:val="auto"/>
        </w:rPr>
        <w:t>Управление образования Местной администрации Терского муниципального района.</w:t>
      </w:r>
    </w:p>
    <w:p w14:paraId="2C43F600" w14:textId="3B372815" w:rsidR="00B94000" w:rsidRPr="00B94000" w:rsidRDefault="00F667D5" w:rsidP="00B94000">
      <w:pPr>
        <w:spacing w:line="276" w:lineRule="auto"/>
        <w:rPr>
          <w:color w:val="auto"/>
        </w:rPr>
      </w:pPr>
      <w:r>
        <w:rPr>
          <w:color w:val="auto"/>
        </w:rPr>
        <w:t>В</w:t>
      </w:r>
      <w:r w:rsidR="00B94000" w:rsidRPr="00B94000">
        <w:rPr>
          <w:color w:val="auto"/>
        </w:rPr>
        <w:t xml:space="preserve"> </w:t>
      </w:r>
      <w:proofErr w:type="spellStart"/>
      <w:r w:rsidR="00B94000" w:rsidRPr="00B94000">
        <w:rPr>
          <w:color w:val="auto"/>
        </w:rPr>
        <w:t>Прохладненском</w:t>
      </w:r>
      <w:proofErr w:type="spellEnd"/>
      <w:r w:rsidR="00B94000" w:rsidRPr="00B94000">
        <w:rPr>
          <w:color w:val="auto"/>
        </w:rPr>
        <w:t xml:space="preserve"> и </w:t>
      </w:r>
      <w:proofErr w:type="spellStart"/>
      <w:r w:rsidR="00B94000" w:rsidRPr="00B94000">
        <w:rPr>
          <w:color w:val="auto"/>
        </w:rPr>
        <w:t>Урванском</w:t>
      </w:r>
      <w:proofErr w:type="spellEnd"/>
      <w:r w:rsidR="00B94000" w:rsidRPr="00B94000">
        <w:rPr>
          <w:color w:val="auto"/>
        </w:rPr>
        <w:t xml:space="preserve"> муниципальным районам регистрация </w:t>
      </w:r>
      <w:r>
        <w:rPr>
          <w:color w:val="auto"/>
        </w:rPr>
        <w:t xml:space="preserve">ГАН </w:t>
      </w:r>
      <w:r w:rsidR="00B94000" w:rsidRPr="00B94000">
        <w:rPr>
          <w:color w:val="auto"/>
        </w:rPr>
        <w:t>будет осуществлена в 2025 году, после реализации в личном кабинете ГИС ГМП заявки на внесение изменений, согласно приложению № 2 к Порядку ведения Государственной информационной системы о государственных и муниципальных платежах, утвержденному приказом Федерального казначейства от 12</w:t>
      </w:r>
      <w:r w:rsidR="004372CA">
        <w:rPr>
          <w:color w:val="auto"/>
        </w:rPr>
        <w:t>.05.</w:t>
      </w:r>
      <w:r w:rsidR="00B94000" w:rsidRPr="00B94000">
        <w:rPr>
          <w:color w:val="auto"/>
        </w:rPr>
        <w:t xml:space="preserve">2017 </w:t>
      </w:r>
      <w:r w:rsidR="00C314E4">
        <w:rPr>
          <w:color w:val="auto"/>
        </w:rPr>
        <w:t>года</w:t>
      </w:r>
      <w:r w:rsidR="00B94000" w:rsidRPr="00B94000">
        <w:rPr>
          <w:color w:val="auto"/>
        </w:rPr>
        <w:t xml:space="preserve"> №</w:t>
      </w:r>
      <w:r w:rsidR="00B50A62">
        <w:rPr>
          <w:color w:val="auto"/>
        </w:rPr>
        <w:t> </w:t>
      </w:r>
      <w:r w:rsidR="00B94000" w:rsidRPr="00B94000">
        <w:rPr>
          <w:color w:val="auto"/>
        </w:rPr>
        <w:t>11н.</w:t>
      </w:r>
    </w:p>
    <w:p w14:paraId="46412D80" w14:textId="0ACD65B6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 xml:space="preserve">В каждом муниципальном </w:t>
      </w:r>
      <w:r w:rsidR="00747DF5">
        <w:rPr>
          <w:color w:val="auto"/>
        </w:rPr>
        <w:t>районе</w:t>
      </w:r>
      <w:r w:rsidRPr="00B94000">
        <w:rPr>
          <w:color w:val="auto"/>
        </w:rPr>
        <w:t xml:space="preserve"> КБР были определены уполномоченные лица от каждого ГАН, вместе с ними создана рабочая группа в мессенджере </w:t>
      </w:r>
      <w:r w:rsidRPr="00B94000">
        <w:rPr>
          <w:color w:val="auto"/>
          <w:lang w:val="en-US"/>
        </w:rPr>
        <w:t>Telegram</w:t>
      </w:r>
      <w:r w:rsidRPr="00B94000">
        <w:rPr>
          <w:color w:val="auto"/>
        </w:rPr>
        <w:t xml:space="preserve"> для оперативного обмена информацией, а также решения вопросов, возникающих у подведомственных косвенных участников и доведения до них инструктивных материалов.</w:t>
      </w:r>
    </w:p>
    <w:p w14:paraId="4D7B56A0" w14:textId="1F043E7A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>Помимо методических инструкций</w:t>
      </w:r>
      <w:r w:rsidR="00214A8F">
        <w:rPr>
          <w:color w:val="auto"/>
        </w:rPr>
        <w:t xml:space="preserve"> в части ГИС ГМП</w:t>
      </w:r>
      <w:r w:rsidRPr="00B94000">
        <w:rPr>
          <w:color w:val="auto"/>
        </w:rPr>
        <w:t xml:space="preserve">, на сайте Министерства финансов КБР размещается актуальный рейтинг, </w:t>
      </w:r>
      <w:r w:rsidRPr="00B94000">
        <w:rPr>
          <w:rFonts w:eastAsia="Trebuchet MS"/>
          <w:color w:val="auto"/>
        </w:rPr>
        <w:t>отражающий взаимодействие с ГИС ГМП органов исполнительной власти, органов местного самоуправления, государственных и муниципальных казенных учреждений КБР</w:t>
      </w:r>
      <w:r w:rsidRPr="00B94000">
        <w:rPr>
          <w:color w:val="auto"/>
        </w:rPr>
        <w:t>, для обеспечения оперативного доступа и повышения осведомленности всех заинтересованных лиц.</w:t>
      </w:r>
    </w:p>
    <w:p w14:paraId="0FB70AC6" w14:textId="77777777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 xml:space="preserve">Так, в разы выросло количество квитанций, формируемых участниками для выгрузки в ГИС ГМП. В 2023 году количество квитанций составляло 36 165, а за 2024 год в ГИС ГМП было выгружено 275 288. </w:t>
      </w:r>
    </w:p>
    <w:p w14:paraId="7C250ED0" w14:textId="77777777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>В 2024 году Кабардино-Балкарская Республика впервые вошла в так называемую «зеленую зону» рейтинга взаимодействия с ГИС ГМП.</w:t>
      </w:r>
    </w:p>
    <w:p w14:paraId="34B64D4E" w14:textId="397414F2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 xml:space="preserve">На 1 января 2025 года Кабардино-Балкарская Республика заняла 31 место среди субъектов РФ, рейтинг взаимодействия с ГИС ГМП составил 91,33%. </w:t>
      </w:r>
    </w:p>
    <w:p w14:paraId="50C07A08" w14:textId="77777777" w:rsidR="00B94000" w:rsidRPr="00B94000" w:rsidRDefault="00B94000" w:rsidP="00B94000">
      <w:pPr>
        <w:spacing w:line="276" w:lineRule="auto"/>
        <w:rPr>
          <w:color w:val="auto"/>
        </w:rPr>
      </w:pPr>
      <w:r w:rsidRPr="00B94000">
        <w:rPr>
          <w:color w:val="auto"/>
        </w:rPr>
        <w:t xml:space="preserve">Для сравнения в январе 2024 года КБР находилась на 83 месте с рейтингом 5,52%.                                                                                                                                                                       </w:t>
      </w:r>
    </w:p>
    <w:p w14:paraId="031676CD" w14:textId="77777777" w:rsidR="00B94000" w:rsidRPr="00B94000" w:rsidRDefault="00B94000" w:rsidP="00B94000">
      <w:pPr>
        <w:spacing w:line="276" w:lineRule="auto"/>
        <w:rPr>
          <w:rFonts w:eastAsia="Trebuchet MS"/>
          <w:color w:val="auto"/>
        </w:rPr>
      </w:pPr>
      <w:r w:rsidRPr="00B94000">
        <w:rPr>
          <w:rFonts w:eastAsia="Trebuchet MS"/>
          <w:color w:val="auto"/>
        </w:rPr>
        <w:t>В 2025 году будет продолжена работа по повышению рейтинга.</w:t>
      </w:r>
    </w:p>
    <w:p w14:paraId="0FD84D8C" w14:textId="4C198F2D" w:rsidR="00B94000" w:rsidRDefault="00301C07" w:rsidP="00B94000">
      <w:pPr>
        <w:spacing w:line="276" w:lineRule="auto"/>
        <w:rPr>
          <w:rFonts w:eastAsia="Trebuchet MS"/>
          <w:color w:val="auto"/>
        </w:rPr>
      </w:pPr>
      <w:r>
        <w:rPr>
          <w:rFonts w:eastAsia="Trebuchet MS"/>
          <w:color w:val="auto"/>
        </w:rPr>
        <w:t>П</w:t>
      </w:r>
      <w:r w:rsidR="00B94000" w:rsidRPr="00B94000">
        <w:rPr>
          <w:rFonts w:eastAsia="Trebuchet MS"/>
          <w:color w:val="auto"/>
        </w:rPr>
        <w:t>ланируется</w:t>
      </w:r>
      <w:r>
        <w:rPr>
          <w:rFonts w:eastAsia="Trebuchet MS"/>
          <w:color w:val="auto"/>
        </w:rPr>
        <w:t xml:space="preserve"> также</w:t>
      </w:r>
      <w:r w:rsidR="00B94000" w:rsidRPr="00B94000">
        <w:rPr>
          <w:rFonts w:eastAsia="Trebuchet MS"/>
          <w:color w:val="auto"/>
        </w:rPr>
        <w:t xml:space="preserve"> осуществить поэтапную регистрацию в ГИС ГМП бюджетных и автономных учреждений в качестве косвенных участников. </w:t>
      </w:r>
    </w:p>
    <w:p w14:paraId="0B969F7F" w14:textId="77777777" w:rsidR="008D06E3" w:rsidRPr="00B94000" w:rsidRDefault="008D06E3" w:rsidP="00B94000">
      <w:pPr>
        <w:spacing w:line="276" w:lineRule="auto"/>
        <w:rPr>
          <w:rFonts w:eastAsia="Trebuchet MS"/>
          <w:color w:val="auto"/>
        </w:rPr>
      </w:pPr>
    </w:p>
    <w:p w14:paraId="1C109C00" w14:textId="290D1FDB" w:rsidR="000E43AF" w:rsidRPr="00E20D04" w:rsidRDefault="000E43AF" w:rsidP="000E43AF">
      <w:pPr>
        <w:rPr>
          <w:b/>
          <w:bCs/>
          <w:color w:val="auto"/>
        </w:rPr>
      </w:pPr>
      <w:r w:rsidRPr="00E20D04">
        <w:rPr>
          <w:b/>
          <w:bCs/>
          <w:color w:val="auto"/>
        </w:rPr>
        <w:t>Техническое сопровождение автоматизированных систем, используемых в Министерстве финансов КБР</w:t>
      </w:r>
      <w:r w:rsidR="004372CA">
        <w:rPr>
          <w:b/>
          <w:bCs/>
          <w:color w:val="auto"/>
        </w:rPr>
        <w:t>.</w:t>
      </w:r>
    </w:p>
    <w:p w14:paraId="443D6997" w14:textId="47DDA729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В Министерс</w:t>
      </w:r>
      <w:r w:rsidR="00AC3800" w:rsidRPr="00E20D04">
        <w:rPr>
          <w:color w:val="auto"/>
        </w:rPr>
        <w:t xml:space="preserve">тве финансов КБР используется </w:t>
      </w:r>
      <w:r w:rsidR="00AC3800" w:rsidRPr="00CF651C">
        <w:rPr>
          <w:color w:val="auto"/>
        </w:rPr>
        <w:t>24</w:t>
      </w:r>
      <w:r w:rsidR="00AA47BC">
        <w:rPr>
          <w:color w:val="auto"/>
        </w:rPr>
        <w:t xml:space="preserve"> </w:t>
      </w:r>
      <w:r w:rsidRPr="00E20D04">
        <w:rPr>
          <w:color w:val="auto"/>
        </w:rPr>
        <w:t xml:space="preserve">физических серверов, 43 виртуальных серверов. Производится работа по техническому сопровождению и обслуживанию (установка обновлений, настройка, резервное копирование, мониторинг и т.д.) следующих систем и программных обеспечений: </w:t>
      </w:r>
    </w:p>
    <w:p w14:paraId="0308AB8A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АЦК-Финансы</w:t>
      </w:r>
    </w:p>
    <w:p w14:paraId="7EA96CE6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Скиф БП</w:t>
      </w:r>
    </w:p>
    <w:p w14:paraId="44C3B45C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1С: «Бухгалтерия государственного учреждения»</w:t>
      </w:r>
    </w:p>
    <w:p w14:paraId="22EB011E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1С: «Зарплата и кадры государственного учреждения»</w:t>
      </w:r>
    </w:p>
    <w:p w14:paraId="2C96B19E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1С Свод</w:t>
      </w:r>
    </w:p>
    <w:p w14:paraId="2C28CC72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1С Больничная аптека</w:t>
      </w:r>
    </w:p>
    <w:p w14:paraId="34380748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 xml:space="preserve">1С </w:t>
      </w:r>
      <w:proofErr w:type="spellStart"/>
      <w:r w:rsidRPr="00E20D04">
        <w:rPr>
          <w:color w:val="auto"/>
        </w:rPr>
        <w:t>Фреш</w:t>
      </w:r>
      <w:proofErr w:type="spellEnd"/>
    </w:p>
    <w:p w14:paraId="647C3523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1С Реестр государственного имущества</w:t>
      </w:r>
    </w:p>
    <w:p w14:paraId="0C0F73B5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1С Аренда и управление недвижимостью</w:t>
      </w:r>
    </w:p>
    <w:p w14:paraId="47D6A11F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1С Бюджет муниципального образования</w:t>
      </w:r>
    </w:p>
    <w:p w14:paraId="0FF00F36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Подсистема исполнения контрактов</w:t>
      </w:r>
    </w:p>
    <w:p w14:paraId="07844225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Система управления обращениями</w:t>
      </w:r>
    </w:p>
    <w:p w14:paraId="77EA2967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 xml:space="preserve">СКУД (Система контроля и управления доступом) </w:t>
      </w:r>
    </w:p>
    <w:p w14:paraId="6D435BD0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Консультант плюс</w:t>
      </w:r>
    </w:p>
    <w:p w14:paraId="4C261D18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Дело</w:t>
      </w:r>
    </w:p>
    <w:p w14:paraId="6D36F629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Мониторинг налоговых доходов</w:t>
      </w:r>
    </w:p>
    <w:p w14:paraId="708E77EE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>•</w:t>
      </w:r>
      <w:r w:rsidRPr="00E20D04">
        <w:rPr>
          <w:color w:val="auto"/>
        </w:rPr>
        <w:tab/>
        <w:t>«</w:t>
      </w:r>
      <w:proofErr w:type="spellStart"/>
      <w:r w:rsidRPr="00E20D04">
        <w:rPr>
          <w:color w:val="auto"/>
        </w:rPr>
        <w:t>РуСофт</w:t>
      </w:r>
      <w:proofErr w:type="spellEnd"/>
      <w:r w:rsidRPr="00E20D04">
        <w:rPr>
          <w:color w:val="auto"/>
        </w:rPr>
        <w:t>- Перечень объектов недвижимого имущества для целей налогообложения. Налог».</w:t>
      </w:r>
    </w:p>
    <w:p w14:paraId="249BDB2D" w14:textId="77777777" w:rsidR="008E319F" w:rsidRPr="00E20D04" w:rsidRDefault="008E319F" w:rsidP="008E319F">
      <w:pPr>
        <w:spacing w:line="276" w:lineRule="auto"/>
        <w:rPr>
          <w:color w:val="auto"/>
        </w:rPr>
      </w:pPr>
      <w:r w:rsidRPr="00E20D04">
        <w:rPr>
          <w:color w:val="auto"/>
        </w:rPr>
        <w:t xml:space="preserve">Совместно с Управление делами Главы и Правительства КБР проведена работа по подключению к информационным ресурсам Министерства используя только российские IP-адреса. Создан «Белый список», содержащий дынные статистических и динамических IP-адресов в целях безопасного подключения. </w:t>
      </w:r>
    </w:p>
    <w:p w14:paraId="0A340E9D" w14:textId="2D783763" w:rsidR="008E319F" w:rsidRDefault="00AA47BC" w:rsidP="008E319F">
      <w:pPr>
        <w:spacing w:line="276" w:lineRule="auto"/>
        <w:rPr>
          <w:color w:val="auto"/>
        </w:rPr>
      </w:pPr>
      <w:r>
        <w:rPr>
          <w:color w:val="auto"/>
        </w:rPr>
        <w:t xml:space="preserve">Минфином КБР </w:t>
      </w:r>
      <w:r w:rsidR="008E319F" w:rsidRPr="00E20D04">
        <w:rPr>
          <w:color w:val="auto"/>
        </w:rPr>
        <w:t>в полном объеме осуществляет</w:t>
      </w:r>
      <w:r>
        <w:rPr>
          <w:color w:val="auto"/>
        </w:rPr>
        <w:t>ся</w:t>
      </w:r>
      <w:r w:rsidR="008E319F" w:rsidRPr="00E20D04">
        <w:rPr>
          <w:color w:val="auto"/>
        </w:rPr>
        <w:t xml:space="preserve"> администрирование ИС УОФ КБР. Осуществлен переход на следующий финансовый год. Установлено </w:t>
      </w:r>
      <w:r w:rsidR="00E20D04">
        <w:rPr>
          <w:color w:val="auto"/>
        </w:rPr>
        <w:t>8</w:t>
      </w:r>
      <w:r w:rsidR="008E319F" w:rsidRPr="00E20D04">
        <w:rPr>
          <w:color w:val="auto"/>
        </w:rPr>
        <w:t xml:space="preserve"> обновлений на ИС УОФ КБР, </w:t>
      </w:r>
      <w:r w:rsidR="00E20D04">
        <w:rPr>
          <w:color w:val="auto"/>
        </w:rPr>
        <w:t xml:space="preserve">1 обновление </w:t>
      </w:r>
      <w:r w:rsidR="008E319F" w:rsidRPr="00E20D04">
        <w:rPr>
          <w:color w:val="auto"/>
        </w:rPr>
        <w:t>АЦК-</w:t>
      </w:r>
      <w:proofErr w:type="spellStart"/>
      <w:r w:rsidR="008E319F" w:rsidRPr="00E20D04">
        <w:rPr>
          <w:color w:val="auto"/>
        </w:rPr>
        <w:t>Exchange</w:t>
      </w:r>
      <w:proofErr w:type="spellEnd"/>
      <w:r w:rsidR="008E319F" w:rsidRPr="00E20D04">
        <w:rPr>
          <w:color w:val="auto"/>
        </w:rPr>
        <w:t xml:space="preserve">. Развернуто </w:t>
      </w:r>
      <w:r w:rsidR="00E20D04">
        <w:rPr>
          <w:color w:val="auto"/>
        </w:rPr>
        <w:t>7</w:t>
      </w:r>
      <w:r w:rsidR="008E319F" w:rsidRPr="00E20D04">
        <w:rPr>
          <w:color w:val="auto"/>
        </w:rPr>
        <w:t xml:space="preserve"> стендов для тестирования обновления ИС УОФ КБР. Пролито более 1</w:t>
      </w:r>
      <w:r w:rsidR="00E20D04" w:rsidRPr="00E20D04">
        <w:rPr>
          <w:color w:val="auto"/>
        </w:rPr>
        <w:t>1</w:t>
      </w:r>
      <w:r w:rsidR="008E319F" w:rsidRPr="00E20D04">
        <w:rPr>
          <w:color w:val="auto"/>
        </w:rPr>
        <w:t xml:space="preserve">0 скриптов для исправления ошибок, очистки базы данных, корректировки информации. </w:t>
      </w:r>
    </w:p>
    <w:p w14:paraId="24078310" w14:textId="5771593A" w:rsidR="00030385" w:rsidRPr="00030385" w:rsidRDefault="00030385" w:rsidP="00C95889">
      <w:pPr>
        <w:ind w:firstLine="708"/>
        <w:rPr>
          <w:color w:val="auto"/>
        </w:rPr>
      </w:pPr>
      <w:r w:rsidRPr="00030385">
        <w:rPr>
          <w:color w:val="auto"/>
        </w:rPr>
        <w:t>Удале</w:t>
      </w:r>
      <w:r w:rsidR="00A73495">
        <w:rPr>
          <w:color w:val="auto"/>
        </w:rPr>
        <w:t>н</w:t>
      </w:r>
      <w:r w:rsidRPr="00030385">
        <w:rPr>
          <w:color w:val="auto"/>
        </w:rPr>
        <w:t xml:space="preserve">но проведена настройка к 358 пользователям для подключения к АЦК Финансам.    </w:t>
      </w:r>
    </w:p>
    <w:p w14:paraId="3C4E156D" w14:textId="77777777" w:rsidR="008E319F" w:rsidRPr="00585092" w:rsidRDefault="008E319F" w:rsidP="008E319F">
      <w:pPr>
        <w:spacing w:line="276" w:lineRule="auto"/>
        <w:rPr>
          <w:color w:val="auto"/>
        </w:rPr>
      </w:pPr>
      <w:r w:rsidRPr="00585092">
        <w:rPr>
          <w:color w:val="auto"/>
        </w:rPr>
        <w:t xml:space="preserve">Установлено </w:t>
      </w:r>
      <w:r w:rsidR="00585092" w:rsidRPr="00585092">
        <w:rPr>
          <w:color w:val="auto"/>
        </w:rPr>
        <w:t>15</w:t>
      </w:r>
      <w:r w:rsidRPr="00585092">
        <w:rPr>
          <w:color w:val="auto"/>
        </w:rPr>
        <w:t xml:space="preserve"> обновлений подсистемы 1С: Аренда.</w:t>
      </w:r>
    </w:p>
    <w:p w14:paraId="1A98BD08" w14:textId="3D2A14AE" w:rsidR="00B57542" w:rsidRPr="00585092" w:rsidRDefault="00B57542" w:rsidP="001851BE">
      <w:pPr>
        <w:spacing w:line="276" w:lineRule="auto"/>
        <w:rPr>
          <w:color w:val="auto"/>
        </w:rPr>
      </w:pPr>
      <w:r w:rsidRPr="00585092">
        <w:rPr>
          <w:color w:val="auto"/>
        </w:rPr>
        <w:t>Установлено 12 обновлени</w:t>
      </w:r>
      <w:r w:rsidR="00A73495">
        <w:rPr>
          <w:color w:val="auto"/>
        </w:rPr>
        <w:t>й</w:t>
      </w:r>
      <w:r w:rsidRPr="00585092">
        <w:rPr>
          <w:color w:val="auto"/>
        </w:rPr>
        <w:t xml:space="preserve"> на 1С БГУ и 1С ЗКГУ</w:t>
      </w:r>
      <w:r w:rsidR="00300294">
        <w:rPr>
          <w:color w:val="auto"/>
        </w:rPr>
        <w:t>, установлено 34 патча исправления ошибок.</w:t>
      </w:r>
    </w:p>
    <w:p w14:paraId="7098ABDA" w14:textId="77777777" w:rsidR="001851BE" w:rsidRPr="00585092" w:rsidRDefault="001851BE" w:rsidP="001851BE">
      <w:pPr>
        <w:spacing w:line="276" w:lineRule="auto"/>
        <w:rPr>
          <w:color w:val="auto"/>
        </w:rPr>
      </w:pPr>
      <w:r w:rsidRPr="00585092">
        <w:rPr>
          <w:color w:val="auto"/>
        </w:rPr>
        <w:t>Произведено обновление платформы 1С ИС УОФ КБР.</w:t>
      </w:r>
    </w:p>
    <w:p w14:paraId="2C05C322" w14:textId="164596B2" w:rsidR="008E319F" w:rsidRPr="00CC7CE6" w:rsidRDefault="008E319F" w:rsidP="008E319F">
      <w:pPr>
        <w:spacing w:line="276" w:lineRule="auto"/>
        <w:rPr>
          <w:color w:val="auto"/>
        </w:rPr>
      </w:pPr>
      <w:r w:rsidRPr="00CC7CE6">
        <w:rPr>
          <w:color w:val="auto"/>
        </w:rPr>
        <w:t xml:space="preserve">Создано </w:t>
      </w:r>
      <w:r w:rsidR="00657C0C" w:rsidRPr="00CC7CE6">
        <w:rPr>
          <w:color w:val="auto"/>
        </w:rPr>
        <w:t xml:space="preserve">12 </w:t>
      </w:r>
      <w:r w:rsidRPr="00CC7CE6">
        <w:rPr>
          <w:color w:val="auto"/>
        </w:rPr>
        <w:t>элиминирующих организаци</w:t>
      </w:r>
      <w:r w:rsidR="00A73495">
        <w:rPr>
          <w:color w:val="auto"/>
        </w:rPr>
        <w:t>й</w:t>
      </w:r>
      <w:r w:rsidRPr="00CC7CE6">
        <w:rPr>
          <w:color w:val="auto"/>
        </w:rPr>
        <w:t xml:space="preserve">, </w:t>
      </w:r>
      <w:r w:rsidR="00657C0C" w:rsidRPr="00CC7CE6">
        <w:rPr>
          <w:color w:val="auto"/>
        </w:rPr>
        <w:t xml:space="preserve">12 </w:t>
      </w:r>
      <w:r w:rsidRPr="00CC7CE6">
        <w:rPr>
          <w:color w:val="auto"/>
        </w:rPr>
        <w:t>организационных единиц в периметре консолидации подсистемы 1С: Свод.</w:t>
      </w:r>
    </w:p>
    <w:p w14:paraId="741BA96B" w14:textId="77777777" w:rsidR="008E319F" w:rsidRPr="00300294" w:rsidRDefault="008E319F" w:rsidP="008E319F">
      <w:pPr>
        <w:spacing w:line="276" w:lineRule="auto"/>
        <w:rPr>
          <w:color w:val="auto"/>
        </w:rPr>
      </w:pPr>
      <w:r w:rsidRPr="00300294">
        <w:rPr>
          <w:color w:val="auto"/>
        </w:rPr>
        <w:t xml:space="preserve">Подвязано </w:t>
      </w:r>
      <w:r w:rsidR="00657C0C" w:rsidRPr="00300294">
        <w:rPr>
          <w:color w:val="auto"/>
        </w:rPr>
        <w:t>86 сертификатов</w:t>
      </w:r>
      <w:r w:rsidRPr="00300294">
        <w:rPr>
          <w:color w:val="auto"/>
        </w:rPr>
        <w:t xml:space="preserve"> для пользователей в подсистеме Свод отчетов. </w:t>
      </w:r>
    </w:p>
    <w:p w14:paraId="643F654E" w14:textId="270425D6" w:rsidR="008E319F" w:rsidRPr="00300294" w:rsidRDefault="008E319F" w:rsidP="008E319F">
      <w:pPr>
        <w:spacing w:line="276" w:lineRule="auto"/>
        <w:rPr>
          <w:color w:val="auto"/>
        </w:rPr>
      </w:pPr>
      <w:r w:rsidRPr="00300294">
        <w:rPr>
          <w:color w:val="auto"/>
        </w:rPr>
        <w:t xml:space="preserve">Создано </w:t>
      </w:r>
      <w:r w:rsidR="00657C0C" w:rsidRPr="00300294">
        <w:rPr>
          <w:color w:val="auto"/>
        </w:rPr>
        <w:t>25</w:t>
      </w:r>
      <w:r w:rsidRPr="00300294">
        <w:rPr>
          <w:color w:val="auto"/>
        </w:rPr>
        <w:t xml:space="preserve"> учетных записей для пользователей в подсистемах Свод отчетов и Сегменте управления обращениями.</w:t>
      </w:r>
    </w:p>
    <w:p w14:paraId="6F1E4FDA" w14:textId="4AE310D0" w:rsidR="008E319F" w:rsidRDefault="008E319F" w:rsidP="008E319F">
      <w:pPr>
        <w:spacing w:line="276" w:lineRule="auto"/>
        <w:rPr>
          <w:color w:val="auto"/>
        </w:rPr>
      </w:pPr>
      <w:r w:rsidRPr="00300294">
        <w:rPr>
          <w:color w:val="auto"/>
        </w:rPr>
        <w:t xml:space="preserve">Заведено </w:t>
      </w:r>
      <w:r w:rsidR="00657C0C" w:rsidRPr="00300294">
        <w:rPr>
          <w:color w:val="auto"/>
        </w:rPr>
        <w:t>32</w:t>
      </w:r>
      <w:r w:rsidRPr="00300294">
        <w:rPr>
          <w:color w:val="auto"/>
        </w:rPr>
        <w:t xml:space="preserve"> баз</w:t>
      </w:r>
      <w:r w:rsidR="00A73495">
        <w:rPr>
          <w:color w:val="auto"/>
        </w:rPr>
        <w:t>ы</w:t>
      </w:r>
      <w:r w:rsidRPr="00300294">
        <w:rPr>
          <w:color w:val="auto"/>
        </w:rPr>
        <w:t xml:space="preserve"> в подсистемах Учет и отчетность и Управление оплатой труда.</w:t>
      </w:r>
    </w:p>
    <w:p w14:paraId="78EA5B53" w14:textId="70D7C049" w:rsidR="008E319F" w:rsidRPr="00300294" w:rsidRDefault="008E319F" w:rsidP="008E319F">
      <w:pPr>
        <w:spacing w:line="276" w:lineRule="auto"/>
        <w:rPr>
          <w:color w:val="auto"/>
        </w:rPr>
      </w:pPr>
      <w:r w:rsidRPr="00300294">
        <w:rPr>
          <w:color w:val="auto"/>
        </w:rPr>
        <w:t>Сотрудниками отдела информационных технологий рассмотрено</w:t>
      </w:r>
      <w:r w:rsidR="00F01978">
        <w:rPr>
          <w:color w:val="auto"/>
        </w:rPr>
        <w:t xml:space="preserve"> </w:t>
      </w:r>
      <w:r w:rsidR="005A01BF" w:rsidRPr="00300294">
        <w:rPr>
          <w:color w:val="auto"/>
        </w:rPr>
        <w:t>1175</w:t>
      </w:r>
      <w:r w:rsidRPr="00300294">
        <w:rPr>
          <w:color w:val="auto"/>
        </w:rPr>
        <w:t xml:space="preserve"> обращений в подсистеме 1С: Сегмент управления обращениями.</w:t>
      </w:r>
    </w:p>
    <w:p w14:paraId="51BE662E" w14:textId="77777777" w:rsidR="008E319F" w:rsidRPr="00300294" w:rsidRDefault="008E319F" w:rsidP="008E319F">
      <w:pPr>
        <w:spacing w:line="276" w:lineRule="auto"/>
        <w:rPr>
          <w:color w:val="auto"/>
        </w:rPr>
      </w:pPr>
      <w:r w:rsidRPr="00860D45">
        <w:rPr>
          <w:color w:val="auto"/>
        </w:rPr>
        <w:t xml:space="preserve">В соответствии с регламентом информационного наполнения сайта Министерства финансов КБР на едином портале, отделом размещено </w:t>
      </w:r>
      <w:r w:rsidR="00860D45">
        <w:rPr>
          <w:color w:val="auto"/>
        </w:rPr>
        <w:t>123</w:t>
      </w:r>
      <w:r w:rsidRPr="00860D45">
        <w:rPr>
          <w:color w:val="auto"/>
        </w:rPr>
        <w:t xml:space="preserve"> публикаций по основной деятельности Министерства. </w:t>
      </w:r>
      <w:r w:rsidRPr="00300294">
        <w:rPr>
          <w:color w:val="auto"/>
        </w:rPr>
        <w:t xml:space="preserve">Так же </w:t>
      </w:r>
      <w:r w:rsidR="00300294" w:rsidRPr="00300294">
        <w:rPr>
          <w:color w:val="auto"/>
        </w:rPr>
        <w:t>160</w:t>
      </w:r>
      <w:r w:rsidRPr="00300294">
        <w:rPr>
          <w:color w:val="auto"/>
        </w:rPr>
        <w:t xml:space="preserve"> публикаций в новостной ленте. </w:t>
      </w:r>
      <w:r w:rsidR="00300294" w:rsidRPr="00300294">
        <w:rPr>
          <w:color w:val="auto"/>
        </w:rPr>
        <w:t xml:space="preserve">В социальной сети Министерства </w:t>
      </w:r>
      <w:proofErr w:type="spellStart"/>
      <w:r w:rsidR="00300294" w:rsidRPr="00300294">
        <w:rPr>
          <w:color w:val="auto"/>
        </w:rPr>
        <w:t>ВКонтакте</w:t>
      </w:r>
      <w:proofErr w:type="spellEnd"/>
      <w:r w:rsidR="00300294" w:rsidRPr="00300294">
        <w:rPr>
          <w:color w:val="auto"/>
        </w:rPr>
        <w:t xml:space="preserve"> </w:t>
      </w:r>
      <w:r w:rsidRPr="00300294">
        <w:rPr>
          <w:color w:val="auto"/>
        </w:rPr>
        <w:t xml:space="preserve">опубликовано </w:t>
      </w:r>
      <w:r w:rsidR="00300294" w:rsidRPr="00300294">
        <w:rPr>
          <w:color w:val="auto"/>
        </w:rPr>
        <w:t>160 новостных постов.</w:t>
      </w:r>
    </w:p>
    <w:p w14:paraId="1062C343" w14:textId="77777777" w:rsidR="008E319F" w:rsidRPr="008B0068" w:rsidRDefault="008E319F" w:rsidP="008E319F">
      <w:pPr>
        <w:spacing w:line="276" w:lineRule="auto"/>
        <w:rPr>
          <w:color w:val="auto"/>
        </w:rPr>
      </w:pPr>
      <w:r w:rsidRPr="008B0068">
        <w:rPr>
          <w:color w:val="auto"/>
        </w:rPr>
        <w:t>За отчетный период были проведены технически</w:t>
      </w:r>
      <w:r w:rsidR="008B0068" w:rsidRPr="008B0068">
        <w:rPr>
          <w:color w:val="auto"/>
        </w:rPr>
        <w:t>е</w:t>
      </w:r>
      <w:r w:rsidRPr="008B0068">
        <w:rPr>
          <w:color w:val="auto"/>
        </w:rPr>
        <w:t xml:space="preserve"> и организационные работы:</w:t>
      </w:r>
    </w:p>
    <w:p w14:paraId="37E99EEF" w14:textId="761A07F4" w:rsidR="008E319F" w:rsidRPr="008B0068" w:rsidRDefault="008E319F" w:rsidP="008E319F">
      <w:pPr>
        <w:spacing w:line="276" w:lineRule="auto"/>
        <w:rPr>
          <w:color w:val="auto"/>
        </w:rPr>
      </w:pPr>
      <w:r w:rsidRPr="008B0068">
        <w:rPr>
          <w:color w:val="auto"/>
        </w:rPr>
        <w:t xml:space="preserve"> -</w:t>
      </w:r>
      <w:r w:rsidR="00A73495">
        <w:rPr>
          <w:color w:val="auto"/>
        </w:rPr>
        <w:t xml:space="preserve"> </w:t>
      </w:r>
      <w:r w:rsidRPr="008B0068">
        <w:rPr>
          <w:color w:val="auto"/>
        </w:rPr>
        <w:t xml:space="preserve">дополнительные настройки по обеспечению информационной безопасности антивируса Касперского на </w:t>
      </w:r>
      <w:r w:rsidR="008B0068" w:rsidRPr="008B0068">
        <w:rPr>
          <w:color w:val="auto"/>
        </w:rPr>
        <w:t>90</w:t>
      </w:r>
      <w:r w:rsidRPr="008B0068">
        <w:rPr>
          <w:color w:val="auto"/>
        </w:rPr>
        <w:t xml:space="preserve"> рабочих станциях;</w:t>
      </w:r>
    </w:p>
    <w:p w14:paraId="1882F624" w14:textId="4B1DA735" w:rsidR="008E319F" w:rsidRPr="008B0068" w:rsidRDefault="008E319F" w:rsidP="008E319F">
      <w:pPr>
        <w:spacing w:line="276" w:lineRule="auto"/>
        <w:rPr>
          <w:color w:val="auto"/>
        </w:rPr>
      </w:pPr>
      <w:r w:rsidRPr="008B0068">
        <w:rPr>
          <w:color w:val="auto"/>
        </w:rPr>
        <w:t>-</w:t>
      </w:r>
      <w:r w:rsidR="00A73495">
        <w:rPr>
          <w:color w:val="auto"/>
        </w:rPr>
        <w:t xml:space="preserve"> </w:t>
      </w:r>
      <w:r w:rsidRPr="008B0068">
        <w:rPr>
          <w:color w:val="auto"/>
        </w:rPr>
        <w:t xml:space="preserve">замена системных блоков с установкой операционной системы, установкой и настройкой прикладных программ – </w:t>
      </w:r>
      <w:r w:rsidR="00B57542" w:rsidRPr="008B0068">
        <w:rPr>
          <w:color w:val="auto"/>
        </w:rPr>
        <w:t xml:space="preserve">10 </w:t>
      </w:r>
      <w:proofErr w:type="spellStart"/>
      <w:r w:rsidRPr="008B0068">
        <w:rPr>
          <w:color w:val="auto"/>
        </w:rPr>
        <w:t>шт</w:t>
      </w:r>
      <w:proofErr w:type="spellEnd"/>
      <w:r w:rsidRPr="008B0068">
        <w:rPr>
          <w:color w:val="auto"/>
        </w:rPr>
        <w:t>;</w:t>
      </w:r>
    </w:p>
    <w:p w14:paraId="73298935" w14:textId="13A170F8" w:rsidR="00B57542" w:rsidRPr="008B0068" w:rsidRDefault="00B57542" w:rsidP="008E319F">
      <w:pPr>
        <w:spacing w:line="276" w:lineRule="auto"/>
        <w:rPr>
          <w:color w:val="auto"/>
        </w:rPr>
      </w:pPr>
      <w:r w:rsidRPr="008B0068">
        <w:rPr>
          <w:color w:val="auto"/>
        </w:rPr>
        <w:t>-</w:t>
      </w:r>
      <w:r w:rsidR="00A73495">
        <w:rPr>
          <w:color w:val="auto"/>
        </w:rPr>
        <w:t xml:space="preserve"> </w:t>
      </w:r>
      <w:r w:rsidRPr="008B0068">
        <w:rPr>
          <w:color w:val="auto"/>
        </w:rPr>
        <w:t xml:space="preserve">ремонт и переустановка операционной системы на 12 рабочих станциях; </w:t>
      </w:r>
    </w:p>
    <w:p w14:paraId="1B81B70F" w14:textId="4C677094" w:rsidR="008E319F" w:rsidRPr="008B0068" w:rsidRDefault="008E319F" w:rsidP="008E319F">
      <w:pPr>
        <w:spacing w:line="276" w:lineRule="auto"/>
        <w:rPr>
          <w:color w:val="auto"/>
        </w:rPr>
      </w:pPr>
      <w:r w:rsidRPr="008B0068">
        <w:rPr>
          <w:color w:val="auto"/>
        </w:rPr>
        <w:t>-</w:t>
      </w:r>
      <w:r w:rsidR="00A73495">
        <w:rPr>
          <w:color w:val="auto"/>
        </w:rPr>
        <w:t xml:space="preserve"> </w:t>
      </w:r>
      <w:r w:rsidRPr="008B0068">
        <w:rPr>
          <w:color w:val="auto"/>
        </w:rPr>
        <w:t xml:space="preserve">настройка и подключение сетевых принтеров – </w:t>
      </w:r>
      <w:r w:rsidR="00B57542" w:rsidRPr="008B0068">
        <w:rPr>
          <w:color w:val="auto"/>
        </w:rPr>
        <w:t xml:space="preserve">2 </w:t>
      </w:r>
      <w:r w:rsidRPr="008B0068">
        <w:rPr>
          <w:color w:val="auto"/>
        </w:rPr>
        <w:t xml:space="preserve">шт. </w:t>
      </w:r>
    </w:p>
    <w:p w14:paraId="5A587737" w14:textId="77777777" w:rsidR="008E319F" w:rsidRPr="008B0068" w:rsidRDefault="008E319F" w:rsidP="008E319F">
      <w:pPr>
        <w:spacing w:line="276" w:lineRule="auto"/>
        <w:rPr>
          <w:color w:val="auto"/>
        </w:rPr>
      </w:pPr>
      <w:r w:rsidRPr="008B0068">
        <w:rPr>
          <w:color w:val="auto"/>
        </w:rPr>
        <w:t xml:space="preserve">Обеспечивается администрирование и техническое обслуживание ресурсов ЛВС Министерства финансов Кабардино-Балкарской Республики, консультационная и техническая поддержка пользователей сотрудников Министерства. </w:t>
      </w:r>
    </w:p>
    <w:p w14:paraId="0EE25EBD" w14:textId="77777777" w:rsidR="008E319F" w:rsidRPr="00C95889" w:rsidRDefault="008E319F" w:rsidP="008E319F">
      <w:pPr>
        <w:spacing w:line="276" w:lineRule="auto"/>
        <w:rPr>
          <w:color w:val="auto"/>
        </w:rPr>
      </w:pPr>
      <w:r w:rsidRPr="00C95889">
        <w:rPr>
          <w:color w:val="auto"/>
        </w:rPr>
        <w:t>Производится администрирование 1С СВОД (консолидация ежемесячной, квартальной, годовой отчетности): регистрация пользователей и настройка прав доступа. Производится обновление комплектов отчетности и форматов выгрузки, справочников бюджетной классификации, обеспечение интеграции с 1С БГУ.</w:t>
      </w:r>
    </w:p>
    <w:p w14:paraId="1D591F67" w14:textId="6316762A" w:rsidR="00725A75" w:rsidRPr="006D25F9" w:rsidRDefault="008E319F" w:rsidP="008E319F">
      <w:pPr>
        <w:spacing w:line="276" w:lineRule="auto"/>
        <w:rPr>
          <w:color w:val="auto"/>
        </w:rPr>
      </w:pPr>
      <w:r w:rsidRPr="006D25F9">
        <w:rPr>
          <w:color w:val="auto"/>
        </w:rPr>
        <w:t xml:space="preserve">Министерством финансов КБР введен в эксплуатацию универсальный коммуникационный сервис для </w:t>
      </w:r>
      <w:r w:rsidR="00A73495" w:rsidRPr="006D25F9">
        <w:rPr>
          <w:color w:val="auto"/>
        </w:rPr>
        <w:t>госслужащего</w:t>
      </w:r>
      <w:r w:rsidRPr="006D25F9">
        <w:rPr>
          <w:color w:val="auto"/>
        </w:rPr>
        <w:t>, защищенное облачное решение</w:t>
      </w:r>
      <w:r w:rsidR="006D25F9" w:rsidRPr="006D25F9">
        <w:rPr>
          <w:color w:val="auto"/>
        </w:rPr>
        <w:t xml:space="preserve"> «Среда»</w:t>
      </w:r>
      <w:r w:rsidRPr="006D25F9">
        <w:rPr>
          <w:color w:val="auto"/>
        </w:rPr>
        <w:t>. Подключено к сервису 76 пользователей</w:t>
      </w:r>
      <w:r w:rsidR="005A01BF" w:rsidRPr="006D25F9">
        <w:rPr>
          <w:color w:val="auto"/>
        </w:rPr>
        <w:t xml:space="preserve">, также настроена </w:t>
      </w:r>
      <w:r w:rsidR="006D25F9" w:rsidRPr="006D25F9">
        <w:rPr>
          <w:color w:val="auto"/>
        </w:rPr>
        <w:t>структура организации по отделам</w:t>
      </w:r>
      <w:r w:rsidRPr="006D25F9">
        <w:rPr>
          <w:color w:val="auto"/>
        </w:rPr>
        <w:t>.</w:t>
      </w:r>
      <w:r w:rsidR="006D25F9" w:rsidRPr="006D25F9">
        <w:rPr>
          <w:color w:val="auto"/>
        </w:rPr>
        <w:t xml:space="preserve"> </w:t>
      </w:r>
    </w:p>
    <w:p w14:paraId="7F16625E" w14:textId="77777777" w:rsidR="005A01BF" w:rsidRPr="00C95889" w:rsidRDefault="005A01BF" w:rsidP="008E319F">
      <w:pPr>
        <w:spacing w:line="276" w:lineRule="auto"/>
        <w:rPr>
          <w:color w:val="auto"/>
          <w:lang w:eastAsia="ru-RU"/>
        </w:rPr>
      </w:pPr>
      <w:r w:rsidRPr="00C95889">
        <w:rPr>
          <w:color w:val="auto"/>
          <w:lang w:eastAsia="ru-RU"/>
        </w:rPr>
        <w:t xml:space="preserve">Организовано подключение социально значимых организаций к информационным системам Минфина КБР через ЕСПД в рамках государственного контракта </w:t>
      </w:r>
      <w:proofErr w:type="spellStart"/>
      <w:r w:rsidRPr="00C95889">
        <w:rPr>
          <w:color w:val="auto"/>
          <w:lang w:eastAsia="ru-RU"/>
        </w:rPr>
        <w:t>Минцифры</w:t>
      </w:r>
      <w:proofErr w:type="spellEnd"/>
      <w:r w:rsidRPr="00C95889">
        <w:rPr>
          <w:color w:val="auto"/>
          <w:lang w:eastAsia="ru-RU"/>
        </w:rPr>
        <w:t xml:space="preserve"> РФ и ПАО «Ростелеком».</w:t>
      </w:r>
    </w:p>
    <w:p w14:paraId="18C8B9F2" w14:textId="77777777" w:rsidR="005A01BF" w:rsidRPr="00C95889" w:rsidRDefault="005A01BF" w:rsidP="005A01BF">
      <w:pPr>
        <w:ind w:firstLine="708"/>
        <w:rPr>
          <w:color w:val="auto"/>
        </w:rPr>
      </w:pPr>
      <w:r w:rsidRPr="00C95889">
        <w:rPr>
          <w:color w:val="auto"/>
        </w:rPr>
        <w:t>Проведена работа по настройке уведомлений о получении отчетности в подсистеме 1С: Свод для всех ветвей периметра консолидации.</w:t>
      </w:r>
    </w:p>
    <w:p w14:paraId="67922DE3" w14:textId="0DEE4145" w:rsidR="00B57542" w:rsidRPr="00C95889" w:rsidRDefault="00C95889" w:rsidP="005A01BF">
      <w:pPr>
        <w:ind w:firstLine="708"/>
        <w:rPr>
          <w:color w:val="auto"/>
        </w:rPr>
      </w:pPr>
      <w:r>
        <w:rPr>
          <w:color w:val="auto"/>
        </w:rPr>
        <w:t>У</w:t>
      </w:r>
      <w:r w:rsidRPr="00C95889">
        <w:rPr>
          <w:color w:val="auto"/>
        </w:rPr>
        <w:t xml:space="preserve">даленное </w:t>
      </w:r>
      <w:r>
        <w:rPr>
          <w:color w:val="auto"/>
        </w:rPr>
        <w:t>настроено</w:t>
      </w:r>
      <w:r w:rsidR="00A73495">
        <w:rPr>
          <w:color w:val="auto"/>
        </w:rPr>
        <w:t xml:space="preserve"> </w:t>
      </w:r>
      <w:r w:rsidR="00447BE5">
        <w:rPr>
          <w:color w:val="auto"/>
        </w:rPr>
        <w:t xml:space="preserve">50 рабочих мест </w:t>
      </w:r>
      <w:r w:rsidRPr="00C95889">
        <w:rPr>
          <w:color w:val="auto"/>
        </w:rPr>
        <w:t xml:space="preserve">пользователям </w:t>
      </w:r>
      <w:r>
        <w:rPr>
          <w:color w:val="auto"/>
        </w:rPr>
        <w:t>для</w:t>
      </w:r>
      <w:r w:rsidR="00997CA7">
        <w:rPr>
          <w:color w:val="auto"/>
        </w:rPr>
        <w:t xml:space="preserve"> </w:t>
      </w:r>
      <w:r w:rsidR="00B57542" w:rsidRPr="00C95889">
        <w:rPr>
          <w:color w:val="auto"/>
        </w:rPr>
        <w:t>подключени</w:t>
      </w:r>
      <w:r>
        <w:rPr>
          <w:color w:val="auto"/>
        </w:rPr>
        <w:t>я</w:t>
      </w:r>
      <w:r w:rsidR="00997CA7">
        <w:rPr>
          <w:color w:val="auto"/>
        </w:rPr>
        <w:t xml:space="preserve"> </w:t>
      </w:r>
      <w:r>
        <w:rPr>
          <w:color w:val="auto"/>
        </w:rPr>
        <w:t xml:space="preserve">к </w:t>
      </w:r>
      <w:r w:rsidR="00A73495">
        <w:rPr>
          <w:color w:val="auto"/>
        </w:rPr>
        <w:br/>
      </w:r>
      <w:r>
        <w:rPr>
          <w:color w:val="auto"/>
        </w:rPr>
        <w:t>1С ЗКГУ</w:t>
      </w:r>
      <w:r w:rsidR="00447BE5">
        <w:rPr>
          <w:color w:val="auto"/>
        </w:rPr>
        <w:t xml:space="preserve"> по средствам защищенного канала</w:t>
      </w:r>
      <w:r w:rsidR="00447BE5" w:rsidRPr="00C95889">
        <w:rPr>
          <w:color w:val="auto"/>
        </w:rPr>
        <w:t xml:space="preserve"> ТЛС</w:t>
      </w:r>
      <w:r w:rsidR="00447BE5">
        <w:rPr>
          <w:color w:val="auto"/>
        </w:rPr>
        <w:t xml:space="preserve"> "</w:t>
      </w:r>
      <w:r w:rsidR="00447BE5" w:rsidRPr="00C95889">
        <w:rPr>
          <w:color w:val="auto"/>
        </w:rPr>
        <w:t>Континент</w:t>
      </w:r>
      <w:r w:rsidR="00447BE5">
        <w:rPr>
          <w:color w:val="auto"/>
        </w:rPr>
        <w:t>".</w:t>
      </w:r>
    </w:p>
    <w:p w14:paraId="6DF74769" w14:textId="63E6AA16" w:rsidR="00B57542" w:rsidRPr="00BA3DBB" w:rsidRDefault="00B57542" w:rsidP="001851BE">
      <w:pPr>
        <w:spacing w:line="276" w:lineRule="auto"/>
        <w:rPr>
          <w:color w:val="auto"/>
        </w:rPr>
      </w:pPr>
      <w:r w:rsidRPr="00BA3DBB">
        <w:rPr>
          <w:color w:val="auto"/>
        </w:rPr>
        <w:t xml:space="preserve">Проведена работа по смене паролей пользователей для авторизации в </w:t>
      </w:r>
      <w:r w:rsidR="00CF651C">
        <w:rPr>
          <w:color w:val="auto"/>
        </w:rPr>
        <w:t>1С Свод</w:t>
      </w:r>
      <w:r w:rsidR="001851BE" w:rsidRPr="00BA3DBB">
        <w:rPr>
          <w:color w:val="auto"/>
        </w:rPr>
        <w:t>, также н</w:t>
      </w:r>
      <w:r w:rsidRPr="00BA3DBB">
        <w:rPr>
          <w:color w:val="auto"/>
        </w:rPr>
        <w:t xml:space="preserve">астроена автоматическая смена паролей каждые 30 дней для пользователей </w:t>
      </w:r>
      <w:r w:rsidR="00A73495">
        <w:rPr>
          <w:color w:val="auto"/>
        </w:rPr>
        <w:br/>
      </w:r>
      <w:r w:rsidRPr="00BA3DBB">
        <w:rPr>
          <w:color w:val="auto"/>
        </w:rPr>
        <w:t>ИС УОФ КБР.</w:t>
      </w:r>
    </w:p>
    <w:p w14:paraId="427B8134" w14:textId="77777777" w:rsidR="001851BE" w:rsidRPr="00BA3DBB" w:rsidRDefault="00FD047D" w:rsidP="001851BE">
      <w:pPr>
        <w:spacing w:line="276" w:lineRule="auto"/>
        <w:rPr>
          <w:color w:val="auto"/>
        </w:rPr>
      </w:pPr>
      <w:r>
        <w:rPr>
          <w:color w:val="auto"/>
        </w:rPr>
        <w:t>Настроена в</w:t>
      </w:r>
      <w:r w:rsidR="001851BE" w:rsidRPr="00BA3DBB">
        <w:rPr>
          <w:color w:val="auto"/>
        </w:rPr>
        <w:t>озможность заполнения, сбора, консолидации отчетности по сетям, ш</w:t>
      </w:r>
      <w:r w:rsidR="00983745">
        <w:rPr>
          <w:color w:val="auto"/>
        </w:rPr>
        <w:t>татам и контингентам в 1С Свод.</w:t>
      </w:r>
    </w:p>
    <w:p w14:paraId="17187DB0" w14:textId="77777777" w:rsidR="008E319F" w:rsidRPr="007F6CB8" w:rsidRDefault="008E319F" w:rsidP="008E319F">
      <w:pPr>
        <w:spacing w:line="276" w:lineRule="auto"/>
        <w:rPr>
          <w:color w:val="auto"/>
          <w:sz w:val="20"/>
          <w:szCs w:val="20"/>
        </w:rPr>
      </w:pPr>
    </w:p>
    <w:p w14:paraId="219A7B97" w14:textId="070A15B4" w:rsidR="00F811F4" w:rsidRPr="00774860" w:rsidRDefault="00F811F4" w:rsidP="00370B39">
      <w:pPr>
        <w:pStyle w:val="24"/>
        <w:spacing w:before="0" w:after="0"/>
        <w:ind w:left="431" w:hanging="431"/>
        <w:rPr>
          <w:color w:val="000000" w:themeColor="text1"/>
        </w:rPr>
      </w:pPr>
      <w:bookmarkStart w:id="115" w:name="_Toc131085642"/>
      <w:bookmarkStart w:id="116" w:name="_Toc162008799"/>
      <w:r w:rsidRPr="00370B39">
        <w:rPr>
          <w:color w:val="568D11" w:themeColor="accent3" w:themeShade="80"/>
        </w:rPr>
        <w:t>Деятельность Министерства финансов КБР</w:t>
      </w:r>
      <w:r w:rsidR="00997CA7">
        <w:rPr>
          <w:color w:val="568D11" w:themeColor="accent3" w:themeShade="80"/>
        </w:rPr>
        <w:t xml:space="preserve"> </w:t>
      </w:r>
      <w:r w:rsidRPr="00370B39">
        <w:rPr>
          <w:color w:val="568D11" w:themeColor="accent3" w:themeShade="80"/>
        </w:rPr>
        <w:t>по кассовому исполнению республиканского бюджета</w:t>
      </w:r>
      <w:bookmarkEnd w:id="115"/>
      <w:bookmarkEnd w:id="116"/>
      <w:r w:rsidR="00997CA7">
        <w:rPr>
          <w:color w:val="568D11" w:themeColor="accent3" w:themeShade="80"/>
        </w:rPr>
        <w:t xml:space="preserve"> </w:t>
      </w:r>
    </w:p>
    <w:p w14:paraId="3E84219A" w14:textId="77777777" w:rsidR="008C751C" w:rsidRPr="00D05E60" w:rsidRDefault="008C751C" w:rsidP="0082617E">
      <w:pPr>
        <w:pStyle w:val="24"/>
        <w:numPr>
          <w:ilvl w:val="0"/>
          <w:numId w:val="0"/>
        </w:numPr>
        <w:spacing w:before="0" w:after="0"/>
        <w:ind w:left="431"/>
        <w:jc w:val="both"/>
        <w:rPr>
          <w:color w:val="FF0000"/>
        </w:rPr>
      </w:pPr>
    </w:p>
    <w:p w14:paraId="6E09F14D" w14:textId="56683489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За 202</w:t>
      </w:r>
      <w:r w:rsidR="000755B0" w:rsidRPr="00310142">
        <w:rPr>
          <w:rFonts w:eastAsia="Calibri"/>
        </w:rPr>
        <w:t>4</w:t>
      </w:r>
      <w:r w:rsidRPr="00310142">
        <w:rPr>
          <w:rFonts w:eastAsia="Calibri"/>
        </w:rPr>
        <w:t xml:space="preserve"> год работа в части, касающейся кассового исполнения республиканского бюджета, проводилась по следующим направлениям:</w:t>
      </w:r>
    </w:p>
    <w:p w14:paraId="0E7B0772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предварительный финансовый контроль;</w:t>
      </w:r>
    </w:p>
    <w:p w14:paraId="20D94641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казначейское сопровождение государственных контрактов, договоров (соглашений);</w:t>
      </w:r>
    </w:p>
    <w:p w14:paraId="4A68FB09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списание заявок на оплату расходов.</w:t>
      </w:r>
    </w:p>
    <w:p w14:paraId="387376CA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Предварительный финансовый контроль проводится для совершения финансовых операций и имеет важное значение для предупреждения финансовых нарушений. Он предусматривает оценку финансовой обоснованности планируемых расходов для предотвращения неэкономного и неэффективного расходования средств, образования необоснованной кредиторской задолженности.</w:t>
      </w:r>
    </w:p>
    <w:p w14:paraId="40A0FA26" w14:textId="54978BE4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В соответствии с</w:t>
      </w:r>
      <w:r w:rsidR="007F6CB8">
        <w:rPr>
          <w:rFonts w:eastAsia="Calibri"/>
        </w:rPr>
        <w:t>о</w:t>
      </w:r>
      <w:r w:rsidRPr="00310142">
        <w:rPr>
          <w:rFonts w:eastAsia="Calibri"/>
        </w:rPr>
        <w:t xml:space="preserve"> статьей 219 Бюджетного кодекса Российской Федерации Министерство осуществляет:</w:t>
      </w:r>
    </w:p>
    <w:p w14:paraId="7AA96AAE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 xml:space="preserve">контроль за не превышением суммы по операции над лимитами бюджетных обязательств; </w:t>
      </w:r>
    </w:p>
    <w:p w14:paraId="506E7E1C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контроль за соответствием содержания операции коду бюджетной классификации РФ, указанному в платежном документе;</w:t>
      </w:r>
    </w:p>
    <w:p w14:paraId="39E8DD67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контроль за наличием документов, подтверждающих возникновение денежного обязательства, подлежащего оплате за счет средств бюджета;</w:t>
      </w:r>
    </w:p>
    <w:p w14:paraId="35827B1B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контроль за соответствием сведений по государственному контракту сведениям о данном государственном контракте, содержащемся в реестре контрактов, заключенных заказчиками предусмотренном законодательством РФ о контрактной системе в сфере закупок товаров, работ, услуг для обеспечения государственных и муниципальных нужд;</w:t>
      </w:r>
    </w:p>
    <w:p w14:paraId="69B9879C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 xml:space="preserve"> контроль за соответствием сведений документов об исполнении государственного контракта (договора) на закупку товаров, работ и услуг сведениям о государственном контракте, содержащемся в реестре контрактов, заключенных заказчиками предусмотренном законодательством РФ о контрактной системе в сфере закупок товаров, работ, услуг для обеспечения государственных и муниципальных нужд.</w:t>
      </w:r>
    </w:p>
    <w:p w14:paraId="0D944C7C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В соответствии с приказом Министерства о порядке санкционирования оплаты денежных обязательств получателей средств республиканского бюджета и администраторов источников финансирования дефицита республиканского бюджета производится разрешительная надпись после проверки документов, представленных в целях осуществления финансовых операций, на их наличие и (или) на соответствие указанной в них информации требованиям бюджетного законодательства РФ, Федеральному закону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актов, регулирующих бюджетные правоотношения.</w:t>
      </w:r>
    </w:p>
    <w:p w14:paraId="0D46D83D" w14:textId="558909D5" w:rsidR="004E7696" w:rsidRPr="00310142" w:rsidRDefault="004E7696" w:rsidP="004E7696">
      <w:pPr>
        <w:rPr>
          <w:rFonts w:eastAsia="Calibri"/>
        </w:rPr>
      </w:pPr>
      <w:r w:rsidRPr="00310142">
        <w:rPr>
          <w:rFonts w:eastAsia="Calibri"/>
        </w:rPr>
        <w:t>За 2024 год каждый сотрудник, осуществляющий предварительный контроль, курировал 16 организаций.</w:t>
      </w:r>
      <w:r w:rsidR="00997CA7" w:rsidRPr="00310142">
        <w:rPr>
          <w:rFonts w:eastAsia="Calibri"/>
        </w:rPr>
        <w:t xml:space="preserve"> </w:t>
      </w:r>
      <w:r w:rsidRPr="00310142">
        <w:rPr>
          <w:rFonts w:eastAsia="Calibri"/>
        </w:rPr>
        <w:t>Министерством проверено и обработано</w:t>
      </w:r>
      <w:r w:rsidR="00997CA7" w:rsidRPr="00310142">
        <w:rPr>
          <w:rFonts w:eastAsia="Calibri"/>
        </w:rPr>
        <w:t xml:space="preserve"> </w:t>
      </w:r>
      <w:r w:rsidRPr="00310142">
        <w:rPr>
          <w:rFonts w:eastAsia="Calibri"/>
        </w:rPr>
        <w:t>84,3</w:t>
      </w:r>
      <w:r w:rsidR="007F6CB8">
        <w:rPr>
          <w:rFonts w:eastAsia="Calibri"/>
        </w:rPr>
        <w:t xml:space="preserve"> </w:t>
      </w:r>
      <w:r w:rsidRPr="00310142">
        <w:rPr>
          <w:rFonts w:eastAsia="Calibri"/>
        </w:rPr>
        <w:t>тыс. бюджетных обязательств на сумму 100</w:t>
      </w:r>
      <w:r w:rsidR="00AF524E">
        <w:rPr>
          <w:rFonts w:eastAsia="Calibri"/>
        </w:rPr>
        <w:t> </w:t>
      </w:r>
      <w:r w:rsidRPr="00310142">
        <w:rPr>
          <w:rFonts w:eastAsia="Calibri"/>
        </w:rPr>
        <w:t>201</w:t>
      </w:r>
      <w:r w:rsidR="00AF524E" w:rsidRPr="00AF524E">
        <w:rPr>
          <w:rFonts w:eastAsia="Calibri"/>
        </w:rPr>
        <w:t xml:space="preserve"> </w:t>
      </w:r>
      <w:r w:rsidRPr="00310142">
        <w:rPr>
          <w:rFonts w:eastAsia="Calibri"/>
        </w:rPr>
        <w:t>002,5 тыс. рублей,</w:t>
      </w:r>
      <w:r w:rsidR="00997CA7" w:rsidRPr="00310142">
        <w:rPr>
          <w:rFonts w:eastAsia="Calibri"/>
        </w:rPr>
        <w:t xml:space="preserve"> </w:t>
      </w:r>
      <w:r w:rsidRPr="00310142">
        <w:rPr>
          <w:rFonts w:eastAsia="Calibri"/>
        </w:rPr>
        <w:t>в т.ч. отказано по причинам несоответствия нормативно правовым актам 19,5 тыс. обязательств на сумму 19 643 729,1 тыс. рублей.</w:t>
      </w:r>
      <w:r w:rsidR="00997CA7" w:rsidRPr="00310142">
        <w:rPr>
          <w:rFonts w:eastAsia="Calibri"/>
        </w:rPr>
        <w:t xml:space="preserve"> </w:t>
      </w:r>
      <w:r w:rsidRPr="00310142">
        <w:rPr>
          <w:rFonts w:eastAsia="Calibri"/>
        </w:rPr>
        <w:t>В том числе проверено 45,8 тыс. контрактов (договоров) на закупку товаров, работ и услу</w:t>
      </w:r>
      <w:r w:rsidR="00C314E4">
        <w:rPr>
          <w:rFonts w:eastAsia="Calibri"/>
        </w:rPr>
        <w:t>г</w:t>
      </w:r>
      <w:r w:rsidR="000C2C42">
        <w:rPr>
          <w:rFonts w:eastAsia="Calibri"/>
        </w:rPr>
        <w:t>.</w:t>
      </w:r>
      <w:r w:rsidR="007F6CB8">
        <w:rPr>
          <w:rFonts w:eastAsia="Calibri"/>
        </w:rPr>
        <w:t xml:space="preserve"> </w:t>
      </w:r>
    </w:p>
    <w:p w14:paraId="71E24F8F" w14:textId="77777777" w:rsidR="004E7696" w:rsidRPr="00310142" w:rsidRDefault="004E7696" w:rsidP="004E7696">
      <w:pPr>
        <w:rPr>
          <w:rFonts w:eastAsia="Calibri"/>
        </w:rPr>
      </w:pPr>
      <w:r w:rsidRPr="00310142">
        <w:rPr>
          <w:rFonts w:eastAsia="Calibri"/>
        </w:rPr>
        <w:t xml:space="preserve">Обработано: </w:t>
      </w:r>
    </w:p>
    <w:p w14:paraId="12131205" w14:textId="77777777" w:rsidR="004E7696" w:rsidRPr="00310142" w:rsidRDefault="004E7696" w:rsidP="004E7696">
      <w:pPr>
        <w:rPr>
          <w:rFonts w:eastAsia="Calibri"/>
        </w:rPr>
      </w:pPr>
      <w:r w:rsidRPr="00310142">
        <w:rPr>
          <w:rFonts w:eastAsia="Calibri"/>
        </w:rPr>
        <w:t>расшифровок обращений взысканий – 121 единица, на сумму 55 160,2 тыс. руб.</w:t>
      </w:r>
    </w:p>
    <w:p w14:paraId="00A7010B" w14:textId="77777777" w:rsidR="004E7696" w:rsidRPr="00310142" w:rsidRDefault="004E7696" w:rsidP="004E7696">
      <w:pPr>
        <w:rPr>
          <w:rFonts w:eastAsia="Calibri"/>
        </w:rPr>
      </w:pPr>
      <w:r w:rsidRPr="00310142">
        <w:rPr>
          <w:rFonts w:eastAsia="Calibri"/>
        </w:rPr>
        <w:t>более 220,7 тыс. единиц фактов поставок (накладные и счета – фактуры).</w:t>
      </w:r>
    </w:p>
    <w:p w14:paraId="21DFB174" w14:textId="44979FD5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Тремя сотрудниками Министерства в 202</w:t>
      </w:r>
      <w:r w:rsidR="00E25030" w:rsidRPr="00310142">
        <w:rPr>
          <w:rFonts w:eastAsia="Calibri"/>
        </w:rPr>
        <w:t>4</w:t>
      </w:r>
      <w:r w:rsidRPr="00310142">
        <w:rPr>
          <w:rFonts w:eastAsia="Calibri"/>
        </w:rPr>
        <w:t xml:space="preserve"> году произведено списание 2</w:t>
      </w:r>
      <w:r w:rsidR="00B16032" w:rsidRPr="00310142">
        <w:rPr>
          <w:rFonts w:eastAsia="Calibri"/>
        </w:rPr>
        <w:t>80</w:t>
      </w:r>
      <w:r w:rsidRPr="00310142">
        <w:rPr>
          <w:rFonts w:eastAsia="Calibri"/>
        </w:rPr>
        <w:t>,</w:t>
      </w:r>
      <w:r w:rsidR="00B16032" w:rsidRPr="00310142">
        <w:rPr>
          <w:rFonts w:eastAsia="Calibri"/>
        </w:rPr>
        <w:t>2</w:t>
      </w:r>
      <w:r w:rsidRPr="00310142">
        <w:rPr>
          <w:rFonts w:eastAsia="Calibri"/>
        </w:rPr>
        <w:t xml:space="preserve"> тыс. заявок на оплату расходов</w:t>
      </w:r>
      <w:r w:rsidR="007B0ED5" w:rsidRPr="00310142">
        <w:rPr>
          <w:rFonts w:eastAsia="Calibri"/>
        </w:rPr>
        <w:t xml:space="preserve"> и заявок на выплату средств</w:t>
      </w:r>
      <w:r w:rsidRPr="00310142">
        <w:rPr>
          <w:rFonts w:eastAsia="Calibri"/>
        </w:rPr>
        <w:t>;1</w:t>
      </w:r>
      <w:r w:rsidR="00E25030" w:rsidRPr="00310142">
        <w:rPr>
          <w:rFonts w:eastAsia="Calibri"/>
        </w:rPr>
        <w:t>5</w:t>
      </w:r>
      <w:r w:rsidRPr="00310142">
        <w:rPr>
          <w:rFonts w:eastAsia="Calibri"/>
        </w:rPr>
        <w:t>,</w:t>
      </w:r>
      <w:r w:rsidR="00E25030" w:rsidRPr="00310142">
        <w:rPr>
          <w:rFonts w:eastAsia="Calibri"/>
        </w:rPr>
        <w:t>0</w:t>
      </w:r>
      <w:r w:rsidRPr="00310142">
        <w:rPr>
          <w:rFonts w:eastAsia="Calibri"/>
        </w:rPr>
        <w:t xml:space="preserve"> тыс. заявок на финансирование межбюджетных трансфертов на сумму 1</w:t>
      </w:r>
      <w:r w:rsidR="00E25030" w:rsidRPr="00310142">
        <w:rPr>
          <w:rFonts w:eastAsia="Calibri"/>
        </w:rPr>
        <w:t>6</w:t>
      </w:r>
      <w:r w:rsidRPr="00310142">
        <w:rPr>
          <w:rFonts w:eastAsia="Calibri"/>
        </w:rPr>
        <w:t> </w:t>
      </w:r>
      <w:r w:rsidR="00E25030" w:rsidRPr="00310142">
        <w:rPr>
          <w:rFonts w:eastAsia="Calibri"/>
        </w:rPr>
        <w:t>819</w:t>
      </w:r>
      <w:r w:rsidRPr="00310142">
        <w:rPr>
          <w:rFonts w:eastAsia="Calibri"/>
        </w:rPr>
        <w:t> </w:t>
      </w:r>
      <w:r w:rsidR="00E25030" w:rsidRPr="00310142">
        <w:rPr>
          <w:rFonts w:eastAsia="Calibri"/>
        </w:rPr>
        <w:t>246</w:t>
      </w:r>
      <w:r w:rsidRPr="00310142">
        <w:rPr>
          <w:rFonts w:eastAsia="Calibri"/>
        </w:rPr>
        <w:t>,</w:t>
      </w:r>
      <w:r w:rsidR="00E25030" w:rsidRPr="00310142">
        <w:rPr>
          <w:rFonts w:eastAsia="Calibri"/>
        </w:rPr>
        <w:t>5</w:t>
      </w:r>
      <w:r w:rsidRPr="00310142">
        <w:rPr>
          <w:rFonts w:eastAsia="Calibri"/>
        </w:rPr>
        <w:t xml:space="preserve"> тыс. рублей. Восстановлено кассовых расходов по казенным учреждениям – 1,</w:t>
      </w:r>
      <w:r w:rsidR="006B59AF" w:rsidRPr="00310142">
        <w:rPr>
          <w:rFonts w:eastAsia="Calibri"/>
        </w:rPr>
        <w:t>5</w:t>
      </w:r>
      <w:r w:rsidRPr="00310142">
        <w:rPr>
          <w:rFonts w:eastAsia="Calibri"/>
        </w:rPr>
        <w:t xml:space="preserve"> тыс. документов на сумму </w:t>
      </w:r>
      <w:r w:rsidR="006B59AF" w:rsidRPr="00310142">
        <w:rPr>
          <w:rFonts w:eastAsia="Calibri"/>
        </w:rPr>
        <w:t>263</w:t>
      </w:r>
      <w:r w:rsidRPr="00310142">
        <w:rPr>
          <w:rFonts w:eastAsia="Calibri"/>
        </w:rPr>
        <w:t> 4</w:t>
      </w:r>
      <w:r w:rsidR="006B59AF" w:rsidRPr="00310142">
        <w:rPr>
          <w:rFonts w:eastAsia="Calibri"/>
        </w:rPr>
        <w:t>25</w:t>
      </w:r>
      <w:r w:rsidRPr="00310142">
        <w:rPr>
          <w:rFonts w:eastAsia="Calibri"/>
        </w:rPr>
        <w:t>,0 тыс. рублей;</w:t>
      </w:r>
      <w:r w:rsidR="007212E0" w:rsidRPr="00310142">
        <w:rPr>
          <w:rFonts w:eastAsia="Calibri"/>
        </w:rPr>
        <w:t xml:space="preserve"> </w:t>
      </w:r>
      <w:r w:rsidRPr="00310142">
        <w:rPr>
          <w:rFonts w:eastAsia="Calibri"/>
        </w:rPr>
        <w:t xml:space="preserve">обработано распоряжений на зачисление средств на лицевые счета бюджетных и автономных учреждений – </w:t>
      </w:r>
      <w:r w:rsidR="00705CBC" w:rsidRPr="00310142">
        <w:rPr>
          <w:rFonts w:eastAsia="Calibri"/>
        </w:rPr>
        <w:t>31</w:t>
      </w:r>
      <w:r w:rsidRPr="00310142">
        <w:rPr>
          <w:rFonts w:eastAsia="Calibri"/>
        </w:rPr>
        <w:t>,</w:t>
      </w:r>
      <w:r w:rsidR="00705CBC" w:rsidRPr="00310142">
        <w:rPr>
          <w:rFonts w:eastAsia="Calibri"/>
        </w:rPr>
        <w:t>5</w:t>
      </w:r>
      <w:r w:rsidRPr="00310142">
        <w:rPr>
          <w:rFonts w:eastAsia="Calibri"/>
        </w:rPr>
        <w:t xml:space="preserve"> тыс. документов на сумму 13 </w:t>
      </w:r>
      <w:r w:rsidR="0056229D" w:rsidRPr="00310142">
        <w:rPr>
          <w:rFonts w:eastAsia="Calibri"/>
        </w:rPr>
        <w:t>722</w:t>
      </w:r>
      <w:r w:rsidRPr="00310142">
        <w:rPr>
          <w:rFonts w:eastAsia="Calibri"/>
        </w:rPr>
        <w:t> </w:t>
      </w:r>
      <w:r w:rsidR="0056229D" w:rsidRPr="00310142">
        <w:rPr>
          <w:rFonts w:eastAsia="Calibri"/>
        </w:rPr>
        <w:t>979</w:t>
      </w:r>
      <w:r w:rsidRPr="00310142">
        <w:rPr>
          <w:rFonts w:eastAsia="Calibri"/>
        </w:rPr>
        <w:t>,</w:t>
      </w:r>
      <w:r w:rsidR="0056229D" w:rsidRPr="00310142">
        <w:rPr>
          <w:rFonts w:eastAsia="Calibri"/>
        </w:rPr>
        <w:t>7</w:t>
      </w:r>
      <w:r w:rsidRPr="00310142">
        <w:rPr>
          <w:rFonts w:eastAsia="Calibri"/>
        </w:rPr>
        <w:t xml:space="preserve"> тыс. рублей;</w:t>
      </w:r>
      <w:r w:rsidR="00E64F24" w:rsidRPr="00310142">
        <w:rPr>
          <w:rFonts w:eastAsia="Calibri"/>
        </w:rPr>
        <w:t xml:space="preserve"> обработано распоряжений на зачисление в доходы по казенным учреждениям – 9,3 тыс. документов;</w:t>
      </w:r>
      <w:r w:rsidR="007212E0" w:rsidRPr="00310142">
        <w:rPr>
          <w:rFonts w:eastAsia="Calibri"/>
        </w:rPr>
        <w:t xml:space="preserve"> </w:t>
      </w:r>
      <w:r w:rsidRPr="00310142">
        <w:rPr>
          <w:rFonts w:eastAsia="Calibri"/>
        </w:rPr>
        <w:t xml:space="preserve">обработано распоряжений на зачисление средств на лицевые счета в рамках казначейского сопровождения – </w:t>
      </w:r>
      <w:r w:rsidR="006C4BFC" w:rsidRPr="00310142">
        <w:rPr>
          <w:rFonts w:eastAsia="Calibri"/>
        </w:rPr>
        <w:t>43</w:t>
      </w:r>
      <w:r w:rsidRPr="00310142">
        <w:rPr>
          <w:rFonts w:eastAsia="Calibri"/>
        </w:rPr>
        <w:t>,</w:t>
      </w:r>
      <w:r w:rsidR="006C4BFC" w:rsidRPr="00310142">
        <w:rPr>
          <w:rFonts w:eastAsia="Calibri"/>
        </w:rPr>
        <w:t>7</w:t>
      </w:r>
      <w:r w:rsidRPr="00310142">
        <w:rPr>
          <w:rFonts w:eastAsia="Calibri"/>
        </w:rPr>
        <w:t xml:space="preserve"> тыс. документов на сумму 12 </w:t>
      </w:r>
      <w:r w:rsidR="006C4BFC" w:rsidRPr="00310142">
        <w:rPr>
          <w:rFonts w:eastAsia="Calibri"/>
        </w:rPr>
        <w:t>085</w:t>
      </w:r>
      <w:r w:rsidRPr="00310142">
        <w:rPr>
          <w:rFonts w:eastAsia="Calibri"/>
        </w:rPr>
        <w:t> </w:t>
      </w:r>
      <w:r w:rsidR="006C4BFC" w:rsidRPr="00310142">
        <w:rPr>
          <w:rFonts w:eastAsia="Calibri"/>
        </w:rPr>
        <w:t>662</w:t>
      </w:r>
      <w:r w:rsidRPr="00310142">
        <w:rPr>
          <w:rFonts w:eastAsia="Calibri"/>
        </w:rPr>
        <w:t>,</w:t>
      </w:r>
      <w:r w:rsidR="006C4BFC" w:rsidRPr="00310142">
        <w:rPr>
          <w:rFonts w:eastAsia="Calibri"/>
        </w:rPr>
        <w:t>2</w:t>
      </w:r>
      <w:r w:rsidRPr="00310142">
        <w:rPr>
          <w:rFonts w:eastAsia="Calibri"/>
        </w:rPr>
        <w:t xml:space="preserve"> тыс. рублей.</w:t>
      </w:r>
      <w:r w:rsidR="007212E0" w:rsidRPr="00310142">
        <w:rPr>
          <w:rFonts w:eastAsia="Calibri"/>
        </w:rPr>
        <w:t xml:space="preserve"> </w:t>
      </w:r>
      <w:r w:rsidRPr="00310142">
        <w:rPr>
          <w:rFonts w:eastAsia="Calibri"/>
        </w:rPr>
        <w:t xml:space="preserve">Уточнено невыясненных поступлений по </w:t>
      </w:r>
      <w:r w:rsidR="000F1DB0" w:rsidRPr="00310142">
        <w:rPr>
          <w:rFonts w:eastAsia="Calibri"/>
        </w:rPr>
        <w:t>323</w:t>
      </w:r>
      <w:r w:rsidRPr="00310142">
        <w:rPr>
          <w:rFonts w:eastAsia="Calibri"/>
        </w:rPr>
        <w:t xml:space="preserve"> документам. Осуществлено исправительных операций по </w:t>
      </w:r>
      <w:r w:rsidR="00E015B1" w:rsidRPr="00310142">
        <w:rPr>
          <w:rFonts w:eastAsia="Calibri"/>
        </w:rPr>
        <w:t>685</w:t>
      </w:r>
      <w:r w:rsidRPr="00310142">
        <w:rPr>
          <w:rFonts w:eastAsia="Calibri"/>
        </w:rPr>
        <w:t xml:space="preserve"> документам.</w:t>
      </w:r>
      <w:r w:rsidR="007212E0" w:rsidRPr="00310142">
        <w:rPr>
          <w:rFonts w:eastAsia="Calibri"/>
        </w:rPr>
        <w:t xml:space="preserve"> </w:t>
      </w:r>
      <w:r w:rsidRPr="00310142">
        <w:rPr>
          <w:rFonts w:eastAsia="Calibri"/>
        </w:rPr>
        <w:t>Обработано уведомлений о предельных объемах финансирования - 1</w:t>
      </w:r>
      <w:r w:rsidR="00386ED6" w:rsidRPr="00310142">
        <w:rPr>
          <w:rFonts w:eastAsia="Calibri"/>
        </w:rPr>
        <w:t>5</w:t>
      </w:r>
      <w:r w:rsidRPr="00310142">
        <w:rPr>
          <w:rFonts w:eastAsia="Calibri"/>
        </w:rPr>
        <w:t>,</w:t>
      </w:r>
      <w:r w:rsidR="00386ED6" w:rsidRPr="00310142">
        <w:rPr>
          <w:rFonts w:eastAsia="Calibri"/>
        </w:rPr>
        <w:t>2</w:t>
      </w:r>
      <w:r w:rsidRPr="00310142">
        <w:rPr>
          <w:rFonts w:eastAsia="Calibri"/>
        </w:rPr>
        <w:t xml:space="preserve"> тыс. документов.</w:t>
      </w:r>
      <w:r w:rsidR="007212E0" w:rsidRPr="00310142">
        <w:rPr>
          <w:rFonts w:eastAsia="Calibri"/>
        </w:rPr>
        <w:t xml:space="preserve"> </w:t>
      </w:r>
      <w:r w:rsidRPr="00310142">
        <w:rPr>
          <w:rFonts w:eastAsia="Calibri"/>
        </w:rPr>
        <w:t xml:space="preserve">Сформировано и обработано справок по доходам (справка по операциям БУ/АУ) казенных, бюджетных и автономных учреждений - </w:t>
      </w:r>
      <w:r w:rsidR="006A4604" w:rsidRPr="00310142">
        <w:rPr>
          <w:rFonts w:eastAsia="Calibri"/>
        </w:rPr>
        <w:t>9</w:t>
      </w:r>
      <w:r w:rsidRPr="00310142">
        <w:rPr>
          <w:rFonts w:eastAsia="Calibri"/>
        </w:rPr>
        <w:t>,</w:t>
      </w:r>
      <w:r w:rsidR="006A4604" w:rsidRPr="00310142">
        <w:rPr>
          <w:rFonts w:eastAsia="Calibri"/>
        </w:rPr>
        <w:t>2</w:t>
      </w:r>
      <w:r w:rsidRPr="00310142">
        <w:rPr>
          <w:rFonts w:eastAsia="Calibri"/>
        </w:rPr>
        <w:t xml:space="preserve"> тыс. документов.</w:t>
      </w:r>
      <w:r w:rsidR="007212E0" w:rsidRPr="00310142">
        <w:rPr>
          <w:rFonts w:eastAsia="Calibri"/>
        </w:rPr>
        <w:t xml:space="preserve"> </w:t>
      </w:r>
      <w:r w:rsidRPr="00310142">
        <w:rPr>
          <w:rFonts w:eastAsia="Calibri"/>
        </w:rPr>
        <w:t xml:space="preserve">Принято и обработано </w:t>
      </w:r>
      <w:r w:rsidR="00A452AA" w:rsidRPr="00310142">
        <w:rPr>
          <w:rFonts w:eastAsia="Calibri"/>
        </w:rPr>
        <w:t>3</w:t>
      </w:r>
      <w:r w:rsidRPr="00310142">
        <w:rPr>
          <w:rFonts w:eastAsia="Calibri"/>
        </w:rPr>
        <w:t>,</w:t>
      </w:r>
      <w:r w:rsidR="0023125A" w:rsidRPr="00310142">
        <w:rPr>
          <w:rFonts w:eastAsia="Calibri"/>
        </w:rPr>
        <w:t>9</w:t>
      </w:r>
      <w:r w:rsidRPr="00310142">
        <w:rPr>
          <w:rFonts w:eastAsia="Calibri"/>
        </w:rPr>
        <w:t xml:space="preserve"> тыс. распоряжений о перечислении на карту «Мир».</w:t>
      </w:r>
    </w:p>
    <w:p w14:paraId="1DA77A4C" w14:textId="77777777" w:rsidR="003F3CFB" w:rsidRPr="00310142" w:rsidRDefault="003F3CFB" w:rsidP="003F3CFB">
      <w:pPr>
        <w:rPr>
          <w:rFonts w:eastAsia="Calibri"/>
        </w:rPr>
      </w:pPr>
      <w:r w:rsidRPr="002B4B98">
        <w:rPr>
          <w:rFonts w:eastAsia="Calibri"/>
          <w:b/>
        </w:rPr>
        <w:t>Казначейское сопровождение</w:t>
      </w:r>
      <w:r w:rsidRPr="00310142">
        <w:rPr>
          <w:rFonts w:eastAsia="Calibri"/>
        </w:rPr>
        <w:t xml:space="preserve"> государственных контрактов, договоров (соглашений), а также контрактов, договоров, соглашений, заключенных в рамках их исполнения, было введено в 2016 году и направлено на повышение эффективности бюджетных расходов путем организации работы по сокращению дебиторской задолженности по расходам республиканского бюджета.</w:t>
      </w:r>
    </w:p>
    <w:p w14:paraId="3D0B7BB5" w14:textId="0EE1C8A2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Казначейское сопровождение закреплено положениями статьи 4 Закона Кабардино-Балкарской Республики от 29.12.202</w:t>
      </w:r>
      <w:r w:rsidR="000755B0" w:rsidRPr="00310142">
        <w:rPr>
          <w:rFonts w:eastAsia="Calibri"/>
        </w:rPr>
        <w:t>3</w:t>
      </w:r>
      <w:r w:rsidRPr="00310142">
        <w:rPr>
          <w:rFonts w:eastAsia="Calibri"/>
        </w:rPr>
        <w:t xml:space="preserve"> </w:t>
      </w:r>
      <w:r w:rsidR="00C314E4">
        <w:rPr>
          <w:rFonts w:eastAsia="Calibri"/>
        </w:rPr>
        <w:t>года</w:t>
      </w:r>
      <w:r w:rsidRPr="00310142">
        <w:rPr>
          <w:rFonts w:eastAsia="Calibri"/>
        </w:rPr>
        <w:t xml:space="preserve"> № 6</w:t>
      </w:r>
      <w:r w:rsidR="000755B0" w:rsidRPr="00310142">
        <w:rPr>
          <w:rFonts w:eastAsia="Calibri"/>
        </w:rPr>
        <w:t>2</w:t>
      </w:r>
      <w:r w:rsidRPr="00310142">
        <w:rPr>
          <w:rFonts w:eastAsia="Calibri"/>
        </w:rPr>
        <w:t>-РЗ «О республиканском бюджете Кабардино-Балкарской Республики на 202</w:t>
      </w:r>
      <w:r w:rsidR="000755B0" w:rsidRPr="00310142">
        <w:rPr>
          <w:rFonts w:eastAsia="Calibri"/>
        </w:rPr>
        <w:t>4</w:t>
      </w:r>
      <w:r w:rsidRPr="00310142">
        <w:rPr>
          <w:rFonts w:eastAsia="Calibri"/>
        </w:rPr>
        <w:t xml:space="preserve"> год и на плановый период 202</w:t>
      </w:r>
      <w:r w:rsidR="000755B0" w:rsidRPr="00310142">
        <w:rPr>
          <w:rFonts w:eastAsia="Calibri"/>
        </w:rPr>
        <w:t>5</w:t>
      </w:r>
      <w:r w:rsidRPr="00310142">
        <w:rPr>
          <w:rFonts w:eastAsia="Calibri"/>
        </w:rPr>
        <w:t xml:space="preserve"> и 202</w:t>
      </w:r>
      <w:r w:rsidR="000755B0" w:rsidRPr="00310142">
        <w:rPr>
          <w:rFonts w:eastAsia="Calibri"/>
        </w:rPr>
        <w:t>6</w:t>
      </w:r>
      <w:r w:rsidRPr="00310142">
        <w:rPr>
          <w:rFonts w:eastAsia="Calibri"/>
        </w:rPr>
        <w:t xml:space="preserve"> годов» и гарантирует прозрачность, подотчетность и целевое использование средств республиканского бюджета, обеспечивает их направление в реальный сектор экономики, а также позволяет аккумулировать дополнительную ликвидность на едином счете республиканского бюджета.</w:t>
      </w:r>
    </w:p>
    <w:p w14:paraId="7C959286" w14:textId="742B2884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 xml:space="preserve"> В 202</w:t>
      </w:r>
      <w:r w:rsidR="000755B0" w:rsidRPr="00310142">
        <w:rPr>
          <w:rFonts w:eastAsia="Calibri"/>
        </w:rPr>
        <w:t>4</w:t>
      </w:r>
      <w:r w:rsidRPr="00310142">
        <w:rPr>
          <w:rFonts w:eastAsia="Calibri"/>
        </w:rPr>
        <w:t xml:space="preserve"> году казначейскому сопровождению подлежали:</w:t>
      </w:r>
    </w:p>
    <w:p w14:paraId="11231705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договоры (соглашения) о предоставлении субсидий юридическим лицам и индивидуальным предпринимателям (за исключением субсидий, предоставляемых для возмещения понесенных расходов), а также бюджетных инвестиций юридическим лицам в соответствии со статьей 80 Бюджетного кодекса Российской Федерации;</w:t>
      </w:r>
    </w:p>
    <w:p w14:paraId="0A36C382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договоры о предоставлении взносов в уставные (складочные) капиталы юридических лиц, источником финансового обеспечения которых являются бюджетные инвестиции;</w:t>
      </w:r>
    </w:p>
    <w:p w14:paraId="71F6F78A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контракты (договоры) о поставке товаров, выполнении работ, оказании услуг, заключаемые юридическими лицами и индивидуальными предпринимателями, получающими бюджетные инвестиции, юридическими лицами, получающими субсидии, а также юридическими лицами, в уставные (складочные) капиталы которых предоставляются взносы, с юридическими лицами - исполнителями по контрактам (договорам), источником финансового обеспечения которых являются данные бюджетные инвестиции, если условиями данных контрактов (договоров) предусмотрены авансовые платежи;</w:t>
      </w:r>
    </w:p>
    <w:p w14:paraId="2A835482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государственные контракты о поставке товаров, выполнении работ, оказании услуг (за исключением государственных контрактов,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нужд), на сумму более 1 000,0 тыс. рублей, если условиями данных государственных контрактов предусмотрены авансовые платежи;</w:t>
      </w:r>
    </w:p>
    <w:p w14:paraId="0B4DBDF2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государственные контракты (контракты, договоры) об осуществлении отдельных закупок товаров, работ, услуг, в случаях, установленных Правительством Кабардино-Балкарской Республики;</w:t>
      </w:r>
    </w:p>
    <w:p w14:paraId="407CA1AA" w14:textId="1B2E0932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 xml:space="preserve">государственные контракты (договоры) о поставке товаров, выполнении работ, оказании услуг (за исключением государственных контрактов,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нужд), заключенные поставщиками (подрядчиками, исполнителями) с государственными заказчиками на сумму более </w:t>
      </w:r>
      <w:r w:rsidR="004C3600">
        <w:rPr>
          <w:rFonts w:eastAsia="Calibri"/>
        </w:rPr>
        <w:br/>
      </w:r>
      <w:r w:rsidRPr="00310142">
        <w:rPr>
          <w:rFonts w:eastAsia="Calibri"/>
        </w:rPr>
        <w:t>1 000,0 тыс. рублей</w:t>
      </w:r>
      <w:r w:rsidR="000755B0" w:rsidRPr="00310142">
        <w:rPr>
          <w:rFonts w:eastAsia="Calibri"/>
        </w:rPr>
        <w:t>.</w:t>
      </w:r>
    </w:p>
    <w:p w14:paraId="0852CBCE" w14:textId="7250022F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В рамках казначейского сопровождения в 202</w:t>
      </w:r>
      <w:r w:rsidR="00DD788A" w:rsidRPr="00310142">
        <w:rPr>
          <w:rFonts w:eastAsia="Calibri"/>
        </w:rPr>
        <w:t>4</w:t>
      </w:r>
      <w:r w:rsidRPr="00310142">
        <w:rPr>
          <w:rFonts w:eastAsia="Calibri"/>
        </w:rPr>
        <w:t xml:space="preserve"> году одним сотрудником Министерства проверено и обработано </w:t>
      </w:r>
      <w:r w:rsidR="00DD788A" w:rsidRPr="00310142">
        <w:rPr>
          <w:rFonts w:eastAsia="Calibri"/>
        </w:rPr>
        <w:t>3,5</w:t>
      </w:r>
      <w:r w:rsidRPr="00310142">
        <w:rPr>
          <w:rFonts w:eastAsia="Calibri"/>
        </w:rPr>
        <w:t xml:space="preserve"> тыс. договоров на сумму </w:t>
      </w:r>
      <w:r w:rsidRPr="00310142">
        <w:rPr>
          <w:rFonts w:eastAsia="Calibri"/>
        </w:rPr>
        <w:br/>
      </w:r>
      <w:r w:rsidR="008860FC">
        <w:rPr>
          <w:rFonts w:eastAsia="Calibri"/>
        </w:rPr>
        <w:t>11 012 </w:t>
      </w:r>
      <w:r w:rsidR="00DD788A" w:rsidRPr="00310142">
        <w:rPr>
          <w:rFonts w:eastAsia="Calibri"/>
        </w:rPr>
        <w:t>9</w:t>
      </w:r>
      <w:r w:rsidR="008860FC">
        <w:rPr>
          <w:rFonts w:eastAsia="Calibri"/>
        </w:rPr>
        <w:t>00,0</w:t>
      </w:r>
      <w:r w:rsidRPr="00310142">
        <w:rPr>
          <w:rFonts w:eastAsia="Calibri"/>
        </w:rPr>
        <w:t xml:space="preserve"> </w:t>
      </w:r>
      <w:r w:rsidR="008860FC">
        <w:rPr>
          <w:rFonts w:eastAsia="Calibri"/>
        </w:rPr>
        <w:t>тыс.</w:t>
      </w:r>
      <w:r w:rsidRPr="00310142">
        <w:rPr>
          <w:rFonts w:eastAsia="Calibri"/>
        </w:rPr>
        <w:t xml:space="preserve"> рублей.</w:t>
      </w:r>
    </w:p>
    <w:p w14:paraId="6B615787" w14:textId="77777777" w:rsidR="003F3CFB" w:rsidRPr="00310142" w:rsidRDefault="003F3CFB" w:rsidP="003F3CFB">
      <w:pPr>
        <w:rPr>
          <w:rFonts w:eastAsia="Calibri"/>
        </w:rPr>
      </w:pPr>
      <w:r w:rsidRPr="00310142">
        <w:t xml:space="preserve">В Подсистеме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 </w:t>
      </w:r>
      <w:r w:rsidRPr="00310142">
        <w:rPr>
          <w:rFonts w:eastAsia="Calibri"/>
        </w:rPr>
        <w:t xml:space="preserve">одним сотрудником проверено и обработано </w:t>
      </w:r>
      <w:r w:rsidR="00DD788A" w:rsidRPr="00310142">
        <w:rPr>
          <w:rFonts w:eastAsia="Calibri"/>
        </w:rPr>
        <w:t>4,4</w:t>
      </w:r>
      <w:r w:rsidRPr="00310142">
        <w:rPr>
          <w:rFonts w:eastAsia="Calibri"/>
        </w:rPr>
        <w:t xml:space="preserve"> тыс. платежных поручений на сумму </w:t>
      </w:r>
      <w:r w:rsidR="00DD788A" w:rsidRPr="00310142">
        <w:rPr>
          <w:rFonts w:eastAsia="Calibri"/>
        </w:rPr>
        <w:t>5 244 175,9</w:t>
      </w:r>
      <w:r w:rsidRPr="00310142">
        <w:rPr>
          <w:rFonts w:eastAsia="Calibri"/>
        </w:rPr>
        <w:t xml:space="preserve"> тыс. рублей. Отказано по причинам несоответствия нормативно правовым актам </w:t>
      </w:r>
      <w:r w:rsidR="00DD788A" w:rsidRPr="00310142">
        <w:rPr>
          <w:rFonts w:eastAsia="Calibri"/>
        </w:rPr>
        <w:t>1150</w:t>
      </w:r>
      <w:r w:rsidRPr="00310142">
        <w:rPr>
          <w:rFonts w:eastAsia="Calibri"/>
        </w:rPr>
        <w:t xml:space="preserve"> платежных поручений. Зачислено на лицевые счета средств по </w:t>
      </w:r>
      <w:r w:rsidR="00DD788A" w:rsidRPr="00310142">
        <w:rPr>
          <w:rFonts w:eastAsia="Calibri"/>
        </w:rPr>
        <w:t>2803</w:t>
      </w:r>
      <w:r w:rsidRPr="00310142">
        <w:rPr>
          <w:rFonts w:eastAsia="Calibri"/>
        </w:rPr>
        <w:t xml:space="preserve"> поручениям о перечислении на сумму </w:t>
      </w:r>
      <w:r w:rsidRPr="00310142">
        <w:rPr>
          <w:rFonts w:eastAsia="Calibri"/>
        </w:rPr>
        <w:br/>
      </w:r>
      <w:r w:rsidR="00DD788A" w:rsidRPr="00310142">
        <w:rPr>
          <w:rFonts w:eastAsia="Calibri"/>
        </w:rPr>
        <w:t>7 926 319,03</w:t>
      </w:r>
      <w:r w:rsidRPr="00310142">
        <w:rPr>
          <w:rFonts w:eastAsia="Calibri"/>
        </w:rPr>
        <w:t xml:space="preserve"> тыс. рублей. Обработано </w:t>
      </w:r>
      <w:r w:rsidR="00DD788A" w:rsidRPr="00310142">
        <w:rPr>
          <w:rFonts w:eastAsia="Calibri"/>
        </w:rPr>
        <w:t>54</w:t>
      </w:r>
      <w:r w:rsidRPr="00310142">
        <w:rPr>
          <w:rFonts w:eastAsia="Calibri"/>
        </w:rPr>
        <w:t xml:space="preserve"> платежных поручени</w:t>
      </w:r>
      <w:r w:rsidR="00DD788A" w:rsidRPr="00310142">
        <w:rPr>
          <w:rFonts w:eastAsia="Calibri"/>
        </w:rPr>
        <w:t>я</w:t>
      </w:r>
      <w:r w:rsidRPr="00310142">
        <w:rPr>
          <w:rFonts w:eastAsia="Calibri"/>
        </w:rPr>
        <w:t xml:space="preserve"> по возврату из банка.</w:t>
      </w:r>
    </w:p>
    <w:p w14:paraId="1067D101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Calibri"/>
        </w:rPr>
        <w:t>Проведенная работа позволила повысить операционную эффективность и бюджетную дисциплину при расходовании средств республиканского бюджета.</w:t>
      </w:r>
    </w:p>
    <w:p w14:paraId="79C9C9AF" w14:textId="77777777" w:rsidR="003F3CFB" w:rsidRPr="00310142" w:rsidRDefault="003F3CFB" w:rsidP="003F3CFB">
      <w:pPr>
        <w:rPr>
          <w:rFonts w:eastAsia="Calibri"/>
        </w:rPr>
      </w:pPr>
      <w:r w:rsidRPr="00310142">
        <w:rPr>
          <w:rFonts w:eastAsia="Trebuchet MS"/>
        </w:rPr>
        <w:t xml:space="preserve">Министерством финансов </w:t>
      </w:r>
      <w:r w:rsidRPr="00310142">
        <w:rPr>
          <w:rFonts w:eastAsia="Calibri"/>
        </w:rPr>
        <w:t>Кабардино-Балкарской Республики</w:t>
      </w:r>
      <w:r w:rsidRPr="00310142">
        <w:rPr>
          <w:rFonts w:eastAsia="Trebuchet MS"/>
        </w:rPr>
        <w:t xml:space="preserve"> ежемесячно формируется кассовый план исполнения республиканского бюджета. </w:t>
      </w:r>
    </w:p>
    <w:p w14:paraId="4D4B32DD" w14:textId="77777777" w:rsidR="00EB5A46" w:rsidRPr="00D05E60" w:rsidRDefault="00EB5A46" w:rsidP="008B0C90">
      <w:pPr>
        <w:pStyle w:val="24"/>
        <w:numPr>
          <w:ilvl w:val="0"/>
          <w:numId w:val="0"/>
        </w:numPr>
        <w:spacing w:before="0" w:after="0"/>
        <w:ind w:left="710"/>
        <w:rPr>
          <w:color w:val="FF0000"/>
        </w:rPr>
      </w:pPr>
    </w:p>
    <w:p w14:paraId="58EB1E87" w14:textId="2D31667F" w:rsidR="00F811F4" w:rsidRPr="00774860" w:rsidRDefault="002C24EA" w:rsidP="008B0C90">
      <w:pPr>
        <w:pStyle w:val="24"/>
        <w:numPr>
          <w:ilvl w:val="0"/>
          <w:numId w:val="0"/>
        </w:numPr>
        <w:spacing w:before="0" w:after="0"/>
        <w:ind w:left="710"/>
        <w:rPr>
          <w:color w:val="000000" w:themeColor="text1"/>
        </w:rPr>
      </w:pPr>
      <w:bookmarkStart w:id="117" w:name="_Toc131085643"/>
      <w:bookmarkStart w:id="118" w:name="_Toc162008800"/>
      <w:r w:rsidRPr="00370B39">
        <w:rPr>
          <w:color w:val="568D11" w:themeColor="accent3" w:themeShade="80"/>
        </w:rPr>
        <w:t>8</w:t>
      </w:r>
      <w:r w:rsidR="008B0C90" w:rsidRPr="00370B39">
        <w:rPr>
          <w:color w:val="568D11" w:themeColor="accent3" w:themeShade="80"/>
        </w:rPr>
        <w:t>.</w:t>
      </w:r>
      <w:r w:rsidR="00B13A04">
        <w:rPr>
          <w:color w:val="568D11" w:themeColor="accent3" w:themeShade="80"/>
        </w:rPr>
        <w:t xml:space="preserve"> </w:t>
      </w:r>
      <w:r w:rsidR="00F811F4" w:rsidRPr="00370B39">
        <w:rPr>
          <w:color w:val="568D11" w:themeColor="accent3" w:themeShade="80"/>
        </w:rPr>
        <w:t>Деятельность Министерства финансов КБР в сфере б</w:t>
      </w:r>
      <w:r w:rsidR="00753386" w:rsidRPr="00370B39">
        <w:rPr>
          <w:color w:val="568D11" w:themeColor="accent3" w:themeShade="80"/>
        </w:rPr>
        <w:t>юджетного</w:t>
      </w:r>
      <w:r w:rsidR="00F811F4" w:rsidRPr="00370B39">
        <w:rPr>
          <w:color w:val="568D11" w:themeColor="accent3" w:themeShade="80"/>
        </w:rPr>
        <w:t xml:space="preserve"> учета и отчетности организаций государственного сектора</w:t>
      </w:r>
      <w:bookmarkEnd w:id="117"/>
      <w:bookmarkEnd w:id="118"/>
      <w:r w:rsidR="00310142">
        <w:rPr>
          <w:color w:val="568D11" w:themeColor="accent3" w:themeShade="80"/>
        </w:rPr>
        <w:t xml:space="preserve"> </w:t>
      </w:r>
    </w:p>
    <w:p w14:paraId="4EFEFD81" w14:textId="77777777" w:rsidR="00DB2052" w:rsidRPr="00D05E60" w:rsidRDefault="00DB2052" w:rsidP="0082617E">
      <w:pPr>
        <w:pStyle w:val="24"/>
        <w:numPr>
          <w:ilvl w:val="0"/>
          <w:numId w:val="0"/>
        </w:numPr>
        <w:spacing w:before="0" w:after="0"/>
        <w:ind w:left="431"/>
        <w:jc w:val="both"/>
        <w:rPr>
          <w:color w:val="FF0000"/>
          <w:sz w:val="20"/>
          <w:szCs w:val="20"/>
        </w:rPr>
      </w:pPr>
    </w:p>
    <w:p w14:paraId="68CF5B3F" w14:textId="77777777" w:rsidR="00F26961" w:rsidRPr="00F26961" w:rsidRDefault="00F26961" w:rsidP="00F26961">
      <w:pPr>
        <w:rPr>
          <w:color w:val="auto"/>
        </w:rPr>
      </w:pPr>
      <w:bookmarkStart w:id="119" w:name="_Toc482701255"/>
      <w:bookmarkStart w:id="120" w:name="_Toc131085644"/>
      <w:r w:rsidRPr="00F26961">
        <w:rPr>
          <w:color w:val="auto"/>
        </w:rPr>
        <w:t>В сфере регулирования бухгалтерского учета и финансовой отчетности осуществлен ряд мероприятий, направленных на повышение качества учета и отчетности, а также упрощение процедуры консолидации отчетности.</w:t>
      </w:r>
    </w:p>
    <w:p w14:paraId="75EC5E38" w14:textId="663E9D1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В данной области в 2024 году были решены следующие задачи:</w:t>
      </w:r>
    </w:p>
    <w:p w14:paraId="07E77E7D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1. По всем участникам бюджетного процесса КБР, а также бюджетными (автономными) учреждениями получателями средств бюджета КБР (994 участника), в системе учета проведен мониторинг на наличие учетных ошибок (технологический анализ учета) с дальнейшим контролем на исправление выявленных ошибок.</w:t>
      </w:r>
    </w:p>
    <w:p w14:paraId="56EC2380" w14:textId="0ED9C7F0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 xml:space="preserve">2. Ежемесячно проводился мониторинг просроченной кредиторской задолженности. В рамках мониторинга, а также в соответствии с постановлением Правительства Российской Федерации от 12.12.2023 </w:t>
      </w:r>
      <w:r w:rsidR="00C314E4">
        <w:rPr>
          <w:color w:val="auto"/>
        </w:rPr>
        <w:t>года</w:t>
      </w:r>
      <w:r w:rsidRPr="00F26961">
        <w:rPr>
          <w:color w:val="auto"/>
        </w:rPr>
        <w:t xml:space="preserve"> № 2128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 главные распорядители бюджетных средств Кабардино-Балкарской Республики, финансовые органы муниципальных районов и городских округов  представляют в составе месячной отчетности до 15 числа месяца, следующего за отчетным  ф</w:t>
      </w:r>
      <w:r w:rsidR="002D576D">
        <w:rPr>
          <w:color w:val="auto"/>
        </w:rPr>
        <w:t>ормы</w:t>
      </w:r>
      <w:r w:rsidRPr="00F26961">
        <w:rPr>
          <w:color w:val="auto"/>
        </w:rPr>
        <w:t xml:space="preserve"> 0503169 и </w:t>
      </w:r>
      <w:r>
        <w:rPr>
          <w:color w:val="auto"/>
        </w:rPr>
        <w:br/>
      </w:r>
      <w:r w:rsidRPr="00F26961">
        <w:rPr>
          <w:color w:val="auto"/>
        </w:rPr>
        <w:t xml:space="preserve">0503769 «Сведения о дебиторской и кредиторской задолженности учреждения». </w:t>
      </w:r>
    </w:p>
    <w:p w14:paraId="3C1AD824" w14:textId="2803FBD9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 xml:space="preserve">Также, распоряжением Правительства Кабардино-Балкарской Республики от 25.03.2024 </w:t>
      </w:r>
      <w:r w:rsidR="00C314E4">
        <w:rPr>
          <w:color w:val="auto"/>
        </w:rPr>
        <w:t>года</w:t>
      </w:r>
      <w:r w:rsidRPr="00F26961">
        <w:rPr>
          <w:color w:val="auto"/>
        </w:rPr>
        <w:t xml:space="preserve"> № 178-рп утвержден план мероприятий («дорожная карта») по погашению (реструктуризации) кредиторской задолженности республиканского бюджета Кабардино-Балкарской Республики и государственных бюджетных и автономных учреждений Кабардино-Балкарской Республики на 2024 - 2026 годы, одним из условий которого являлось соблюдение целевого показателя «Доля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Федерации», предусмотренного государственной программой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финансами», утвержденной постановлением Правительства Российской Федерации от </w:t>
      </w:r>
      <w:r w:rsidR="00344769">
        <w:rPr>
          <w:color w:val="auto"/>
        </w:rPr>
        <w:br/>
      </w:r>
      <w:r w:rsidRPr="00F26961">
        <w:rPr>
          <w:color w:val="auto"/>
        </w:rPr>
        <w:t>18</w:t>
      </w:r>
      <w:r w:rsidR="007F6CB8">
        <w:rPr>
          <w:color w:val="auto"/>
        </w:rPr>
        <w:t xml:space="preserve">.05.2016 </w:t>
      </w:r>
      <w:r w:rsidR="00C314E4">
        <w:rPr>
          <w:color w:val="auto"/>
        </w:rPr>
        <w:t>года</w:t>
      </w:r>
      <w:r w:rsidRPr="00F26961">
        <w:rPr>
          <w:color w:val="auto"/>
        </w:rPr>
        <w:t xml:space="preserve"> № 445. Указанный показатель в</w:t>
      </w:r>
      <w:r w:rsidRPr="000F7D97">
        <w:t xml:space="preserve"> 202</w:t>
      </w:r>
      <w:r w:rsidR="000F7D97" w:rsidRPr="000F7D97">
        <w:t>4</w:t>
      </w:r>
      <w:r w:rsidRPr="00F26961">
        <w:rPr>
          <w:color w:val="auto"/>
        </w:rPr>
        <w:t xml:space="preserve"> году не должен был превышать 0,03%. По итогам 2024</w:t>
      </w:r>
      <w:r w:rsidR="002D576D">
        <w:rPr>
          <w:color w:val="auto"/>
        </w:rPr>
        <w:t xml:space="preserve"> </w:t>
      </w:r>
      <w:r w:rsidRPr="00F26961">
        <w:rPr>
          <w:color w:val="auto"/>
        </w:rPr>
        <w:t>года просроченная кредиторская задолженность отсутствует.</w:t>
      </w:r>
    </w:p>
    <w:p w14:paraId="6CE2B378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3. Продолжена работа по оказанию методической поддержки участников бюджетного процесса, бюджетных и автономных учреждений по вопросам бухгалтерского учета и обеспечению понятности и открытости регулирования в данной сфере. Так, в 2024 году на официальном сайте Министерства финансов Кабардино-Балкарской Республики в информационно-телекоммуникационной сети интернет размещено 6методические рекомендации в сфере бухгалтерского учета и отчетности (расчет заработной платы, настройка электронного документооборота, формирование отчетности и др.).</w:t>
      </w:r>
    </w:p>
    <w:p w14:paraId="500BECFE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 xml:space="preserve">4. Продолжена работа по организации электронного документооборота (далее – ЭДО). На конец 2024 года ЭДО настроен между 1000 учреждениями и более 5000 поставщиками. </w:t>
      </w:r>
    </w:p>
    <w:p w14:paraId="748FA36A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5. В автоматизированном режиме через Сегмент управления обращениями, обработано более 1021 обращение участников бюджетного процесса КБР, а также бюджетных, автономных учреждений в сфере методической и технической поддержки ведения бухгалтерского учета, и составления отчётности.</w:t>
      </w:r>
    </w:p>
    <w:p w14:paraId="457CFCDD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6. В сегменте управления бюджетным процессом информационной системы управления общественными финансами КБР были перенесены остатки неиспользованных средств в 2024 году юридическими лицами (558 строк), бюджетными и автономными учреждениями (141 строка), средств во временном распоряжении (36 строк), казенными учреждениями (39 строк).</w:t>
      </w:r>
    </w:p>
    <w:p w14:paraId="66FD7EBA" w14:textId="2F1F8EAE" w:rsidR="00F26961" w:rsidRPr="00F26961" w:rsidRDefault="000F7D97" w:rsidP="00F26961">
      <w:pPr>
        <w:rPr>
          <w:color w:val="auto"/>
        </w:rPr>
      </w:pPr>
      <w:r>
        <w:rPr>
          <w:color w:val="auto"/>
        </w:rPr>
        <w:t>7. В подсистеме </w:t>
      </w:r>
      <w:r w:rsidR="00F26961" w:rsidRPr="00F26961">
        <w:rPr>
          <w:color w:val="auto"/>
        </w:rPr>
        <w:t>«Бюджетное планирование» государственной интегрированной информационной системы управления общественными финансами «Электронный бюджет» заполнена ежегодна форма по срокам представления отчетности в разрезе главных распорядителей бюджетных средств республиканского бюджета КБР (1242 строки).</w:t>
      </w:r>
    </w:p>
    <w:p w14:paraId="25F39A9C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8. Проводился ежемесячный мониторинг соотношения данных отчетных форм Федерального казначейства, данным, отраженным в ГИИС «Электронный бюджет» в части:</w:t>
      </w:r>
    </w:p>
    <w:p w14:paraId="0D7F21E0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формы 0503140 «Баланс по поступлениям и выбытиям бюджетных средств»;</w:t>
      </w:r>
    </w:p>
    <w:p w14:paraId="614341A0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исполнения республиканского бюджета;</w:t>
      </w:r>
    </w:p>
    <w:p w14:paraId="6C397A41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ведение лицевых счетов бюджетных и автономных учреждений;</w:t>
      </w:r>
    </w:p>
    <w:p w14:paraId="7413F55D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ведение лицевых счетов юридических лиц;</w:t>
      </w:r>
    </w:p>
    <w:p w14:paraId="3CB8E466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данных по республиканскому бюджету.</w:t>
      </w:r>
    </w:p>
    <w:p w14:paraId="1C1F0163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9. Ежемесячная сверка следующих отчетов главных распорядителей бюджетных средств республиканского бюджета КБР и местных бюджетов по форме:</w:t>
      </w:r>
    </w:p>
    <w:p w14:paraId="6C84EEC1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(41 отчет);</w:t>
      </w:r>
    </w:p>
    <w:p w14:paraId="42C8605E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- 0503125 «</w:t>
      </w:r>
      <w:hyperlink r:id="rId18" w:history="1">
        <w:r w:rsidRPr="00F26961">
          <w:rPr>
            <w:color w:val="auto"/>
          </w:rPr>
          <w:t>Справка</w:t>
        </w:r>
      </w:hyperlink>
      <w:r w:rsidRPr="00F26961">
        <w:rPr>
          <w:color w:val="auto"/>
        </w:rPr>
        <w:t xml:space="preserve"> по консолидируемым расчетам» (191 отчет);</w:t>
      </w:r>
    </w:p>
    <w:p w14:paraId="1C25D28A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- 0503169 «</w:t>
      </w:r>
      <w:hyperlink r:id="rId19" w:history="1">
        <w:r w:rsidRPr="00F26961">
          <w:rPr>
            <w:color w:val="auto"/>
          </w:rPr>
          <w:t>Сведениях</w:t>
        </w:r>
      </w:hyperlink>
      <w:r w:rsidRPr="00F26961">
        <w:rPr>
          <w:color w:val="auto"/>
        </w:rPr>
        <w:t xml:space="preserve"> по дебиторской и кредиторской задолженности» (84 отчета);</w:t>
      </w:r>
    </w:p>
    <w:p w14:paraId="720AAA2F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- 0503769 «Сведениях по дебиторской и кредиторской задолженности бюджетных и автономных учреждений» (76 отчетов);</w:t>
      </w:r>
    </w:p>
    <w:p w14:paraId="1E2FB3CE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- 0503387 «Справочная таблица об исполнении консолидированного бюджета (13 отчетов);</w:t>
      </w:r>
    </w:p>
    <w:p w14:paraId="27119A83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 xml:space="preserve">- 0503317 «Отчет об исполнении консолидированного бюджета» </w:t>
      </w:r>
      <w:r w:rsidRPr="00F26961">
        <w:rPr>
          <w:color w:val="auto"/>
        </w:rPr>
        <w:br/>
        <w:t>(10 отчетов);</w:t>
      </w:r>
    </w:p>
    <w:p w14:paraId="696161AA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- 0503117 «Отчет о кассовом поступлении и выбытии бюджетных средств» (3 отчета);</w:t>
      </w:r>
    </w:p>
    <w:p w14:paraId="57EC9AF0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- 0503117 - НП «Отчет об исполнении бюджета по национальным проектам» (65 отчетов);</w:t>
      </w:r>
    </w:p>
    <w:p w14:paraId="2B00BD69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- 0503128 – НП «Отчет о бюджетных обязательствах по национальным проектам» (65 отчетов);</w:t>
      </w:r>
    </w:p>
    <w:p w14:paraId="566F1EEA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- 0503738 – НП «Отчет об обязательствах учреждений по национальным проектам».</w:t>
      </w:r>
    </w:p>
    <w:p w14:paraId="0001D293" w14:textId="77777777" w:rsidR="00F26961" w:rsidRPr="00F26961" w:rsidRDefault="00F26961" w:rsidP="00F26961">
      <w:pPr>
        <w:rPr>
          <w:color w:val="auto"/>
        </w:rPr>
      </w:pPr>
      <w:r w:rsidRPr="00F26961">
        <w:rPr>
          <w:color w:val="auto"/>
        </w:rPr>
        <w:t>10. Проведен прием, проверка и представление в МОУ ФК консолидированного отчета об исполнении бюджета КБР за 2023 год. Отчетность представлена в срок и без замечаний. В программе 1 С «СВОД отчетов» в рамках годовой отчетности было проверено 2348 отчетов главных распорядителей бюджетных средств республиканского бюджета КБР, местных бюджетов, федеральных служб и Территориального фонда обязательного медицинского страхования. Консолидированные отчеты были направлены в Федеральное казначейство через ГИИС «Электронный бюджет» (141 отчет) в срок и без замечаний.</w:t>
      </w:r>
    </w:p>
    <w:p w14:paraId="5F3FF891" w14:textId="77777777" w:rsidR="005F02E3" w:rsidRPr="00034CD9" w:rsidRDefault="005F02E3" w:rsidP="001327A7">
      <w:pPr>
        <w:pStyle w:val="24"/>
        <w:numPr>
          <w:ilvl w:val="0"/>
          <w:numId w:val="0"/>
        </w:numPr>
        <w:spacing w:before="0" w:after="0"/>
        <w:ind w:left="710"/>
        <w:rPr>
          <w:color w:val="FF0000"/>
        </w:rPr>
      </w:pPr>
    </w:p>
    <w:p w14:paraId="26475B1D" w14:textId="1AD4BDC2" w:rsidR="001327A7" w:rsidRDefault="002C24EA" w:rsidP="001327A7">
      <w:pPr>
        <w:pStyle w:val="24"/>
        <w:numPr>
          <w:ilvl w:val="0"/>
          <w:numId w:val="0"/>
        </w:numPr>
        <w:spacing w:before="0" w:after="0"/>
        <w:ind w:left="710"/>
        <w:rPr>
          <w:color w:val="FF0000"/>
        </w:rPr>
      </w:pPr>
      <w:bookmarkStart w:id="121" w:name="_Toc162008801"/>
      <w:r w:rsidRPr="00370B39">
        <w:rPr>
          <w:color w:val="568D11" w:themeColor="accent3" w:themeShade="80"/>
        </w:rPr>
        <w:t>9</w:t>
      </w:r>
      <w:r w:rsidR="008B0C90" w:rsidRPr="00370B39">
        <w:rPr>
          <w:color w:val="568D11" w:themeColor="accent3" w:themeShade="80"/>
        </w:rPr>
        <w:t>.</w:t>
      </w:r>
      <w:r w:rsidR="00B13A04">
        <w:rPr>
          <w:color w:val="568D11" w:themeColor="accent3" w:themeShade="80"/>
        </w:rPr>
        <w:t xml:space="preserve"> </w:t>
      </w:r>
      <w:r w:rsidR="00F811F4" w:rsidRPr="00370B39">
        <w:rPr>
          <w:color w:val="568D11" w:themeColor="accent3" w:themeShade="80"/>
        </w:rPr>
        <w:t>Деятельность Министерства финансов КБР в правовой сфере</w:t>
      </w:r>
      <w:bookmarkStart w:id="122" w:name="_Toc482701256"/>
      <w:bookmarkEnd w:id="119"/>
      <w:r w:rsidR="004F2163">
        <w:rPr>
          <w:color w:val="568D11" w:themeColor="accent3" w:themeShade="80"/>
        </w:rPr>
        <w:t xml:space="preserve"> и</w:t>
      </w:r>
      <w:r w:rsidR="00F811F4" w:rsidRPr="00370B39">
        <w:rPr>
          <w:color w:val="568D11" w:themeColor="accent3" w:themeShade="80"/>
        </w:rPr>
        <w:t xml:space="preserve"> в сфере государственного финансового контроля</w:t>
      </w:r>
      <w:bookmarkEnd w:id="120"/>
      <w:bookmarkEnd w:id="122"/>
      <w:bookmarkEnd w:id="121"/>
      <w:r w:rsidR="004F2163">
        <w:rPr>
          <w:color w:val="568D11" w:themeColor="accent3" w:themeShade="80"/>
        </w:rPr>
        <w:t xml:space="preserve"> </w:t>
      </w:r>
      <w:bookmarkStart w:id="123" w:name="_Hlk192756339"/>
    </w:p>
    <w:p w14:paraId="6E80777E" w14:textId="77777777" w:rsidR="007F6CB8" w:rsidRPr="00244952" w:rsidRDefault="007F6CB8" w:rsidP="001327A7">
      <w:pPr>
        <w:pStyle w:val="24"/>
        <w:numPr>
          <w:ilvl w:val="0"/>
          <w:numId w:val="0"/>
        </w:numPr>
        <w:spacing w:before="0" w:after="0"/>
        <w:ind w:left="710"/>
        <w:rPr>
          <w:color w:val="000000" w:themeColor="text1"/>
        </w:rPr>
      </w:pPr>
    </w:p>
    <w:p w14:paraId="1A7F401A" w14:textId="6F410753" w:rsidR="001327A7" w:rsidRPr="003D0604" w:rsidRDefault="001327A7" w:rsidP="00244952">
      <w:pPr>
        <w:widowControl/>
        <w:rPr>
          <w:rFonts w:eastAsia="Calibri"/>
        </w:rPr>
      </w:pPr>
      <w:r w:rsidRPr="003D0604">
        <w:rPr>
          <w:rFonts w:eastAsia="Calibri"/>
        </w:rPr>
        <w:t>За 202</w:t>
      </w:r>
      <w:r w:rsidR="00A07993" w:rsidRPr="003D0604">
        <w:rPr>
          <w:rFonts w:eastAsia="Calibri"/>
        </w:rPr>
        <w:t>4</w:t>
      </w:r>
      <w:r w:rsidRPr="003D0604">
        <w:rPr>
          <w:rFonts w:eastAsia="Calibri"/>
        </w:rPr>
        <w:t xml:space="preserve"> год в производстве судебных органов с</w:t>
      </w:r>
      <w:r w:rsidR="00244952" w:rsidRPr="003D0604">
        <w:rPr>
          <w:rFonts w:eastAsia="Calibri"/>
        </w:rPr>
        <w:t xml:space="preserve"> участием Министерства финансов </w:t>
      </w:r>
      <w:r w:rsidRPr="003D0604">
        <w:rPr>
          <w:rFonts w:eastAsia="Calibri"/>
        </w:rPr>
        <w:t xml:space="preserve">Кабардино-Балкарской Республики находилось </w:t>
      </w:r>
      <w:r w:rsidR="002A71D5" w:rsidRPr="003D0604">
        <w:rPr>
          <w:rFonts w:eastAsia="Calibri"/>
        </w:rPr>
        <w:t>5</w:t>
      </w:r>
      <w:r w:rsidRPr="003D0604">
        <w:rPr>
          <w:rFonts w:eastAsia="Calibri"/>
        </w:rPr>
        <w:t>3 дела.</w:t>
      </w:r>
    </w:p>
    <w:p w14:paraId="1ECAF3BF" w14:textId="730749BD" w:rsidR="001327A7" w:rsidRPr="003D0604" w:rsidRDefault="001327A7" w:rsidP="00244952">
      <w:pPr>
        <w:widowControl/>
        <w:rPr>
          <w:rFonts w:eastAsia="Calibri"/>
        </w:rPr>
      </w:pPr>
      <w:r w:rsidRPr="003D0604">
        <w:rPr>
          <w:rFonts w:eastAsia="Calibri"/>
        </w:rPr>
        <w:t xml:space="preserve">Общая сумма исковых требований в размере </w:t>
      </w:r>
      <w:r w:rsidR="003D0604" w:rsidRPr="003D0604">
        <w:rPr>
          <w:rFonts w:eastAsia="Calibri"/>
        </w:rPr>
        <w:t>21,0</w:t>
      </w:r>
      <w:r w:rsidRPr="003D0604">
        <w:rPr>
          <w:rFonts w:eastAsia="Calibri"/>
        </w:rPr>
        <w:t xml:space="preserve"> млн рублей о взыскании с Кабардино-Балкарской Республики компенсаций за нарушение права   на   исполнение судебных актов, предусматривающих внеочередное предоставление жилья детям сиротам и лицам из их ч</w:t>
      </w:r>
      <w:r w:rsidR="00244952" w:rsidRPr="003D0604">
        <w:rPr>
          <w:rFonts w:eastAsia="Calibri"/>
        </w:rPr>
        <w:t>исла в разумный срок, снижена до</w:t>
      </w:r>
      <w:r w:rsidRPr="003D0604">
        <w:rPr>
          <w:rFonts w:eastAsia="Calibri"/>
        </w:rPr>
        <w:t xml:space="preserve"> </w:t>
      </w:r>
      <w:r w:rsidR="003D0604" w:rsidRPr="003D0604">
        <w:rPr>
          <w:rFonts w:eastAsia="Calibri"/>
        </w:rPr>
        <w:t>8</w:t>
      </w:r>
      <w:r w:rsidRPr="003D0604">
        <w:rPr>
          <w:rFonts w:eastAsia="Calibri"/>
        </w:rPr>
        <w:t xml:space="preserve">,0 млн рублей. </w:t>
      </w:r>
    </w:p>
    <w:p w14:paraId="6AF5B91B" w14:textId="0B55E3CD" w:rsidR="001327A7" w:rsidRPr="003D0604" w:rsidRDefault="001327A7" w:rsidP="00244952">
      <w:pPr>
        <w:widowControl/>
        <w:rPr>
          <w:rFonts w:eastAsia="Calibri"/>
        </w:rPr>
      </w:pPr>
      <w:r w:rsidRPr="003D0604">
        <w:rPr>
          <w:rFonts w:eastAsia="Calibri"/>
        </w:rPr>
        <w:t>В 202</w:t>
      </w:r>
      <w:r w:rsidR="003D0604" w:rsidRPr="003D0604">
        <w:rPr>
          <w:rFonts w:eastAsia="Calibri"/>
        </w:rPr>
        <w:t>4</w:t>
      </w:r>
      <w:r w:rsidR="008860FC">
        <w:rPr>
          <w:rFonts w:eastAsia="Calibri"/>
        </w:rPr>
        <w:t xml:space="preserve"> году продолжена </w:t>
      </w:r>
      <w:r w:rsidRPr="003D0604">
        <w:rPr>
          <w:rFonts w:eastAsia="Calibri"/>
        </w:rPr>
        <w:t>работа по оспариванию требований удаленных в отставку судей Конституционного Суда Кабардино-Балкарской Республики о взыскании с Кабардино-Балкарской Республики денежных компенсаций в размере</w:t>
      </w:r>
      <w:r w:rsidR="00C0601D">
        <w:rPr>
          <w:rFonts w:eastAsia="Calibri"/>
        </w:rPr>
        <w:t xml:space="preserve"> </w:t>
      </w:r>
      <w:r w:rsidRPr="003D0604">
        <w:rPr>
          <w:rFonts w:eastAsia="Calibri"/>
        </w:rPr>
        <w:t>6,2 млн рублей</w:t>
      </w:r>
      <w:r w:rsidR="003D0604" w:rsidRPr="003D0604">
        <w:rPr>
          <w:rFonts w:eastAsia="Calibri"/>
        </w:rPr>
        <w:t>.</w:t>
      </w:r>
    </w:p>
    <w:p w14:paraId="7F2CE4A9" w14:textId="7DFFC5EE" w:rsidR="003D0604" w:rsidRPr="003D0604" w:rsidRDefault="003D0604" w:rsidP="00244952">
      <w:pPr>
        <w:widowControl/>
        <w:rPr>
          <w:rFonts w:eastAsia="Calibri"/>
        </w:rPr>
      </w:pPr>
      <w:r w:rsidRPr="003D0604">
        <w:rPr>
          <w:rFonts w:eastAsia="Calibri"/>
        </w:rPr>
        <w:t>Проводилась судебная защита в рамках оспаривания ежегодно утверждаемых Правительством КБР перечней объектов недвижимого имущества, всего 23 дела.</w:t>
      </w:r>
    </w:p>
    <w:p w14:paraId="6FCB2F07" w14:textId="195169B3" w:rsidR="00244952" w:rsidRPr="003D0604" w:rsidRDefault="00244952" w:rsidP="00244952">
      <w:pPr>
        <w:widowControl/>
        <w:rPr>
          <w:rFonts w:eastAsia="Calibri"/>
        </w:rPr>
      </w:pPr>
      <w:r w:rsidRPr="003D0604">
        <w:rPr>
          <w:rFonts w:eastAsia="Calibri"/>
        </w:rPr>
        <w:t>В 202</w:t>
      </w:r>
      <w:r w:rsidR="00A07993" w:rsidRPr="003D0604">
        <w:rPr>
          <w:rFonts w:eastAsia="Calibri"/>
        </w:rPr>
        <w:t>4</w:t>
      </w:r>
      <w:r w:rsidRPr="003D0604">
        <w:rPr>
          <w:rFonts w:eastAsia="Calibri"/>
        </w:rPr>
        <w:t xml:space="preserve"> году открыто </w:t>
      </w:r>
      <w:r w:rsidR="00A07993" w:rsidRPr="003D0604">
        <w:rPr>
          <w:rFonts w:eastAsia="Calibri"/>
        </w:rPr>
        <w:t>475</w:t>
      </w:r>
      <w:r w:rsidRPr="003D0604">
        <w:rPr>
          <w:rFonts w:eastAsia="Calibri"/>
        </w:rPr>
        <w:t xml:space="preserve"> лицевых счет</w:t>
      </w:r>
      <w:r w:rsidR="007F6CB8">
        <w:rPr>
          <w:rFonts w:eastAsia="Calibri"/>
        </w:rPr>
        <w:t>ов</w:t>
      </w:r>
      <w:r w:rsidRPr="003D0604">
        <w:rPr>
          <w:rFonts w:eastAsia="Calibri"/>
        </w:rPr>
        <w:t xml:space="preserve">; продолжается работа по ведению и дальнейшему юридическому сопровождению лицевых счетов получателей средств республиканского бюджета (участники и не участники бюджетного процесса).        </w:t>
      </w:r>
    </w:p>
    <w:p w14:paraId="60D800E0" w14:textId="0AA4A92C" w:rsidR="001327A7" w:rsidRPr="003D0604" w:rsidRDefault="001327A7" w:rsidP="00244952">
      <w:pPr>
        <w:widowControl/>
        <w:rPr>
          <w:rFonts w:eastAsia="Calibri"/>
        </w:rPr>
      </w:pPr>
      <w:r w:rsidRPr="003D0604">
        <w:rPr>
          <w:rFonts w:eastAsia="Calibri"/>
        </w:rPr>
        <w:t>В 202</w:t>
      </w:r>
      <w:r w:rsidR="003D0604" w:rsidRPr="003D0604">
        <w:rPr>
          <w:rFonts w:eastAsia="Calibri"/>
        </w:rPr>
        <w:t>4</w:t>
      </w:r>
      <w:r w:rsidRPr="003D0604">
        <w:rPr>
          <w:rFonts w:eastAsia="Calibri"/>
        </w:rPr>
        <w:t xml:space="preserve"> году на исполнении находил</w:t>
      </w:r>
      <w:r w:rsidR="004E6CF2">
        <w:rPr>
          <w:rFonts w:eastAsia="Calibri"/>
        </w:rPr>
        <w:t>ся</w:t>
      </w:r>
      <w:r w:rsidRPr="003D0604">
        <w:rPr>
          <w:rFonts w:eastAsia="Calibri"/>
        </w:rPr>
        <w:t xml:space="preserve"> </w:t>
      </w:r>
      <w:r w:rsidR="002A71D5" w:rsidRPr="003D0604">
        <w:rPr>
          <w:rFonts w:eastAsia="Calibri"/>
        </w:rPr>
        <w:t>261</w:t>
      </w:r>
      <w:r w:rsidRPr="003D0604">
        <w:rPr>
          <w:rFonts w:eastAsia="Calibri"/>
        </w:rPr>
        <w:t xml:space="preserve"> исполнительны</w:t>
      </w:r>
      <w:r w:rsidR="004E6CF2">
        <w:rPr>
          <w:rFonts w:eastAsia="Calibri"/>
        </w:rPr>
        <w:t>й</w:t>
      </w:r>
      <w:r w:rsidRPr="003D0604">
        <w:rPr>
          <w:rFonts w:eastAsia="Calibri"/>
        </w:rPr>
        <w:t xml:space="preserve"> документ на общую сумму </w:t>
      </w:r>
      <w:r w:rsidR="002A71D5" w:rsidRPr="003D0604">
        <w:rPr>
          <w:rFonts w:eastAsia="Calibri"/>
        </w:rPr>
        <w:t>167</w:t>
      </w:r>
      <w:r w:rsidRPr="003D0604">
        <w:rPr>
          <w:rFonts w:eastAsia="Calibri"/>
        </w:rPr>
        <w:t>,</w:t>
      </w:r>
      <w:r w:rsidR="002A71D5" w:rsidRPr="003D0604">
        <w:rPr>
          <w:rFonts w:eastAsia="Calibri"/>
        </w:rPr>
        <w:t>3</w:t>
      </w:r>
      <w:r w:rsidRPr="003D0604">
        <w:rPr>
          <w:rFonts w:eastAsia="Calibri"/>
        </w:rPr>
        <w:t xml:space="preserve"> млн рублей.</w:t>
      </w:r>
    </w:p>
    <w:p w14:paraId="59A6696A" w14:textId="7B864E4D" w:rsidR="001327A7" w:rsidRDefault="001327A7" w:rsidP="00244952">
      <w:pPr>
        <w:widowControl/>
        <w:rPr>
          <w:rFonts w:eastAsia="Calibri"/>
        </w:rPr>
      </w:pPr>
      <w:r w:rsidRPr="003D0604">
        <w:rPr>
          <w:rFonts w:eastAsia="Calibri"/>
        </w:rPr>
        <w:t>По состоянию на 1 января 202</w:t>
      </w:r>
      <w:r w:rsidR="008860FC">
        <w:rPr>
          <w:rFonts w:eastAsia="Calibri"/>
        </w:rPr>
        <w:t xml:space="preserve">5 </w:t>
      </w:r>
      <w:r w:rsidRPr="003D0604">
        <w:rPr>
          <w:rFonts w:eastAsia="Calibri"/>
        </w:rPr>
        <w:t xml:space="preserve">года </w:t>
      </w:r>
      <w:r w:rsidR="003D0604" w:rsidRPr="003D0604">
        <w:rPr>
          <w:rFonts w:eastAsia="Calibri"/>
        </w:rPr>
        <w:t>с</w:t>
      </w:r>
      <w:r w:rsidRPr="003D0604">
        <w:rPr>
          <w:rFonts w:eastAsia="Calibri"/>
        </w:rPr>
        <w:t>умма остатка к оплате по исполнительным документам, предъявленным к казне Кабардин</w:t>
      </w:r>
      <w:r w:rsidR="00244952" w:rsidRPr="003D0604">
        <w:rPr>
          <w:rFonts w:eastAsia="Calibri"/>
        </w:rPr>
        <w:t>о-Балкарской Республики, составила</w:t>
      </w:r>
      <w:r w:rsidRPr="003D0604">
        <w:rPr>
          <w:rFonts w:eastAsia="Calibri"/>
        </w:rPr>
        <w:t xml:space="preserve"> </w:t>
      </w:r>
      <w:r w:rsidR="002B01B7">
        <w:rPr>
          <w:rFonts w:eastAsia="Calibri"/>
        </w:rPr>
        <w:br/>
      </w:r>
      <w:r w:rsidRPr="003D0604">
        <w:rPr>
          <w:rFonts w:eastAsia="Calibri"/>
        </w:rPr>
        <w:t>8 млн рублей.</w:t>
      </w:r>
    </w:p>
    <w:p w14:paraId="3040F50E" w14:textId="1EAB5427" w:rsidR="00075E2D" w:rsidRDefault="00075E2D" w:rsidP="00075E2D">
      <w:pPr>
        <w:widowControl/>
        <w:rPr>
          <w:rFonts w:eastAsia="Calibri"/>
        </w:rPr>
      </w:pPr>
      <w:r w:rsidRPr="00075E2D">
        <w:rPr>
          <w:rFonts w:eastAsia="Calibri"/>
        </w:rPr>
        <w:t>В 2024 году проведено 5 контрольных мероприятий, в том числе в соответствии с Планом контрольных мероприятий - 4, внеплановых контрольных мероприятий - 1. Количество проведенных выездных проверок при осуществлении внутреннего государственного (муниципального) финансового контроля - 4. В 2024 году начата проверка в части контроля в сфере закупок, предусмотренного законодательством РФ о контрактной системе в сфере закупок товаров, работ, услуг для обеспечения государственных и муниципальных нужд, которая завершена в 2025 году. Количество проведенных камеральных проверок при осуществлении внутреннего государственного (муниципального) финансового контроля - 1. Объем проверенных средств при осуществлении внутреннего государственного (муниципального) финансового контроля составил 1 243 780,3 тыс. руб</w:t>
      </w:r>
      <w:r w:rsidR="002B01B7">
        <w:rPr>
          <w:rFonts w:eastAsia="Calibri"/>
        </w:rPr>
        <w:t>лей</w:t>
      </w:r>
      <w:r w:rsidRPr="00075E2D">
        <w:rPr>
          <w:rFonts w:eastAsia="Calibri"/>
        </w:rPr>
        <w:t xml:space="preserve"> или на 72,1 % больше по сравнению с 2023 годом, выявлены нарушения на общую су</w:t>
      </w:r>
      <w:r w:rsidR="002B01B7">
        <w:rPr>
          <w:rFonts w:eastAsia="Calibri"/>
        </w:rPr>
        <w:t>мму в размере</w:t>
      </w:r>
      <w:r w:rsidR="00344769">
        <w:rPr>
          <w:rFonts w:eastAsia="Calibri"/>
        </w:rPr>
        <w:t xml:space="preserve"> </w:t>
      </w:r>
      <w:r w:rsidR="002B01B7">
        <w:rPr>
          <w:rFonts w:eastAsia="Calibri"/>
        </w:rPr>
        <w:t>73 527,8 тыс. рублей</w:t>
      </w:r>
      <w:r w:rsidRPr="00075E2D">
        <w:rPr>
          <w:rFonts w:eastAsia="Calibri"/>
        </w:rPr>
        <w:t xml:space="preserve">, что на 117,8 % больше по сравнению с предыдущим годом. </w:t>
      </w:r>
    </w:p>
    <w:p w14:paraId="444B498E" w14:textId="77777777" w:rsidR="00075E2D" w:rsidRDefault="00075E2D" w:rsidP="00075E2D">
      <w:pPr>
        <w:widowControl/>
        <w:rPr>
          <w:rFonts w:eastAsia="Calibri"/>
        </w:rPr>
      </w:pPr>
      <w:r w:rsidRPr="00075E2D">
        <w:rPr>
          <w:rFonts w:eastAsia="Calibri"/>
        </w:rPr>
        <w:t xml:space="preserve">В связи с невозможностью получения необходимой информации (документов, материалов) при проведении 4 плановых выездных проверок и 1 камеральной в 2024 году назначено и проведено 4 встречных контрольных мероприятия, в ходе проведения которых выявлено 54 факта нарушений законодательства Российской Федерации. </w:t>
      </w:r>
    </w:p>
    <w:p w14:paraId="3C345B8B" w14:textId="77777777" w:rsidR="00075E2D" w:rsidRDefault="00075E2D" w:rsidP="00075E2D">
      <w:pPr>
        <w:widowControl/>
        <w:rPr>
          <w:rFonts w:eastAsia="Calibri"/>
        </w:rPr>
      </w:pPr>
      <w:r w:rsidRPr="00075E2D">
        <w:rPr>
          <w:rFonts w:eastAsia="Calibri"/>
        </w:rPr>
        <w:t xml:space="preserve">По результатам контрольных мероприятий, 4 объектам контроля направлены Представления Минфина КБР с требованием об устранении нарушений в установленный министерством срок. </w:t>
      </w:r>
    </w:p>
    <w:p w14:paraId="04DC70AC" w14:textId="4671F5C7" w:rsidR="00075E2D" w:rsidRDefault="00075E2D" w:rsidP="00075E2D">
      <w:pPr>
        <w:widowControl/>
        <w:rPr>
          <w:rFonts w:eastAsia="Calibri"/>
        </w:rPr>
      </w:pPr>
      <w:r w:rsidRPr="00075E2D">
        <w:rPr>
          <w:rFonts w:eastAsia="Calibri"/>
        </w:rPr>
        <w:t>Должностными лицами Министерства финансов КБР возбуждены дела об административных правонарушениях, в том числе по ст. 15.15.3, части 4 ст. 15.15.6 КоАП с вынесением 2 постановлений о назначении административных штрафов на сумму 25 тыс. рублей, которые своевременно оплачены.</w:t>
      </w:r>
    </w:p>
    <w:p w14:paraId="59E5340C" w14:textId="77777777" w:rsidR="00075E2D" w:rsidRDefault="00075E2D" w:rsidP="00075E2D">
      <w:pPr>
        <w:widowControl/>
        <w:rPr>
          <w:rFonts w:eastAsia="Calibri"/>
        </w:rPr>
      </w:pPr>
      <w:r>
        <w:rPr>
          <w:rFonts w:eastAsia="Calibri"/>
        </w:rPr>
        <w:t>Проведено</w:t>
      </w:r>
      <w:r w:rsidRPr="00075E2D">
        <w:rPr>
          <w:rFonts w:eastAsia="Calibri"/>
        </w:rPr>
        <w:t xml:space="preserve"> 2 аудиторских мероприятия, в том числе 2 плановых мероприятия по теме проверки исполнения условий соглашений о мерах по социально-экономическому развитию и оздоровлению муниципальных финансов муниципальных образований КБР и соглашений о предоставлении бюджетам муниципальных образований  КБР дополнительной финансовой помощи из республиканского бюджета КБР в виде дотации на поддержку мер по обеспечению сбалансированности бюджетов муниципальных образований и проверки достоверности, своевременности составления и представления бюджетной отчетности Минфина  КБР. </w:t>
      </w:r>
    </w:p>
    <w:p w14:paraId="7FBE59F6" w14:textId="2A93E31D" w:rsidR="00075E2D" w:rsidRPr="00075E2D" w:rsidRDefault="00075E2D" w:rsidP="00075E2D">
      <w:pPr>
        <w:widowControl/>
        <w:rPr>
          <w:rFonts w:eastAsia="Calibri"/>
        </w:rPr>
      </w:pPr>
      <w:r w:rsidRPr="00075E2D">
        <w:rPr>
          <w:rFonts w:eastAsia="Calibri"/>
        </w:rPr>
        <w:t xml:space="preserve">Отделом межбюджетных отношений представлен отчет о выполнении плана мероприятий (далее – Отчет) по совершенствованию организации бюджетных процедур по результатам аудиторского мероприятия «Проверка исполнения условий соглашений о мерах по социально-экономическому развитию и оздоровлению муниципальных финансов муниципальных образований КБР и соглашений о предоставлении бюджетам муниципальных образований КБР дополнительной финансовой помощи из республиканского бюджета КБР в виде дотации на поддержку мер по обеспечению сбалансированности бюджетов муниципальных образований». Согласно отчету, в адрес муниципальных образований направлены обзоры выявленных систематических и системных недостатков и нарушений, в целях предупреждения нарушений при исполнении обязательств по соглашениям. Продолжается работа по направлению информации о выявленных фактах нарушений условий соглашений с целью применения руководителями муниципальных образований мер дисциплинарного взыскания к лицам, допустившим нарушения. Реквизиты подтверждающих документов представлены в Отчете.  </w:t>
      </w:r>
    </w:p>
    <w:p w14:paraId="1CEE9D8D" w14:textId="1B53A211" w:rsidR="00075E2D" w:rsidRPr="00075E2D" w:rsidRDefault="00075E2D" w:rsidP="00075E2D">
      <w:pPr>
        <w:widowControl/>
        <w:rPr>
          <w:rFonts w:eastAsia="Calibri"/>
        </w:rPr>
      </w:pPr>
      <w:r w:rsidRPr="00075E2D">
        <w:rPr>
          <w:rFonts w:eastAsia="Calibri"/>
        </w:rPr>
        <w:t xml:space="preserve">Рекомендации по результатам аудиторского мероприятия </w:t>
      </w:r>
      <w:r>
        <w:rPr>
          <w:rFonts w:eastAsia="Calibri"/>
        </w:rPr>
        <w:t>«</w:t>
      </w:r>
      <w:r w:rsidRPr="00075E2D">
        <w:rPr>
          <w:rFonts w:eastAsia="Calibri"/>
        </w:rPr>
        <w:t>Проверка достоверности, своевременности составления и представления бюджетной отч</w:t>
      </w:r>
      <w:r w:rsidR="002B01B7">
        <w:rPr>
          <w:rFonts w:eastAsia="Calibri"/>
        </w:rPr>
        <w:t>етности Минфина КБР за 2023 год</w:t>
      </w:r>
      <w:r>
        <w:rPr>
          <w:rFonts w:eastAsia="Calibri"/>
        </w:rPr>
        <w:t>»</w:t>
      </w:r>
      <w:r w:rsidRPr="00075E2D">
        <w:rPr>
          <w:rFonts w:eastAsia="Calibri"/>
        </w:rPr>
        <w:t xml:space="preserve"> реализованы в полной мере. Так, согласно отчету о выполнении плана мероприятий по совершенствованию организации бюджетных процедур, отделом бухгалтерского учета и финансовой отчетности проводится ежедневный мониторинг законодательства при помощи справочных систем Консультант плюс, Госфинансы, обзор нормативных актов на государственных ресурсах. </w:t>
      </w:r>
    </w:p>
    <w:bookmarkEnd w:id="123"/>
    <w:p w14:paraId="60940EDD" w14:textId="77777777" w:rsidR="00272DF6" w:rsidRPr="00D05E60" w:rsidRDefault="00272DF6" w:rsidP="0082617E">
      <w:pPr>
        <w:rPr>
          <w:color w:val="FF0000"/>
        </w:rPr>
      </w:pPr>
    </w:p>
    <w:p w14:paraId="2B0B2B33" w14:textId="77777777" w:rsidR="0099789F" w:rsidRPr="00D05E60" w:rsidRDefault="0099789F" w:rsidP="0082617E">
      <w:pPr>
        <w:rPr>
          <w:color w:val="FF0000"/>
        </w:rPr>
        <w:sectPr w:rsidR="0099789F" w:rsidRPr="00D05E60" w:rsidSect="003120DC">
          <w:headerReference w:type="default" r:id="rId20"/>
          <w:pgSz w:w="11906" w:h="16838"/>
          <w:pgMar w:top="-993" w:right="707" w:bottom="851" w:left="709" w:header="708" w:footer="708" w:gutter="0"/>
          <w:pgBorders w:offsetFrom="page">
            <w:top w:val="thickThinMediumGap" w:sz="24" w:space="24" w:color="568D11" w:themeColor="accent3" w:themeShade="80"/>
            <w:left w:val="thickThinMediumGap" w:sz="24" w:space="24" w:color="568D11" w:themeColor="accent3" w:themeShade="80"/>
            <w:bottom w:val="thickThinMediumGap" w:sz="24" w:space="24" w:color="568D11" w:themeColor="accent3" w:themeShade="80"/>
            <w:right w:val="thickThinMediumGap" w:sz="24" w:space="24" w:color="568D11" w:themeColor="accent3" w:themeShade="80"/>
          </w:pgBorders>
          <w:pgNumType w:start="0"/>
          <w:cols w:space="708"/>
          <w:titlePg/>
          <w:docGrid w:linePitch="381"/>
        </w:sectPr>
      </w:pPr>
    </w:p>
    <w:p w14:paraId="6685011E" w14:textId="73FA1B90" w:rsidR="00F811F4" w:rsidRPr="00370B39" w:rsidRDefault="008B0C90" w:rsidP="002B01B7">
      <w:pPr>
        <w:pStyle w:val="24"/>
        <w:numPr>
          <w:ilvl w:val="0"/>
          <w:numId w:val="0"/>
        </w:numPr>
        <w:spacing w:before="0" w:after="0"/>
        <w:ind w:left="1284" w:hanging="432"/>
        <w:rPr>
          <w:color w:val="568D11" w:themeColor="accent3" w:themeShade="80"/>
        </w:rPr>
      </w:pPr>
      <w:bookmarkStart w:id="124" w:name="_Toc131085645"/>
      <w:bookmarkStart w:id="125" w:name="_Toc162008802"/>
      <w:r w:rsidRPr="00370B39">
        <w:rPr>
          <w:color w:val="568D11" w:themeColor="accent3" w:themeShade="80"/>
        </w:rPr>
        <w:t>1</w:t>
      </w:r>
      <w:r w:rsidR="002C24EA" w:rsidRPr="00370B39">
        <w:rPr>
          <w:color w:val="568D11" w:themeColor="accent3" w:themeShade="80"/>
        </w:rPr>
        <w:t>0</w:t>
      </w:r>
      <w:r w:rsidRPr="00370B39">
        <w:rPr>
          <w:color w:val="568D11" w:themeColor="accent3" w:themeShade="80"/>
        </w:rPr>
        <w:t>.</w:t>
      </w:r>
      <w:r w:rsidR="00F811F4" w:rsidRPr="00370B39">
        <w:rPr>
          <w:color w:val="568D11" w:themeColor="accent3" w:themeShade="80"/>
        </w:rPr>
        <w:t xml:space="preserve">Деятельность Министерства финансов КБР в сфере профилактики </w:t>
      </w:r>
      <w:bookmarkStart w:id="126" w:name="_Toc482701261"/>
      <w:r w:rsidR="00F811F4" w:rsidRPr="00370B39">
        <w:rPr>
          <w:color w:val="568D11" w:themeColor="accent3" w:themeShade="80"/>
        </w:rPr>
        <w:t xml:space="preserve">антикоррупционных </w:t>
      </w:r>
      <w:bookmarkEnd w:id="126"/>
      <w:r w:rsidR="00F811F4" w:rsidRPr="00370B39">
        <w:rPr>
          <w:color w:val="568D11" w:themeColor="accent3" w:themeShade="80"/>
        </w:rPr>
        <w:t>нарушений</w:t>
      </w:r>
      <w:bookmarkEnd w:id="124"/>
      <w:bookmarkEnd w:id="125"/>
      <w:r w:rsidR="00310142">
        <w:rPr>
          <w:color w:val="568D11" w:themeColor="accent3" w:themeShade="80"/>
        </w:rPr>
        <w:t xml:space="preserve"> </w:t>
      </w:r>
    </w:p>
    <w:p w14:paraId="1788C194" w14:textId="77777777" w:rsidR="007162BE" w:rsidRPr="00D05E60" w:rsidRDefault="007162BE" w:rsidP="0082617E">
      <w:pPr>
        <w:pStyle w:val="24"/>
        <w:numPr>
          <w:ilvl w:val="0"/>
          <w:numId w:val="0"/>
        </w:numPr>
        <w:spacing w:before="0" w:after="0"/>
        <w:ind w:left="431"/>
        <w:jc w:val="both"/>
        <w:rPr>
          <w:color w:val="FF0000"/>
        </w:rPr>
      </w:pPr>
    </w:p>
    <w:p w14:paraId="0BDA5F0F" w14:textId="77777777" w:rsidR="00F1221F" w:rsidRPr="000253AF" w:rsidRDefault="00F1221F" w:rsidP="00F1221F">
      <w:pPr>
        <w:rPr>
          <w:color w:val="auto"/>
        </w:rPr>
      </w:pPr>
      <w:bookmarkStart w:id="127" w:name="_Toc482701257"/>
      <w:r w:rsidRPr="000253AF">
        <w:rPr>
          <w:color w:val="auto"/>
        </w:rPr>
        <w:t xml:space="preserve">В соответствии с требованиями антикоррупционного законодательства в Министерстве финансов Кабардино-Балкарской Республики ведется работа по предупреждению и предотвращению коррупционных правонарушений: </w:t>
      </w:r>
    </w:p>
    <w:p w14:paraId="537D8270" w14:textId="77777777" w:rsidR="00F1221F" w:rsidRPr="000253AF" w:rsidRDefault="00F1221F" w:rsidP="00F1221F">
      <w:pPr>
        <w:rPr>
          <w:color w:val="auto"/>
        </w:rPr>
      </w:pPr>
      <w:r w:rsidRPr="000253AF">
        <w:rPr>
          <w:color w:val="auto"/>
        </w:rPr>
        <w:t>- проводится антикоррупционная экспертиза нормативных актов и их проектов;</w:t>
      </w:r>
    </w:p>
    <w:p w14:paraId="1101E12D" w14:textId="77777777" w:rsidR="00F1221F" w:rsidRPr="000253AF" w:rsidRDefault="00F1221F" w:rsidP="00F1221F">
      <w:pPr>
        <w:rPr>
          <w:color w:val="auto"/>
        </w:rPr>
      </w:pPr>
      <w:r w:rsidRPr="000253AF">
        <w:rPr>
          <w:color w:val="auto"/>
        </w:rPr>
        <w:t>- рассматриваются обращения граждан и организаций, направляются ответы в виде разъяснений и консультаций;</w:t>
      </w:r>
    </w:p>
    <w:p w14:paraId="102830B3" w14:textId="77777777" w:rsidR="00F1221F" w:rsidRPr="000253AF" w:rsidRDefault="00F1221F" w:rsidP="00F1221F">
      <w:pPr>
        <w:rPr>
          <w:color w:val="auto"/>
        </w:rPr>
      </w:pPr>
      <w:r w:rsidRPr="000253AF">
        <w:rPr>
          <w:color w:val="auto"/>
        </w:rPr>
        <w:t xml:space="preserve">- приводятся в соответствие с действующим законодательством (актуализируются) локальные правовые акты министерства; </w:t>
      </w:r>
    </w:p>
    <w:p w14:paraId="70E10317" w14:textId="77777777" w:rsidR="00F1221F" w:rsidRPr="000253AF" w:rsidRDefault="00F1221F" w:rsidP="00F1221F">
      <w:pPr>
        <w:rPr>
          <w:color w:val="auto"/>
        </w:rPr>
      </w:pPr>
      <w:r w:rsidRPr="000253AF">
        <w:rPr>
          <w:color w:val="auto"/>
        </w:rPr>
        <w:t xml:space="preserve">- проводятся консультации для служащих министерства; </w:t>
      </w:r>
    </w:p>
    <w:p w14:paraId="03406ED0" w14:textId="77777777" w:rsidR="00F1221F" w:rsidRPr="000253AF" w:rsidRDefault="00F1221F" w:rsidP="00F1221F">
      <w:pPr>
        <w:rPr>
          <w:color w:val="auto"/>
        </w:rPr>
      </w:pPr>
      <w:r w:rsidRPr="000253AF">
        <w:rPr>
          <w:color w:val="auto"/>
        </w:rPr>
        <w:t xml:space="preserve">- контролируются вопросы исполнения законодательно установленных антикоррупционных обязанностей гражданских служащих; </w:t>
      </w:r>
    </w:p>
    <w:p w14:paraId="59E7D2F0" w14:textId="77777777" w:rsidR="00F1221F" w:rsidRPr="000253AF" w:rsidRDefault="00F1221F" w:rsidP="00F1221F">
      <w:pPr>
        <w:rPr>
          <w:color w:val="auto"/>
        </w:rPr>
      </w:pPr>
      <w:r w:rsidRPr="000253AF">
        <w:rPr>
          <w:color w:val="auto"/>
        </w:rPr>
        <w:t xml:space="preserve">- обеспечивается работа Комиссии Министерства финансов КБР по соблюдению требований к служебному поведению государственных гражданских служащих и урегулированию конфликта интересов; </w:t>
      </w:r>
    </w:p>
    <w:p w14:paraId="2D9435EE" w14:textId="77777777" w:rsidR="00F1221F" w:rsidRPr="000253AF" w:rsidRDefault="00F1221F" w:rsidP="00F1221F">
      <w:pPr>
        <w:rPr>
          <w:color w:val="auto"/>
        </w:rPr>
      </w:pPr>
      <w:r w:rsidRPr="000253AF">
        <w:rPr>
          <w:color w:val="auto"/>
        </w:rPr>
        <w:t>- работает группа по противодействию коррупции, вопросы исполнения ведомственного плана рассматриваются на заседаниях Общественного совета при Министерстве финансов КБР;</w:t>
      </w:r>
    </w:p>
    <w:p w14:paraId="29E5B5CB" w14:textId="77777777" w:rsidR="00F1221F" w:rsidRPr="00732011" w:rsidRDefault="00F1221F" w:rsidP="00F1221F">
      <w:r w:rsidRPr="00732011">
        <w:t>- прочие мероприятия.</w:t>
      </w:r>
    </w:p>
    <w:p w14:paraId="6869AFF6" w14:textId="77777777" w:rsidR="00F1221F" w:rsidRPr="00732011" w:rsidRDefault="00F1221F" w:rsidP="00F1221F">
      <w:r w:rsidRPr="00732011">
        <w:t>Для повышения информированности сотрудников Минфина КБР о мерах по противодействию коррупции, на стендах в здании министерства размещена и поддерживается в актуальном состоянии информация:</w:t>
      </w:r>
    </w:p>
    <w:p w14:paraId="39906448" w14:textId="2681346B" w:rsidR="00F1221F" w:rsidRPr="00732011" w:rsidRDefault="00F1221F" w:rsidP="00F1221F">
      <w:r w:rsidRPr="00732011">
        <w:t xml:space="preserve">- Цель Национальной стратегии противодействия коррупции, утвержденной Указом Президента РФ от 13.04.2010 </w:t>
      </w:r>
      <w:r w:rsidR="00C314E4" w:rsidRPr="00732011">
        <w:t>года</w:t>
      </w:r>
      <w:r w:rsidRPr="00732011">
        <w:t xml:space="preserve"> № 460</w:t>
      </w:r>
      <w:r w:rsidR="00AF524E" w:rsidRPr="00732011">
        <w:t>;</w:t>
      </w:r>
    </w:p>
    <w:p w14:paraId="7363F7EB" w14:textId="52AAF685" w:rsidR="00F1221F" w:rsidRPr="00732011" w:rsidRDefault="00F1221F" w:rsidP="00F1221F">
      <w:r w:rsidRPr="00732011">
        <w:t>- Памятка о конфликте интересов на государственной и муниципальной службе</w:t>
      </w:r>
      <w:r w:rsidR="00AF524E" w:rsidRPr="00732011">
        <w:t>;</w:t>
      </w:r>
    </w:p>
    <w:p w14:paraId="5D2AE370" w14:textId="732EF97F" w:rsidR="00F1221F" w:rsidRPr="00732011" w:rsidRDefault="00F1221F" w:rsidP="00F1221F">
      <w:r w:rsidRPr="00732011">
        <w:t xml:space="preserve">- Закон КБР от 16.06.2007 </w:t>
      </w:r>
      <w:r w:rsidR="00C314E4" w:rsidRPr="00732011">
        <w:t>года</w:t>
      </w:r>
      <w:r w:rsidRPr="00732011">
        <w:t xml:space="preserve"> № 38-РЗ «О профилактике коррупции в КБР»</w:t>
      </w:r>
      <w:r w:rsidR="00AF524E" w:rsidRPr="00732011">
        <w:t>;</w:t>
      </w:r>
    </w:p>
    <w:p w14:paraId="51641D46" w14:textId="04F93E32" w:rsidR="00F1221F" w:rsidRPr="00732011" w:rsidRDefault="00F1221F" w:rsidP="00F1221F">
      <w:r w:rsidRPr="00732011">
        <w:t>- Памятка государственному гражданскому служащему, планирующему увольнение с гос</w:t>
      </w:r>
      <w:r w:rsidR="00B13A04" w:rsidRPr="00732011">
        <w:t>ударственной гражданской службы</w:t>
      </w:r>
      <w:r w:rsidR="00AF524E" w:rsidRPr="00732011">
        <w:t>;</w:t>
      </w:r>
    </w:p>
    <w:p w14:paraId="08C3DB41" w14:textId="6074387C" w:rsidR="00F1221F" w:rsidRPr="00732011" w:rsidRDefault="00F1221F" w:rsidP="00F1221F">
      <w:r w:rsidRPr="00732011">
        <w:t>-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</w:r>
      <w:r w:rsidR="00AF524E" w:rsidRPr="00732011">
        <w:t>;</w:t>
      </w:r>
    </w:p>
    <w:p w14:paraId="5CBEF167" w14:textId="4AFA6D5B" w:rsidR="00F1221F" w:rsidRPr="00732011" w:rsidRDefault="00F1221F" w:rsidP="00F1221F">
      <w:r w:rsidRPr="00732011">
        <w:t>- Международный опыт борьбы с коррупцией</w:t>
      </w:r>
      <w:r w:rsidR="00AF524E" w:rsidRPr="00732011">
        <w:t>;</w:t>
      </w:r>
    </w:p>
    <w:p w14:paraId="243FDD61" w14:textId="1BCC6348" w:rsidR="00F1221F" w:rsidRPr="00732011" w:rsidRDefault="00F1221F" w:rsidP="00F1221F">
      <w:r w:rsidRPr="00732011">
        <w:t xml:space="preserve">- О внесении изменений в 273-ФЗ «О противодействии коррупции» об осуществлении проверок в случае увольнения (прекращения полномочий) отдельных категорий лиц; об освобождении от ответственности за несоблюдение ограничений и запретов, установленных в </w:t>
      </w:r>
      <w:r w:rsidR="00AF524E" w:rsidRPr="00732011">
        <w:t>целях противодействия коррупции;</w:t>
      </w:r>
    </w:p>
    <w:p w14:paraId="411C875D" w14:textId="5D4C9241" w:rsidR="00F1221F" w:rsidRPr="00732011" w:rsidRDefault="00F1221F" w:rsidP="00F1221F">
      <w:r w:rsidRPr="00732011">
        <w:t>- О внесении изменений в статью 12 Федерального закона «О системе государственной службы РФ» и часть 1 статьи 15 Федерального закона от 27</w:t>
      </w:r>
      <w:r w:rsidR="002B4B98" w:rsidRPr="00732011">
        <w:t>.07.</w:t>
      </w:r>
      <w:r w:rsidRPr="00732011">
        <w:t xml:space="preserve">2004 </w:t>
      </w:r>
      <w:r w:rsidR="00C314E4" w:rsidRPr="00732011">
        <w:t>года</w:t>
      </w:r>
      <w:r w:rsidRPr="00732011">
        <w:t xml:space="preserve"> № 79-ФЗ «О государственной гражданской службе РФ» в части дополнения обязанностей госслужащих сообщать в письменной форме представителю нанимателя о ставших ему известными изменениях </w:t>
      </w:r>
      <w:r w:rsidR="00AF524E" w:rsidRPr="00732011">
        <w:t>сведений, содержащихся в анкете;</w:t>
      </w:r>
    </w:p>
    <w:p w14:paraId="7E81CC4E" w14:textId="131BFDFE" w:rsidR="00F1221F" w:rsidRPr="00732011" w:rsidRDefault="00F1221F" w:rsidP="00F1221F">
      <w:r w:rsidRPr="00732011">
        <w:t>- Памятка о порядке уведомления государственными гражданскими служащи</w:t>
      </w:r>
      <w:r w:rsidR="00AF524E" w:rsidRPr="00732011">
        <w:t>ми, об иной оплачиваемой работе;</w:t>
      </w:r>
    </w:p>
    <w:p w14:paraId="5487BE27" w14:textId="5611E151" w:rsidR="00F1221F" w:rsidRPr="00732011" w:rsidRDefault="00F1221F" w:rsidP="00F1221F">
      <w:r w:rsidRPr="00732011">
        <w:t xml:space="preserve">- Изменения по вопросам профилактики коррупции Указ Президента РФ от 25.01.2024 </w:t>
      </w:r>
      <w:r w:rsidR="00C314E4" w:rsidRPr="00732011">
        <w:t>года</w:t>
      </w:r>
      <w:r w:rsidR="002B4B98" w:rsidRPr="00732011">
        <w:t xml:space="preserve"> </w:t>
      </w:r>
      <w:r w:rsidRPr="00732011">
        <w:t>№ 71 «О внесении изменений в некоторые акты Президента Российской Федерации» в части поправки в ряд законодательных антикоррупционных актов, в том числе в документ, утверждающий форму справки о доходах, и правовой акт, регулирующий работу комиссии по кон</w:t>
      </w:r>
      <w:r w:rsidR="00AF524E" w:rsidRPr="00732011">
        <w:t>фликту интересов;</w:t>
      </w:r>
    </w:p>
    <w:p w14:paraId="7696B4B5" w14:textId="77777777" w:rsidR="00F1221F" w:rsidRPr="00732011" w:rsidRDefault="00F1221F" w:rsidP="00F1221F">
      <w:r w:rsidRPr="00732011">
        <w:t>- Обзор изменений в законодательстве по противодействию коррупции за 2024 года:</w:t>
      </w:r>
    </w:p>
    <w:p w14:paraId="0E9F7C18" w14:textId="02F18809" w:rsidR="00F1221F" w:rsidRPr="00732011" w:rsidRDefault="00F1221F" w:rsidP="00F1221F">
      <w:r w:rsidRPr="00732011">
        <w:t xml:space="preserve">    Письмо Минтруда России от 05.08.2024</w:t>
      </w:r>
      <w:r w:rsidR="002B4B98" w:rsidRPr="00732011">
        <w:t xml:space="preserve"> </w:t>
      </w:r>
      <w:r w:rsidR="00C314E4" w:rsidRPr="00732011">
        <w:t>года</w:t>
      </w:r>
      <w:r w:rsidRPr="00732011">
        <w:t xml:space="preserve"> </w:t>
      </w:r>
      <w:r w:rsidR="002B4B98" w:rsidRPr="00732011">
        <w:t>№</w:t>
      </w:r>
      <w:r w:rsidRPr="00732011">
        <w:t xml:space="preserve"> 28-6/10/В-12568 «О порядке проведения проверки соблюдения ограничений, налагаемых на граждан Российской Федерации после их увольнения с государственной службы Российской Федерации или муниципальной службы»;</w:t>
      </w:r>
    </w:p>
    <w:p w14:paraId="17684D68" w14:textId="1D991AC1" w:rsidR="00F1221F" w:rsidRPr="00732011" w:rsidRDefault="00F1221F" w:rsidP="00F1221F">
      <w:r w:rsidRPr="00732011">
        <w:t xml:space="preserve">     Письмо Минтруда России от 20.09.2024</w:t>
      </w:r>
      <w:r w:rsidR="000B3EF2" w:rsidRPr="00732011">
        <w:t xml:space="preserve"> </w:t>
      </w:r>
      <w:r w:rsidR="00C314E4" w:rsidRPr="00732011">
        <w:t>года</w:t>
      </w:r>
      <w:r w:rsidRPr="00732011">
        <w:t xml:space="preserve"> № 28-6/10/В-15619 «О направлении информационного письма по вопросам защиты лиц, сообщивших о ставших им известными фактах коррупции»;</w:t>
      </w:r>
    </w:p>
    <w:p w14:paraId="670240FB" w14:textId="77777777" w:rsidR="00F31787" w:rsidRPr="00732011" w:rsidRDefault="00F1221F" w:rsidP="007F6CB8">
      <w:r w:rsidRPr="00732011">
        <w:t xml:space="preserve">- Указ Президента Российской Федерации от 11.11.2024 </w:t>
      </w:r>
      <w:r w:rsidR="00C314E4" w:rsidRPr="00732011">
        <w:t>года</w:t>
      </w:r>
      <w:r w:rsidRPr="00732011">
        <w:t xml:space="preserve"> № 966</w:t>
      </w:r>
      <w:r w:rsidR="000B3EF2" w:rsidRPr="00732011">
        <w:t xml:space="preserve"> </w:t>
      </w:r>
      <w:r w:rsidRPr="00732011">
        <w:t xml:space="preserve">«О внесении изменений в Указ Президента Российской Федерации от </w:t>
      </w:r>
      <w:r w:rsidR="007F6CB8" w:rsidRPr="00732011">
        <w:t>0</w:t>
      </w:r>
      <w:r w:rsidRPr="00732011">
        <w:t>2</w:t>
      </w:r>
      <w:r w:rsidR="007F6CB8" w:rsidRPr="00732011">
        <w:t>.04.</w:t>
      </w:r>
      <w:r w:rsidRPr="00732011">
        <w:t xml:space="preserve">2013 </w:t>
      </w:r>
      <w:r w:rsidR="00C314E4" w:rsidRPr="00732011">
        <w:t>года</w:t>
      </w:r>
      <w:r w:rsidR="007F6CB8" w:rsidRPr="00732011">
        <w:br/>
      </w:r>
      <w:r w:rsidRPr="00732011">
        <w:t xml:space="preserve"> № 309 «О мерах по реализации отдельных положений Федерального закона «О противодействии коррупции». </w:t>
      </w:r>
    </w:p>
    <w:p w14:paraId="7F9125DF" w14:textId="6D72C526" w:rsidR="00F1221F" w:rsidRPr="000253AF" w:rsidRDefault="00F1221F" w:rsidP="007F6CB8">
      <w:pPr>
        <w:rPr>
          <w:color w:val="auto"/>
        </w:rPr>
      </w:pPr>
      <w:r w:rsidRPr="000253AF">
        <w:rPr>
          <w:color w:val="auto"/>
        </w:rPr>
        <w:t xml:space="preserve">За 2024 год в соответствии с утвержденным Регламентом проведена антикоррупционная экспертиза 48 правовых актов и (или) проектов, по результатам которой </w:t>
      </w:r>
      <w:r w:rsidRPr="000253AF">
        <w:rPr>
          <w:color w:val="auto"/>
          <w:lang w:eastAsia="ru-RU"/>
        </w:rPr>
        <w:t>коррупциогенных факторов не выявлено.</w:t>
      </w:r>
      <w:r w:rsidRPr="000253AF">
        <w:rPr>
          <w:color w:val="auto"/>
        </w:rPr>
        <w:t xml:space="preserve"> Все проекты нормативных актов были направлены на правовую и антикоррупционную экспертизу в Прокуратуру Кабардино-Балкарской Республики и Управление Минюста РФ по Кабардино-Балкарской Республике, размещены в сети Интернет на официальном портале Правительства Кабардино-Балкарской Республики.</w:t>
      </w:r>
    </w:p>
    <w:p w14:paraId="7E66E760" w14:textId="77777777" w:rsidR="00F1221F" w:rsidRPr="000253AF" w:rsidRDefault="00F1221F" w:rsidP="00F1221F">
      <w:pPr>
        <w:rPr>
          <w:color w:val="auto"/>
        </w:rPr>
      </w:pPr>
      <w:r w:rsidRPr="000253AF">
        <w:rPr>
          <w:color w:val="auto"/>
        </w:rPr>
        <w:t xml:space="preserve">В отчётном периоде были размещены на портале Правительства </w:t>
      </w:r>
      <w:r w:rsidRPr="000253AF">
        <w:rPr>
          <w:color w:val="auto"/>
        </w:rPr>
        <w:br/>
        <w:t>Кабардино-Балкарской Республики в сети интернет:</w:t>
      </w:r>
    </w:p>
    <w:p w14:paraId="4CC74862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приказы, законодательные и подзаконные акты в сфере деятельности министерства;</w:t>
      </w:r>
    </w:p>
    <w:p w14:paraId="1430B0D8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отчеты об исполнении республиканского бюджета (ежемесячно);</w:t>
      </w:r>
    </w:p>
    <w:p w14:paraId="2AFD0EC2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отчеты по подпрограмме противодействия коррупции(ежеквартально);</w:t>
      </w:r>
    </w:p>
    <w:p w14:paraId="492BFC79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отчеты по Плану противодействия коррупции Минфина КБР (по полугодиям);</w:t>
      </w:r>
    </w:p>
    <w:p w14:paraId="37817930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информация о работе с обращениями граждан и организаций (ежеквартально);</w:t>
      </w:r>
    </w:p>
    <w:p w14:paraId="7D12E7FF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методологические рекомендации по вопросам представления в 2024 году сведений о доходах, расходах, об имуществе и обязательствах имущественного характера и заполнения соответствующей формы справки;</w:t>
      </w:r>
    </w:p>
    <w:p w14:paraId="595B1F5D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протокола заседаний Общественного совета Минфина КБР;</w:t>
      </w:r>
    </w:p>
    <w:p w14:paraId="17CF2B33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акты обследований об определении вида разрешенного пользования объектов недвижимости;</w:t>
      </w:r>
    </w:p>
    <w:p w14:paraId="01B8F309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государственный внутренний долг КБР (ежеквартально);</w:t>
      </w:r>
    </w:p>
    <w:p w14:paraId="2F5059E4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перспективный план контрольных мероприятий Министерства финансов КБР на 2024 год;</w:t>
      </w:r>
    </w:p>
    <w:p w14:paraId="38954D75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информация о результатах контрольных мероприятий, проведенных Министерством финансов КБР при осуществлении полномочий по внутреннему государственному финансовому контролю в 2024 году;</w:t>
      </w:r>
    </w:p>
    <w:p w14:paraId="52C952E0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полезные ссылки;</w:t>
      </w:r>
    </w:p>
    <w:p w14:paraId="107D3F42" w14:textId="77777777" w:rsidR="00F1221F" w:rsidRPr="000253AF" w:rsidRDefault="00F1221F" w:rsidP="00F1221F">
      <w:pPr>
        <w:widowControl/>
        <w:ind w:firstLine="0"/>
        <w:rPr>
          <w:color w:val="auto"/>
        </w:rPr>
      </w:pPr>
      <w:r w:rsidRPr="000253AF">
        <w:rPr>
          <w:color w:val="auto"/>
        </w:rPr>
        <w:tab/>
        <w:t>- приказы по Антимонопольному комплаенсу;</w:t>
      </w:r>
    </w:p>
    <w:p w14:paraId="2FF07F53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- информация об открытии и ведении лицевых счетов участников казначейского сопровождения;</w:t>
      </w:r>
    </w:p>
    <w:p w14:paraId="38515D68" w14:textId="77777777" w:rsidR="00F1221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 xml:space="preserve">- бесплатная юридическая помощь. </w:t>
      </w:r>
    </w:p>
    <w:p w14:paraId="247938D9" w14:textId="77777777" w:rsidR="00F1221F" w:rsidRPr="006E29ED" w:rsidRDefault="00F1221F" w:rsidP="00F1221F">
      <w:pPr>
        <w:widowControl/>
        <w:rPr>
          <w:color w:val="auto"/>
        </w:rPr>
      </w:pPr>
      <w:r w:rsidRPr="006E29ED">
        <w:rPr>
          <w:color w:val="auto"/>
        </w:rPr>
        <w:t>В апреле 2024 года проведен семинар по вопросам декларационной кампании за 2023 год и иным обязанностям госслужащих в рамках требований антикоррупционного законодательства.</w:t>
      </w:r>
    </w:p>
    <w:p w14:paraId="59869D0B" w14:textId="77777777" w:rsidR="00F1221F" w:rsidRPr="000253AF" w:rsidRDefault="00F1221F" w:rsidP="00F1221F">
      <w:pPr>
        <w:widowControl/>
        <w:rPr>
          <w:color w:val="auto"/>
        </w:rPr>
      </w:pPr>
      <w:r w:rsidRPr="006E29ED">
        <w:rPr>
          <w:color w:val="auto"/>
        </w:rPr>
        <w:t>В рабочем порядке проводились консультации служащих по вопросам, возникающим при заполнении справок о доходах, расходах, имуществе и обязательствах имущественного характера в рамках декларационной кампании, разъяснительная работа по изменениям законодательства и НПА; о дополнительных обязанностях в рамках противодействия коррупции при переводе служащих на другие должности госслужбы; а также при поступлении сотрудников на государственную службу впервые. Кроме того, в локальной сети министерства постоянно размещаются изменения в законодательстве и локальных актах министерства о противодействии коррупции; напоминания всем служащим об обязанности уведомлять представителя нанимателя о намерении выполнять иную оплачиваемую работу; о возможном конфликте интересов; о запретах и ограничениях на участие в управлении некоммерческой организацией; на получение подарков; об обязанностях в случае увольнении с госслужбы, и т.п.</w:t>
      </w:r>
    </w:p>
    <w:p w14:paraId="1C43A263" w14:textId="64EBC4D0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  <w:shd w:val="clear" w:color="auto" w:fill="FFFFFF"/>
          <w:lang w:eastAsia="ru-RU"/>
        </w:rPr>
        <w:t>П</w:t>
      </w:r>
      <w:r w:rsidRPr="000253AF">
        <w:rPr>
          <w:color w:val="auto"/>
        </w:rPr>
        <w:t>остоянно проводилась работа с обращениями граждан</w:t>
      </w:r>
      <w:r>
        <w:rPr>
          <w:color w:val="auto"/>
        </w:rPr>
        <w:t xml:space="preserve"> и организаций</w:t>
      </w:r>
      <w:r w:rsidRPr="000253AF">
        <w:rPr>
          <w:color w:val="auto"/>
        </w:rPr>
        <w:t xml:space="preserve">. За 2024 год по системе электронного документооборота КБР, а также на адрес электронной почты Министерства финансов КБР и нарочно поступило 26 </w:t>
      </w:r>
      <w:r w:rsidRPr="00834C70">
        <w:t>обращений (в том числе одно обращение на антикоррупционную «горячую линию» министерства</w:t>
      </w:r>
      <w:r w:rsidR="00834C70" w:rsidRPr="00834C70">
        <w:t xml:space="preserve"> </w:t>
      </w:r>
      <w:r w:rsidR="00834C70" w:rsidRPr="00834C70">
        <w:rPr>
          <w:rFonts w:eastAsia="Calibri"/>
        </w:rPr>
        <w:t>по вопросу</w:t>
      </w:r>
      <w:r w:rsidR="00834C70" w:rsidRPr="00834C70">
        <w:t xml:space="preserve"> нарушения сроков исполнения </w:t>
      </w:r>
      <w:proofErr w:type="spellStart"/>
      <w:r w:rsidR="00834C70" w:rsidRPr="00834C70">
        <w:t>госконтракта</w:t>
      </w:r>
      <w:proofErr w:type="spellEnd"/>
      <w:r w:rsidR="00834C70" w:rsidRPr="00834C70">
        <w:t xml:space="preserve"> в части казначейского сопровождения. Работником министерства даны разъяснения по процедуре и порядку регистрации контрактов. Контракты зарегистрированы.</w:t>
      </w:r>
      <w:r w:rsidRPr="00834C70">
        <w:t xml:space="preserve">) </w:t>
      </w:r>
      <w:r w:rsidRPr="000253AF">
        <w:rPr>
          <w:color w:val="auto"/>
        </w:rPr>
        <w:t>от граждан и организаций по различным вопросам направления деятельности министерства. Руководством министерства проведен личный прием граждан.</w:t>
      </w:r>
    </w:p>
    <w:p w14:paraId="69B97F50" w14:textId="77777777" w:rsidR="00F1221F" w:rsidRPr="000253A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Все поступившие обращения рассмотрены специалистами министерства в соответствии с порядком работы с обращениями граждан, проведена межведомственная работа по пересылке обращений из других государственных органов в рамках компетенции министерства, заявителям направлены соответствующие ответы в установленные законодательством сроки.</w:t>
      </w:r>
    </w:p>
    <w:p w14:paraId="0C56079E" w14:textId="77777777" w:rsidR="00F1221F" w:rsidRDefault="00F1221F" w:rsidP="00F1221F">
      <w:pPr>
        <w:widowControl/>
        <w:rPr>
          <w:color w:val="auto"/>
        </w:rPr>
      </w:pPr>
      <w:r w:rsidRPr="000253AF">
        <w:rPr>
          <w:color w:val="auto"/>
        </w:rPr>
        <w:t>Часть обращений граждан, поступивших в Министерство финансов Кабардино-Балкарской Республики, касались получения консультативной помощи по интересующим вопросам деятельности министерства. Специалистами министерства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</w:p>
    <w:p w14:paraId="5B6EECEC" w14:textId="77777777" w:rsidR="00F1221F" w:rsidRPr="000253AF" w:rsidRDefault="00F1221F" w:rsidP="00F1221F">
      <w:pPr>
        <w:widowControl/>
        <w:rPr>
          <w:color w:val="auto"/>
        </w:rPr>
      </w:pPr>
      <w:r w:rsidRPr="005F22BD">
        <w:rPr>
          <w:color w:val="auto"/>
        </w:rPr>
        <w:t>Информация, содержащаяся в обращениях, а также ответы министерства на обращения, анализируются на заседаниях Рабочей группы по противодействию коррупции ежеквартально.</w:t>
      </w:r>
    </w:p>
    <w:p w14:paraId="4984003C" w14:textId="77777777" w:rsidR="00F1221F" w:rsidRPr="000253AF" w:rsidRDefault="00F1221F" w:rsidP="00F1221F">
      <w:pPr>
        <w:suppressAutoHyphens/>
        <w:ind w:firstLine="851"/>
        <w:contextualSpacing/>
        <w:rPr>
          <w:color w:val="auto"/>
        </w:rPr>
      </w:pPr>
      <w:r w:rsidRPr="000253AF">
        <w:rPr>
          <w:color w:val="auto"/>
        </w:rPr>
        <w:t xml:space="preserve">Работает антикоррупционная «горячая линия», на интернет-портале Правительства Кабардино-Балкарской Республики предусмотрен электронный адрес обратной связи, позволяющий гражданам и представителям организаций сообщать об известных им фактах коррупционных нарушений, допущенных государственными служащими министерства. </w:t>
      </w:r>
    </w:p>
    <w:p w14:paraId="6809EA37" w14:textId="16D3260C" w:rsidR="00F1221F" w:rsidRPr="006A21A0" w:rsidRDefault="00F1221F" w:rsidP="00F1221F">
      <w:pPr>
        <w:rPr>
          <w:color w:val="auto"/>
        </w:rPr>
      </w:pPr>
      <w:r w:rsidRPr="000253AF">
        <w:rPr>
          <w:color w:val="auto"/>
        </w:rPr>
        <w:t>Документооборот в министерстве осуществляется посредством системы электронного документооборота «СЭД КБР», позволяющей в режиме онлайн работать с документами, сокращать время передачи документов исполнителям, осуществлять ведение учета и контроля исполнения документов, обеспечивать межведомственный документооборот. Все отделы министерства подключены к программе. За 2024 год министерством получено</w:t>
      </w:r>
      <w:r w:rsidRPr="00034CD9">
        <w:rPr>
          <w:color w:val="FF0000"/>
        </w:rPr>
        <w:t xml:space="preserve"> </w:t>
      </w:r>
      <w:r w:rsidRPr="006A21A0">
        <w:rPr>
          <w:color w:val="auto"/>
        </w:rPr>
        <w:t xml:space="preserve">и обработано </w:t>
      </w:r>
      <w:r w:rsidRPr="006A21A0">
        <w:rPr>
          <w:color w:val="auto"/>
        </w:rPr>
        <w:br/>
        <w:t xml:space="preserve">31474 документа, из них 3949 в виде контрольных поручений Главы и Правительства КБР, тогда как за 2023 год было получено и обработано 29355 документов, из которых 958  контрольных поручений </w:t>
      </w:r>
      <w:r w:rsidR="00B449FF" w:rsidRPr="006A21A0">
        <w:rPr>
          <w:color w:val="auto"/>
        </w:rPr>
        <w:t xml:space="preserve">Главы и </w:t>
      </w:r>
      <w:r w:rsidRPr="006A21A0">
        <w:rPr>
          <w:color w:val="auto"/>
        </w:rPr>
        <w:t>Правительства КБР.</w:t>
      </w:r>
    </w:p>
    <w:p w14:paraId="0BD358C7" w14:textId="77777777" w:rsidR="00A97698" w:rsidRPr="00D05E60" w:rsidRDefault="00A97698" w:rsidP="008B0C90">
      <w:pPr>
        <w:pStyle w:val="24"/>
        <w:numPr>
          <w:ilvl w:val="0"/>
          <w:numId w:val="0"/>
        </w:numPr>
        <w:spacing w:before="0" w:after="0"/>
        <w:ind w:left="710"/>
        <w:rPr>
          <w:color w:val="FF0000"/>
        </w:rPr>
      </w:pPr>
    </w:p>
    <w:p w14:paraId="460194B2" w14:textId="50B99C5E" w:rsidR="00034CD9" w:rsidRPr="0058453A" w:rsidRDefault="008B0C90" w:rsidP="00034CD9">
      <w:pPr>
        <w:pStyle w:val="24"/>
        <w:numPr>
          <w:ilvl w:val="0"/>
          <w:numId w:val="0"/>
        </w:numPr>
        <w:spacing w:before="0" w:after="0"/>
        <w:ind w:left="710"/>
        <w:rPr>
          <w:color w:val="auto"/>
        </w:rPr>
      </w:pPr>
      <w:bookmarkStart w:id="128" w:name="_Toc131085646"/>
      <w:bookmarkStart w:id="129" w:name="_Toc162008803"/>
      <w:r w:rsidRPr="00370B39">
        <w:rPr>
          <w:color w:val="568D11" w:themeColor="accent3" w:themeShade="80"/>
        </w:rPr>
        <w:t>1</w:t>
      </w:r>
      <w:r w:rsidR="002C24EA" w:rsidRPr="00370B39">
        <w:rPr>
          <w:color w:val="568D11" w:themeColor="accent3" w:themeShade="80"/>
        </w:rPr>
        <w:t>1</w:t>
      </w:r>
      <w:r w:rsidRPr="00370B39">
        <w:rPr>
          <w:color w:val="568D11" w:themeColor="accent3" w:themeShade="80"/>
        </w:rPr>
        <w:t>.</w:t>
      </w:r>
      <w:r w:rsidR="00F811F4" w:rsidRPr="00370B39">
        <w:rPr>
          <w:color w:val="568D11" w:themeColor="accent3" w:themeShade="80"/>
        </w:rPr>
        <w:t>Деятельность Общественного совета</w:t>
      </w:r>
      <w:r w:rsidR="0057344D" w:rsidRPr="00370B39">
        <w:rPr>
          <w:color w:val="568D11" w:themeColor="accent3" w:themeShade="80"/>
        </w:rPr>
        <w:br/>
      </w:r>
      <w:r w:rsidR="00F811F4" w:rsidRPr="00370B39">
        <w:rPr>
          <w:color w:val="568D11" w:themeColor="accent3" w:themeShade="80"/>
        </w:rPr>
        <w:t>при Министерстве финансов КБР</w:t>
      </w:r>
      <w:bookmarkEnd w:id="128"/>
      <w:bookmarkEnd w:id="129"/>
    </w:p>
    <w:p w14:paraId="45B258AA" w14:textId="77777777" w:rsidR="00E61EC7" w:rsidRPr="00D05E60" w:rsidRDefault="00E61EC7" w:rsidP="0082617E">
      <w:pPr>
        <w:pStyle w:val="24"/>
        <w:numPr>
          <w:ilvl w:val="0"/>
          <w:numId w:val="0"/>
        </w:numPr>
        <w:spacing w:before="0" w:after="0"/>
        <w:ind w:left="431"/>
        <w:jc w:val="both"/>
        <w:rPr>
          <w:color w:val="FF0000"/>
        </w:rPr>
      </w:pPr>
    </w:p>
    <w:p w14:paraId="66005017" w14:textId="2607BD3D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>Общественный совет при Министерстве финансов Кабардино-Балкарской Республики (далее – Общественный совет) образован в 2015 году. В соответствии с Приказом Министерства финансов Кабар</w:t>
      </w:r>
      <w:r w:rsidR="005A3BFA" w:rsidRPr="0058453A">
        <w:rPr>
          <w:color w:val="auto"/>
        </w:rPr>
        <w:t>дино-Балкарской Республики от 25.10.2024</w:t>
      </w:r>
      <w:r w:rsidRPr="0058453A">
        <w:rPr>
          <w:color w:val="auto"/>
        </w:rPr>
        <w:t xml:space="preserve"> </w:t>
      </w:r>
      <w:r w:rsidR="00C314E4">
        <w:rPr>
          <w:color w:val="auto"/>
        </w:rPr>
        <w:t>года</w:t>
      </w:r>
      <w:r w:rsidRPr="0058453A">
        <w:rPr>
          <w:color w:val="auto"/>
        </w:rPr>
        <w:t xml:space="preserve"> № 1</w:t>
      </w:r>
      <w:r w:rsidR="005A3BFA" w:rsidRPr="0058453A">
        <w:rPr>
          <w:color w:val="auto"/>
        </w:rPr>
        <w:t>66</w:t>
      </w:r>
      <w:r w:rsidRPr="0058453A">
        <w:rPr>
          <w:color w:val="auto"/>
        </w:rPr>
        <w:t xml:space="preserve"> утвержден новый состав Общественного совета.</w:t>
      </w:r>
    </w:p>
    <w:p w14:paraId="350D767F" w14:textId="446FED27" w:rsidR="00D0143E" w:rsidRPr="0058453A" w:rsidRDefault="005A3BFA" w:rsidP="00D0143E">
      <w:pPr>
        <w:rPr>
          <w:color w:val="auto"/>
        </w:rPr>
      </w:pPr>
      <w:r w:rsidRPr="0058453A">
        <w:rPr>
          <w:color w:val="auto"/>
        </w:rPr>
        <w:t>В составе совета 5</w:t>
      </w:r>
      <w:r w:rsidR="00D0143E" w:rsidRPr="0058453A">
        <w:rPr>
          <w:color w:val="auto"/>
        </w:rPr>
        <w:t xml:space="preserve"> человек – представители высших учебных заведений республики, доцентов и кандидатов экономических наук, финансистов, общественных и профсоюзных организ</w:t>
      </w:r>
      <w:r w:rsidR="00D05DA2" w:rsidRPr="0058453A">
        <w:rPr>
          <w:color w:val="auto"/>
        </w:rPr>
        <w:t>аций.</w:t>
      </w:r>
    </w:p>
    <w:p w14:paraId="6087AE71" w14:textId="5C60B87E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>За 202</w:t>
      </w:r>
      <w:r w:rsidR="005A3BFA" w:rsidRPr="0058453A">
        <w:rPr>
          <w:color w:val="auto"/>
        </w:rPr>
        <w:t>4</w:t>
      </w:r>
      <w:r w:rsidRPr="0058453A">
        <w:rPr>
          <w:color w:val="auto"/>
        </w:rPr>
        <w:t xml:space="preserve"> год было проведено </w:t>
      </w:r>
      <w:r w:rsidR="005A3BFA" w:rsidRPr="0058453A">
        <w:rPr>
          <w:color w:val="auto"/>
        </w:rPr>
        <w:t>пять</w:t>
      </w:r>
      <w:r w:rsidR="00965378" w:rsidRPr="0058453A">
        <w:rPr>
          <w:color w:val="auto"/>
        </w:rPr>
        <w:t xml:space="preserve"> </w:t>
      </w:r>
      <w:r w:rsidRPr="0058453A">
        <w:rPr>
          <w:color w:val="auto"/>
        </w:rPr>
        <w:t>заседаний Общественного совета при Министерстве финансов Кабардино-Балкарской Республики, где были обсуждены:</w:t>
      </w:r>
    </w:p>
    <w:p w14:paraId="503C09C1" w14:textId="25B2B57F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>итоги деятельности Общественного совета при Министерстве финансов Кабарди</w:t>
      </w:r>
      <w:r w:rsidR="00965378" w:rsidRPr="0058453A">
        <w:rPr>
          <w:color w:val="auto"/>
        </w:rPr>
        <w:t>но-Балкарской Республики за 202</w:t>
      </w:r>
      <w:r w:rsidR="005A3BFA" w:rsidRPr="0058453A">
        <w:rPr>
          <w:color w:val="auto"/>
        </w:rPr>
        <w:t>3</w:t>
      </w:r>
      <w:r w:rsidRPr="0058453A">
        <w:rPr>
          <w:color w:val="auto"/>
        </w:rPr>
        <w:t xml:space="preserve"> год</w:t>
      </w:r>
      <w:r w:rsidR="005E11DB" w:rsidRPr="0058453A">
        <w:rPr>
          <w:color w:val="auto"/>
        </w:rPr>
        <w:t xml:space="preserve"> и план</w:t>
      </w:r>
      <w:r w:rsidR="000B3EF2">
        <w:rPr>
          <w:color w:val="auto"/>
        </w:rPr>
        <w:t>ы</w:t>
      </w:r>
      <w:r w:rsidR="005E11DB" w:rsidRPr="0058453A">
        <w:rPr>
          <w:color w:val="auto"/>
        </w:rPr>
        <w:t xml:space="preserve"> на 202</w:t>
      </w:r>
      <w:r w:rsidR="005A3BFA" w:rsidRPr="0058453A">
        <w:rPr>
          <w:color w:val="auto"/>
        </w:rPr>
        <w:t>4</w:t>
      </w:r>
      <w:r w:rsidR="005E11DB" w:rsidRPr="0058453A">
        <w:rPr>
          <w:color w:val="auto"/>
        </w:rPr>
        <w:t xml:space="preserve"> год</w:t>
      </w:r>
      <w:r w:rsidRPr="0058453A">
        <w:rPr>
          <w:color w:val="auto"/>
        </w:rPr>
        <w:t>;</w:t>
      </w:r>
    </w:p>
    <w:p w14:paraId="2A4F0FC0" w14:textId="05553D71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>исполнение мероприятий Плана противодействия коррупции Министерства финансов Кабардино-Балкарской Республики за 202</w:t>
      </w:r>
      <w:r w:rsidR="005A3BFA" w:rsidRPr="0058453A">
        <w:rPr>
          <w:color w:val="auto"/>
        </w:rPr>
        <w:t>3</w:t>
      </w:r>
      <w:r w:rsidRPr="0058453A">
        <w:rPr>
          <w:color w:val="auto"/>
        </w:rPr>
        <w:t xml:space="preserve"> год;</w:t>
      </w:r>
    </w:p>
    <w:p w14:paraId="361BFC09" w14:textId="35346CCA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>исполнение республиканского бюджета КБР за 202</w:t>
      </w:r>
      <w:r w:rsidR="005A3BFA" w:rsidRPr="0058453A">
        <w:rPr>
          <w:color w:val="auto"/>
        </w:rPr>
        <w:t>3</w:t>
      </w:r>
      <w:r w:rsidRPr="0058453A">
        <w:rPr>
          <w:color w:val="auto"/>
        </w:rPr>
        <w:t xml:space="preserve"> год;</w:t>
      </w:r>
    </w:p>
    <w:p w14:paraId="373E420C" w14:textId="04B411F9" w:rsidR="00D01076" w:rsidRPr="0058453A" w:rsidRDefault="00D01076" w:rsidP="00D0143E">
      <w:pPr>
        <w:rPr>
          <w:color w:val="auto"/>
        </w:rPr>
      </w:pPr>
      <w:r w:rsidRPr="0058453A">
        <w:rPr>
          <w:color w:val="auto"/>
        </w:rPr>
        <w:t>обсуждены результаты по организации антимонопольного комплаенса в Минфине КБР за 2023 год;</w:t>
      </w:r>
    </w:p>
    <w:p w14:paraId="6AA0C374" w14:textId="5F552B97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 xml:space="preserve">исполнение республиканского бюджета КБР за </w:t>
      </w:r>
      <w:r w:rsidR="00EC40E1" w:rsidRPr="0058453A">
        <w:rPr>
          <w:color w:val="auto"/>
        </w:rPr>
        <w:t>первое</w:t>
      </w:r>
      <w:r w:rsidRPr="0058453A">
        <w:rPr>
          <w:color w:val="auto"/>
        </w:rPr>
        <w:t xml:space="preserve"> полугодие 202</w:t>
      </w:r>
      <w:r w:rsidR="00EC40E1" w:rsidRPr="0058453A">
        <w:rPr>
          <w:color w:val="auto"/>
        </w:rPr>
        <w:t>4</w:t>
      </w:r>
      <w:r w:rsidRPr="0058453A">
        <w:rPr>
          <w:color w:val="auto"/>
        </w:rPr>
        <w:t xml:space="preserve"> года;</w:t>
      </w:r>
    </w:p>
    <w:p w14:paraId="34771F58" w14:textId="4D55A54D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>исполнение республиканского бюджета КБР за 9 месяцев 202</w:t>
      </w:r>
      <w:r w:rsidR="00EC40E1" w:rsidRPr="0058453A">
        <w:rPr>
          <w:color w:val="auto"/>
        </w:rPr>
        <w:t>4</w:t>
      </w:r>
      <w:r w:rsidRPr="0058453A">
        <w:rPr>
          <w:color w:val="auto"/>
        </w:rPr>
        <w:t xml:space="preserve"> года;</w:t>
      </w:r>
    </w:p>
    <w:p w14:paraId="6C6563F5" w14:textId="672AE3DE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 xml:space="preserve">законопроект </w:t>
      </w:r>
      <w:r w:rsidR="00A32071" w:rsidRPr="0058453A">
        <w:rPr>
          <w:color w:val="auto"/>
        </w:rPr>
        <w:t>«</w:t>
      </w:r>
      <w:r w:rsidRPr="0058453A">
        <w:rPr>
          <w:color w:val="auto"/>
        </w:rPr>
        <w:t>О республиканском бюджете КБР на 202</w:t>
      </w:r>
      <w:r w:rsidR="0058453A" w:rsidRPr="0058453A">
        <w:rPr>
          <w:color w:val="auto"/>
        </w:rPr>
        <w:t>5</w:t>
      </w:r>
      <w:r w:rsidRPr="0058453A">
        <w:rPr>
          <w:color w:val="auto"/>
        </w:rPr>
        <w:t xml:space="preserve"> год и п</w:t>
      </w:r>
      <w:r w:rsidR="00D05DA2" w:rsidRPr="0058453A">
        <w:rPr>
          <w:color w:val="auto"/>
        </w:rPr>
        <w:t>лановый период 202</w:t>
      </w:r>
      <w:r w:rsidR="0058453A" w:rsidRPr="0058453A">
        <w:rPr>
          <w:color w:val="auto"/>
        </w:rPr>
        <w:t>6</w:t>
      </w:r>
      <w:r w:rsidR="005E11DB" w:rsidRPr="0058453A">
        <w:rPr>
          <w:color w:val="auto"/>
        </w:rPr>
        <w:t>-</w:t>
      </w:r>
      <w:r w:rsidR="00D05DA2" w:rsidRPr="0058453A">
        <w:rPr>
          <w:color w:val="auto"/>
        </w:rPr>
        <w:t>202</w:t>
      </w:r>
      <w:r w:rsidR="0058453A" w:rsidRPr="0058453A">
        <w:rPr>
          <w:color w:val="auto"/>
        </w:rPr>
        <w:t>7</w:t>
      </w:r>
      <w:r w:rsidR="00D05DA2" w:rsidRPr="0058453A">
        <w:rPr>
          <w:color w:val="auto"/>
        </w:rPr>
        <w:t xml:space="preserve"> годов</w:t>
      </w:r>
      <w:r w:rsidR="00A32071" w:rsidRPr="0058453A">
        <w:rPr>
          <w:color w:val="auto"/>
        </w:rPr>
        <w:t>»</w:t>
      </w:r>
      <w:r w:rsidR="00D05DA2" w:rsidRPr="0058453A">
        <w:rPr>
          <w:color w:val="auto"/>
        </w:rPr>
        <w:t>.</w:t>
      </w:r>
    </w:p>
    <w:p w14:paraId="08B89A81" w14:textId="77777777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>На сайте Министерства финансов Кабардино-Балкарской Республики создан отдельный раздел, посвященный деятельности Общественного совета, в котором регулярно публикуются материалы к заседаниям (повестка, проект протокола, аналитические доклады, презентации, ин</w:t>
      </w:r>
      <w:r w:rsidR="00D05DA2" w:rsidRPr="0058453A">
        <w:rPr>
          <w:color w:val="auto"/>
        </w:rPr>
        <w:t>формационные брошюры и буклеты).</w:t>
      </w:r>
    </w:p>
    <w:p w14:paraId="2D0BFAF1" w14:textId="77777777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>Итоговые документы (протоколы), принятые по результатам заседаний Общественного совета находятся в открытом доступе в указанном разделе и учитываются в дальнейшей работе Министерства.</w:t>
      </w:r>
    </w:p>
    <w:p w14:paraId="3FA6AC3E" w14:textId="77777777" w:rsidR="00D0143E" w:rsidRPr="0058453A" w:rsidRDefault="00D0143E" w:rsidP="00D0143E">
      <w:pPr>
        <w:rPr>
          <w:color w:val="auto"/>
        </w:rPr>
      </w:pPr>
      <w:r w:rsidRPr="0058453A">
        <w:rPr>
          <w:color w:val="auto"/>
        </w:rPr>
        <w:t xml:space="preserve">Обращение в Общественный совет можно направить, используя Общественную приемную на сайте Министерства финансов Кабардино-Балкарской Республики, указав в тематике обращения </w:t>
      </w:r>
      <w:r w:rsidR="00A32071" w:rsidRPr="0058453A">
        <w:rPr>
          <w:color w:val="auto"/>
        </w:rPr>
        <w:t>«</w:t>
      </w:r>
      <w:r w:rsidRPr="0058453A">
        <w:rPr>
          <w:color w:val="auto"/>
        </w:rPr>
        <w:t>Общественный совет</w:t>
      </w:r>
      <w:r w:rsidR="00A32071" w:rsidRPr="0058453A">
        <w:rPr>
          <w:color w:val="auto"/>
        </w:rPr>
        <w:t>»</w:t>
      </w:r>
      <w:r w:rsidRPr="0058453A">
        <w:rPr>
          <w:color w:val="auto"/>
        </w:rPr>
        <w:t>.</w:t>
      </w:r>
    </w:p>
    <w:p w14:paraId="782AA54E" w14:textId="77777777" w:rsidR="00E61C10" w:rsidRPr="0058453A" w:rsidRDefault="00E61C10" w:rsidP="0082617E">
      <w:pPr>
        <w:rPr>
          <w:color w:val="auto"/>
        </w:rPr>
      </w:pPr>
    </w:p>
    <w:p w14:paraId="171498ED" w14:textId="366E1A40" w:rsidR="00F811F4" w:rsidRPr="00370B39" w:rsidRDefault="008B0C90" w:rsidP="008B0C90">
      <w:pPr>
        <w:pStyle w:val="24"/>
        <w:numPr>
          <w:ilvl w:val="0"/>
          <w:numId w:val="0"/>
        </w:numPr>
        <w:spacing w:before="0" w:after="0"/>
        <w:ind w:left="710"/>
        <w:rPr>
          <w:color w:val="568D11" w:themeColor="accent3" w:themeShade="80"/>
        </w:rPr>
      </w:pPr>
      <w:bookmarkStart w:id="130" w:name="_Toc131085647"/>
      <w:bookmarkStart w:id="131" w:name="_Toc162008804"/>
      <w:r w:rsidRPr="00370B39">
        <w:rPr>
          <w:color w:val="568D11" w:themeColor="accent3" w:themeShade="80"/>
        </w:rPr>
        <w:t>1</w:t>
      </w:r>
      <w:r w:rsidR="002C24EA" w:rsidRPr="00370B39">
        <w:rPr>
          <w:color w:val="568D11" w:themeColor="accent3" w:themeShade="80"/>
        </w:rPr>
        <w:t>2</w:t>
      </w:r>
      <w:r w:rsidRPr="00370B39">
        <w:rPr>
          <w:color w:val="568D11" w:themeColor="accent3" w:themeShade="80"/>
        </w:rPr>
        <w:t>.</w:t>
      </w:r>
      <w:r w:rsidR="00B13A04">
        <w:rPr>
          <w:color w:val="568D11" w:themeColor="accent3" w:themeShade="80"/>
        </w:rPr>
        <w:t xml:space="preserve"> </w:t>
      </w:r>
      <w:r w:rsidR="00F811F4" w:rsidRPr="00370B39">
        <w:rPr>
          <w:color w:val="568D11" w:themeColor="accent3" w:themeShade="80"/>
        </w:rPr>
        <w:t>Деятельность Министерства финансов КБР по реализации государственной программы</w:t>
      </w:r>
      <w:bookmarkEnd w:id="130"/>
      <w:bookmarkEnd w:id="131"/>
      <w:r w:rsidR="007609AB">
        <w:rPr>
          <w:color w:val="568D11" w:themeColor="accent3" w:themeShade="80"/>
        </w:rPr>
        <w:t xml:space="preserve"> </w:t>
      </w:r>
    </w:p>
    <w:p w14:paraId="0C3B6BAE" w14:textId="77777777" w:rsidR="00E61EC7" w:rsidRPr="00D05E60" w:rsidRDefault="00E61EC7" w:rsidP="0082617E">
      <w:pPr>
        <w:pStyle w:val="24"/>
        <w:numPr>
          <w:ilvl w:val="0"/>
          <w:numId w:val="0"/>
        </w:numPr>
        <w:spacing w:before="0" w:after="0"/>
        <w:ind w:left="431"/>
        <w:jc w:val="both"/>
        <w:rPr>
          <w:color w:val="FF0000"/>
        </w:rPr>
      </w:pPr>
    </w:p>
    <w:p w14:paraId="34166BFF" w14:textId="4A800680" w:rsidR="007609AB" w:rsidRPr="007609AB" w:rsidRDefault="007609AB" w:rsidP="007609AB">
      <w:pPr>
        <w:widowControl/>
        <w:rPr>
          <w:rFonts w:eastAsia="Calibri"/>
          <w:color w:val="auto"/>
          <w:szCs w:val="22"/>
        </w:rPr>
      </w:pPr>
      <w:bookmarkStart w:id="132" w:name="_Toc131085648"/>
      <w:r w:rsidRPr="007609AB">
        <w:rPr>
          <w:rFonts w:eastAsia="Calibri"/>
          <w:color w:val="auto"/>
          <w:szCs w:val="22"/>
        </w:rPr>
        <w:t>Министерство финансов Кабардино-Балкарской Республики является координатором государственной программы Кабардино-Балкарской Республики «Управление государственными финансами, государственным долгом и межбюджетными отношениями в Кабардино-Балкарской Республике» (далее – государственная программа) в соответствии с Перечнем государственных программ Кабардино-Балкарской Республики, утвержденным распоряжением Правительства Кабардино-Балкарской Республики от 15</w:t>
      </w:r>
      <w:r w:rsidR="000B3EF2">
        <w:rPr>
          <w:rFonts w:eastAsia="Calibri"/>
          <w:color w:val="auto"/>
          <w:szCs w:val="22"/>
        </w:rPr>
        <w:t>.12.</w:t>
      </w:r>
      <w:r w:rsidRPr="007609AB">
        <w:rPr>
          <w:rFonts w:eastAsia="Calibri"/>
          <w:color w:val="auto"/>
          <w:szCs w:val="22"/>
        </w:rPr>
        <w:t xml:space="preserve">2023 </w:t>
      </w:r>
      <w:r w:rsidR="00C314E4">
        <w:rPr>
          <w:rFonts w:eastAsia="Calibri"/>
          <w:color w:val="auto"/>
          <w:szCs w:val="22"/>
        </w:rPr>
        <w:t>года</w:t>
      </w:r>
      <w:r w:rsidRPr="007609AB">
        <w:rPr>
          <w:rFonts w:eastAsia="Calibri"/>
          <w:color w:val="auto"/>
          <w:szCs w:val="22"/>
        </w:rPr>
        <w:t xml:space="preserve"> № 637-рп.</w:t>
      </w:r>
    </w:p>
    <w:p w14:paraId="5B39EB0E" w14:textId="77777777" w:rsidR="007609AB" w:rsidRPr="007609AB" w:rsidRDefault="007609AB" w:rsidP="007609AB">
      <w:pPr>
        <w:widowControl/>
        <w:autoSpaceDE w:val="0"/>
        <w:autoSpaceDN w:val="0"/>
        <w:adjustRightInd w:val="0"/>
        <w:rPr>
          <w:rFonts w:eastAsia="Calibri"/>
          <w:bCs/>
          <w:color w:val="auto"/>
        </w:rPr>
      </w:pPr>
      <w:r w:rsidRPr="007609AB">
        <w:rPr>
          <w:color w:val="auto"/>
          <w:lang w:eastAsia="ru-RU"/>
        </w:rPr>
        <w:t xml:space="preserve">Государственная программа </w:t>
      </w:r>
      <w:r w:rsidRPr="007609AB">
        <w:rPr>
          <w:rFonts w:eastAsia="Calibri"/>
          <w:bCs/>
          <w:color w:val="auto"/>
        </w:rPr>
        <w:t>направлена на обеспечение долгосрочной сбалансированности и устойчивости бюджетной системы Кабардино</w:t>
      </w:r>
      <w:r w:rsidRPr="007609AB">
        <w:rPr>
          <w:rFonts w:eastAsia="Calibri"/>
          <w:bCs/>
          <w:color w:val="auto"/>
        </w:rPr>
        <w:noBreakHyphen/>
        <w:t>Балкарской Республики, содействие устойчивому исполнению местных бюджетов и повышению качества управления государственными финансами Кабардино-Балкарской Республики и муниципальными финансами. Программа определяет основные направления (цели) развития и функционирования бюджетной системы Кабардино-Балкарской Республики, системы управления государственным долгом, системы межбюджетных отношений, а также финансовое обеспечение и механизмы реализации предусматриваемых мероприятий и показатели их результативности.</w:t>
      </w:r>
    </w:p>
    <w:p w14:paraId="57FB549F" w14:textId="34BFAF31" w:rsidR="007609AB" w:rsidRPr="007609AB" w:rsidRDefault="007609AB" w:rsidP="007609AB">
      <w:pPr>
        <w:widowControl/>
        <w:rPr>
          <w:rFonts w:eastAsia="Calibri"/>
          <w:color w:val="auto"/>
          <w:szCs w:val="22"/>
        </w:rPr>
      </w:pPr>
      <w:r w:rsidRPr="007609AB">
        <w:rPr>
          <w:rFonts w:eastAsia="Calibri"/>
          <w:color w:val="auto"/>
          <w:szCs w:val="22"/>
        </w:rPr>
        <w:t>Государственная программа утверждена постановлением Правительства Кабардино-Балкарской Республики от 28</w:t>
      </w:r>
      <w:r w:rsidR="000B3EF2">
        <w:rPr>
          <w:rFonts w:eastAsia="Calibri"/>
          <w:color w:val="auto"/>
          <w:szCs w:val="22"/>
        </w:rPr>
        <w:t>.10.2</w:t>
      </w:r>
      <w:r w:rsidRPr="007609AB">
        <w:rPr>
          <w:rFonts w:eastAsia="Calibri"/>
          <w:color w:val="auto"/>
          <w:szCs w:val="22"/>
        </w:rPr>
        <w:t>019 </w:t>
      </w:r>
      <w:r w:rsidR="00C314E4">
        <w:rPr>
          <w:rFonts w:eastAsia="Calibri"/>
          <w:color w:val="auto"/>
          <w:szCs w:val="22"/>
        </w:rPr>
        <w:t>года</w:t>
      </w:r>
      <w:r w:rsidRPr="007609AB">
        <w:rPr>
          <w:rFonts w:eastAsia="Calibri"/>
          <w:color w:val="auto"/>
          <w:szCs w:val="22"/>
        </w:rPr>
        <w:t xml:space="preserve"> № 188-ПП. Реализация государственной программы осуществляется с 2014 года. </w:t>
      </w:r>
    </w:p>
    <w:p w14:paraId="5FEA3E1D" w14:textId="6E35B31D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 xml:space="preserve">По итогам 2024 года объем финансового обеспечения государственной программы в соответствии со сводной бюджетной росписью по состоянию на </w:t>
      </w:r>
      <w:r>
        <w:rPr>
          <w:rFonts w:eastAsia="Calibri"/>
          <w:color w:val="000000"/>
          <w:szCs w:val="22"/>
        </w:rPr>
        <w:br/>
      </w:r>
      <w:r w:rsidRPr="007609AB">
        <w:rPr>
          <w:rFonts w:eastAsia="Calibri"/>
          <w:color w:val="000000"/>
          <w:szCs w:val="22"/>
        </w:rPr>
        <w:t>31</w:t>
      </w:r>
      <w:r w:rsidR="00E3689C">
        <w:rPr>
          <w:rFonts w:eastAsia="Calibri"/>
          <w:color w:val="000000"/>
          <w:szCs w:val="22"/>
        </w:rPr>
        <w:t>.12.</w:t>
      </w:r>
      <w:r w:rsidRPr="007609AB">
        <w:rPr>
          <w:rFonts w:eastAsia="Calibri"/>
          <w:color w:val="000000"/>
          <w:szCs w:val="22"/>
        </w:rPr>
        <w:t xml:space="preserve">2024 </w:t>
      </w:r>
      <w:r w:rsidR="00C314E4">
        <w:rPr>
          <w:rFonts w:eastAsia="Calibri"/>
          <w:color w:val="000000"/>
          <w:szCs w:val="22"/>
        </w:rPr>
        <w:t>года</w:t>
      </w:r>
      <w:r w:rsidRPr="007609AB">
        <w:rPr>
          <w:rFonts w:eastAsia="Calibri"/>
          <w:color w:val="000000"/>
          <w:szCs w:val="22"/>
        </w:rPr>
        <w:t xml:space="preserve"> составил 991,5 млн рублей, кассовый расход - 986,1 млн рублей или 99,5 % от плановых назначений</w:t>
      </w:r>
      <w:r>
        <w:rPr>
          <w:rFonts w:eastAsia="Calibri"/>
          <w:color w:val="000000"/>
          <w:szCs w:val="22"/>
        </w:rPr>
        <w:t>.</w:t>
      </w:r>
    </w:p>
    <w:p w14:paraId="385DBD05" w14:textId="77777777" w:rsidR="007609AB" w:rsidRPr="007609AB" w:rsidRDefault="007609AB" w:rsidP="007609AB">
      <w:pPr>
        <w:widowControl/>
        <w:rPr>
          <w:rFonts w:eastAsia="Calibri"/>
          <w:color w:val="auto"/>
          <w:szCs w:val="22"/>
        </w:rPr>
      </w:pPr>
      <w:r w:rsidRPr="007609AB">
        <w:rPr>
          <w:rFonts w:eastAsia="Calibri"/>
          <w:color w:val="auto"/>
          <w:szCs w:val="22"/>
        </w:rPr>
        <w:t>На 2024 год в плане реализации государственной программы была запланирована 21 контрольная точка. Плановые значения достигнуты по 20 контрольным точкам.</w:t>
      </w:r>
    </w:p>
    <w:p w14:paraId="7F294486" w14:textId="5344956F" w:rsidR="007609AB" w:rsidRPr="007609AB" w:rsidRDefault="007609AB" w:rsidP="007609AB">
      <w:pPr>
        <w:widowControl/>
        <w:rPr>
          <w:rFonts w:eastAsia="Calibri"/>
          <w:color w:val="auto"/>
          <w:szCs w:val="22"/>
        </w:rPr>
      </w:pPr>
      <w:r w:rsidRPr="007609AB">
        <w:rPr>
          <w:rFonts w:eastAsia="Calibri"/>
          <w:color w:val="auto"/>
          <w:szCs w:val="22"/>
        </w:rPr>
        <w:t xml:space="preserve">Контрольная точка «Подготовлено распределение дотации на поддержку мер по обеспечению сбалансированности бюджетов (в целях стимулирования муниципальных образований, принимающих меры по увеличению налогового потенциала) в составе проекта закона Кабардино-Балкарской Республики о республиканском бюджете Кабардино-Балкарской Республики на очередной финансовый год и плановый период» была реализована по итогам выполнения плана по доходам муниципальными образованиями за девять месяцев 2024 года, распределение было предусмотрено в Законе Кабардино-Балкарской Республики от 29.12.2023 </w:t>
      </w:r>
      <w:r w:rsidR="00C314E4">
        <w:rPr>
          <w:rFonts w:eastAsia="Calibri"/>
          <w:color w:val="auto"/>
          <w:szCs w:val="22"/>
        </w:rPr>
        <w:t>года</w:t>
      </w:r>
      <w:r w:rsidRPr="007609AB">
        <w:rPr>
          <w:rFonts w:eastAsia="Calibri"/>
          <w:color w:val="auto"/>
          <w:szCs w:val="22"/>
        </w:rPr>
        <w:t xml:space="preserve"> № 62-РЗ «О республиканском бюджете Кабардино-Балкарской Республики на 2024 год и на плановый период 2025 и 2026 годов» (ред. от 27.12.2024 </w:t>
      </w:r>
      <w:r w:rsidR="00C314E4">
        <w:rPr>
          <w:rFonts w:eastAsia="Calibri"/>
          <w:color w:val="auto"/>
          <w:szCs w:val="22"/>
        </w:rPr>
        <w:t>года</w:t>
      </w:r>
      <w:r w:rsidRPr="007609AB">
        <w:rPr>
          <w:rFonts w:eastAsia="Calibri"/>
          <w:color w:val="auto"/>
          <w:szCs w:val="22"/>
        </w:rPr>
        <w:t xml:space="preserve">) </w:t>
      </w:r>
    </w:p>
    <w:p w14:paraId="6D36D578" w14:textId="77777777" w:rsidR="007609AB" w:rsidRPr="007609AB" w:rsidRDefault="007609AB" w:rsidP="007609AB">
      <w:pPr>
        <w:widowControl/>
        <w:rPr>
          <w:rFonts w:eastAsia="Calibri"/>
          <w:color w:val="auto"/>
          <w:szCs w:val="22"/>
        </w:rPr>
      </w:pPr>
      <w:r w:rsidRPr="007609AB">
        <w:rPr>
          <w:rFonts w:eastAsia="Calibri"/>
          <w:color w:val="auto"/>
          <w:szCs w:val="22"/>
        </w:rPr>
        <w:t>По всем 5 показателям государственной программы и 4 показателям комплекса процессных мероприятий достигнуты плановые значения.</w:t>
      </w:r>
    </w:p>
    <w:p w14:paraId="1B855FFA" w14:textId="77777777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 xml:space="preserve">Благодаря принимаемым Правительством Кабардино-Балкарской Республики мерам по итогам 2024 года достигнут прирост налоговых и неналоговых доходов консолидированного и республиканского бюджета на </w:t>
      </w:r>
      <w:r w:rsidRPr="007609AB">
        <w:rPr>
          <w:rFonts w:eastAsia="Calibri"/>
          <w:color w:val="000000"/>
          <w:szCs w:val="22"/>
        </w:rPr>
        <w:br/>
        <w:t>18,0 %. Обеспеченная положительная динамика исполнения доходной части республиканского бюджета КБР позволила сохранить объем расходов республиканского бюджета на уровне 2023 года.</w:t>
      </w:r>
    </w:p>
    <w:p w14:paraId="66BFCABE" w14:textId="77777777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>Основной объем расходов был направлен на выполнение государственных заданий по предоставлению населению республики услуг в сфере образования, здравоохранения, социальной защиты, культуры, физкультуры, спорта и сельского хозяйства.</w:t>
      </w:r>
    </w:p>
    <w:p w14:paraId="66D1BB74" w14:textId="77777777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>Обязательства Кабардино-Балкарской Республики были исполнены в установленные сроки в полном объеме.</w:t>
      </w:r>
    </w:p>
    <w:p w14:paraId="6E0741DA" w14:textId="369EC9AF" w:rsidR="007609AB" w:rsidRPr="007609AB" w:rsidRDefault="007609AB" w:rsidP="007609AB">
      <w:pPr>
        <w:widowControl/>
        <w:rPr>
          <w:rFonts w:eastAsia="Calibri"/>
          <w:color w:val="auto"/>
          <w:szCs w:val="22"/>
        </w:rPr>
      </w:pPr>
      <w:r w:rsidRPr="007609AB">
        <w:rPr>
          <w:rFonts w:eastAsia="Calibri"/>
          <w:color w:val="auto"/>
          <w:szCs w:val="22"/>
        </w:rPr>
        <w:t xml:space="preserve">По комплексу процессных мероприятий «Поддержка и организация направления муниципальным образованиям Кабардино-Балкарской Республики межбюджетных трансфертов с целью выравнивания их бюджетной обеспеченности, обеспечения сбалансированности бюджетов муниципальных образований Кабардино-Балкарской Республики, социально-экономического развития и исполнения делегированных полномочий» расходы составили </w:t>
      </w:r>
      <w:r w:rsidR="00EB6629">
        <w:rPr>
          <w:rFonts w:eastAsia="Calibri"/>
          <w:color w:val="auto"/>
          <w:szCs w:val="22"/>
        </w:rPr>
        <w:br/>
      </w:r>
      <w:r w:rsidRPr="007609AB">
        <w:rPr>
          <w:rFonts w:eastAsia="Calibri"/>
          <w:color w:val="auto"/>
          <w:szCs w:val="22"/>
        </w:rPr>
        <w:t>706,5 млн рублей или 100 % от плановых назначений. Получателями дотаций явились 119 муниципальных образований, с которыми были заключены соглашения.</w:t>
      </w:r>
    </w:p>
    <w:p w14:paraId="27762F99" w14:textId="77777777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auto"/>
          <w:szCs w:val="22"/>
        </w:rPr>
        <w:t xml:space="preserve">Комплекс процессных </w:t>
      </w:r>
      <w:r w:rsidRPr="007609AB">
        <w:rPr>
          <w:rFonts w:eastAsia="Calibri"/>
          <w:color w:val="000000"/>
          <w:szCs w:val="22"/>
        </w:rPr>
        <w:t xml:space="preserve">мероприятий «Управление государственным долгом и государственными финансовыми активами». </w:t>
      </w:r>
    </w:p>
    <w:p w14:paraId="7C0CCD88" w14:textId="195C7873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 xml:space="preserve">По итогам 2024 года государственный долг составил 7 559,7 млн рублей и снизился по сравнению с уровнем 2023 года на (-) 180,1 млн рублей за счет погашения бюджетного кредита на опережающее финансирование в сумме </w:t>
      </w:r>
      <w:r w:rsidRPr="007609AB">
        <w:rPr>
          <w:rFonts w:eastAsia="Calibri"/>
          <w:color w:val="000000"/>
          <w:szCs w:val="22"/>
        </w:rPr>
        <w:br/>
        <w:t xml:space="preserve">29,5 млн рублей, инфраструктурного бюджетного кредита в сумме </w:t>
      </w:r>
      <w:r w:rsidR="00EB6629">
        <w:rPr>
          <w:rFonts w:eastAsia="Calibri"/>
          <w:color w:val="000000"/>
          <w:szCs w:val="22"/>
        </w:rPr>
        <w:br/>
      </w:r>
      <w:r w:rsidRPr="007609AB">
        <w:rPr>
          <w:rFonts w:eastAsia="Calibri"/>
          <w:color w:val="000000"/>
          <w:szCs w:val="22"/>
        </w:rPr>
        <w:t>30,6 млн рублей, а также реструктурированной задолженности по бюджетным кредитам в сумме 120,0 млн рублей (с учетом поправок, освобождающих субъекты Российской Федерации от погашения в 2024 году 2/3 реструктурированной задолженности по бюджетным кредитам в соответствии с постановлением Правительства Российской Федерации от 26</w:t>
      </w:r>
      <w:r w:rsidR="007B4A23">
        <w:rPr>
          <w:rFonts w:eastAsia="Calibri"/>
          <w:color w:val="000000"/>
          <w:szCs w:val="22"/>
        </w:rPr>
        <w:t>.09.</w:t>
      </w:r>
      <w:r w:rsidRPr="007609AB">
        <w:rPr>
          <w:rFonts w:eastAsia="Calibri"/>
          <w:color w:val="000000"/>
          <w:szCs w:val="22"/>
        </w:rPr>
        <w:t xml:space="preserve">2024 </w:t>
      </w:r>
      <w:r w:rsidR="00C314E4">
        <w:rPr>
          <w:rFonts w:eastAsia="Calibri"/>
          <w:color w:val="000000"/>
          <w:szCs w:val="22"/>
        </w:rPr>
        <w:t>года</w:t>
      </w:r>
      <w:r w:rsidR="007B4A23">
        <w:rPr>
          <w:rFonts w:eastAsia="Calibri"/>
          <w:color w:val="000000"/>
          <w:szCs w:val="22"/>
        </w:rPr>
        <w:t xml:space="preserve"> </w:t>
      </w:r>
      <w:r w:rsidRPr="007609AB">
        <w:rPr>
          <w:rFonts w:eastAsia="Calibri"/>
          <w:color w:val="000000"/>
          <w:szCs w:val="22"/>
        </w:rPr>
        <w:t>№ 1307).</w:t>
      </w:r>
    </w:p>
    <w:p w14:paraId="1235C927" w14:textId="77777777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 xml:space="preserve">Привлечение коммерческих и иных заимствований в 2024 году </w:t>
      </w:r>
      <w:r w:rsidRPr="007609AB">
        <w:rPr>
          <w:rFonts w:eastAsia="Calibri"/>
          <w:color w:val="000000"/>
          <w:szCs w:val="22"/>
        </w:rPr>
        <w:br/>
        <w:t>не осуществлялось.</w:t>
      </w:r>
    </w:p>
    <w:p w14:paraId="3472A2A1" w14:textId="77777777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>Расходы на обслуживание государственного долга республиканского бюджета КБР по итогам 2024 года составили 50,9 млн рублей и увеличились относительно предыдущего года на 28,1 млн рублей (увеличение в 2,2 раза) за счет обслуживания привлеченных бюджетных кредитов на реализацию инфраструктурных проектов (строительство Баксанского группового водопровода и приобретение пассажирского транспорта общего пользования).</w:t>
      </w:r>
    </w:p>
    <w:p w14:paraId="2CD5BC94" w14:textId="77777777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>В рамках комплекса процессных мероприятий «Сопровождение информационных систем обеспечения бюджетных правоотношений» осуществлены расходы в объеме 52,0 млн рублей на сопровождение информационных систем (подсистем) (включая доступ к системам информационного обеспечения деятельности), оператором которого является Министерство финансов Кабардино-Балкарской Республики.</w:t>
      </w:r>
    </w:p>
    <w:p w14:paraId="1EB03530" w14:textId="2E90D511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 xml:space="preserve">По комплексу процессных мероприятий «Организация и управление бюджетным процессом и повышение его открытости» исполнение составило </w:t>
      </w:r>
      <w:r w:rsidR="00EB6629">
        <w:rPr>
          <w:rFonts w:eastAsia="Calibri"/>
          <w:color w:val="000000"/>
          <w:szCs w:val="22"/>
        </w:rPr>
        <w:br/>
      </w:r>
      <w:r w:rsidRPr="007609AB">
        <w:rPr>
          <w:rFonts w:eastAsia="Calibri"/>
          <w:color w:val="000000"/>
          <w:szCs w:val="22"/>
        </w:rPr>
        <w:t>20,3 млн рублей или 86,9 %, к уточненной росписи (23,3 млн рублей).</w:t>
      </w:r>
    </w:p>
    <w:p w14:paraId="68F5277C" w14:textId="149C2992" w:rsidR="007609AB" w:rsidRPr="007609AB" w:rsidRDefault="007609AB" w:rsidP="007609AB">
      <w:pPr>
        <w:widowControl/>
        <w:rPr>
          <w:rFonts w:eastAsia="Calibri"/>
          <w:color w:val="auto"/>
          <w:szCs w:val="22"/>
        </w:rPr>
      </w:pPr>
      <w:r w:rsidRPr="007609AB">
        <w:rPr>
          <w:rFonts w:eastAsia="Calibri"/>
          <w:color w:val="000000"/>
          <w:szCs w:val="22"/>
        </w:rPr>
        <w:t>В рамках мероприятия «Обеспечено управление бюджетными ассигнованиями резервного фонда Правительства Кабардино-Балкарской Республики» в</w:t>
      </w:r>
      <w:r w:rsidRPr="007609AB">
        <w:rPr>
          <w:rFonts w:eastAsia="Calibri"/>
          <w:color w:val="auto"/>
          <w:szCs w:val="22"/>
        </w:rPr>
        <w:t xml:space="preserve"> 2024 году первоначально установленный объем резервного фонда Правительства Кабардино-Балкарской Республики составлял 150,0 млн рублей </w:t>
      </w:r>
      <w:r w:rsidR="00EB6629">
        <w:rPr>
          <w:rFonts w:eastAsia="Calibri"/>
          <w:color w:val="auto"/>
          <w:szCs w:val="22"/>
        </w:rPr>
        <w:t xml:space="preserve">и </w:t>
      </w:r>
      <w:r w:rsidRPr="007609AB">
        <w:rPr>
          <w:rFonts w:eastAsia="Calibri"/>
          <w:color w:val="auto"/>
          <w:szCs w:val="22"/>
        </w:rPr>
        <w:t xml:space="preserve">был увеличен до 2 732,9 млн рублей в соответствии с частями 12 и 13 статьи 6 Федерального закона от </w:t>
      </w:r>
      <w:r w:rsidR="007B4A23">
        <w:rPr>
          <w:rFonts w:eastAsia="Calibri"/>
          <w:color w:val="auto"/>
          <w:szCs w:val="22"/>
        </w:rPr>
        <w:t>0</w:t>
      </w:r>
      <w:r w:rsidRPr="007609AB">
        <w:rPr>
          <w:rFonts w:eastAsia="Calibri"/>
          <w:color w:val="auto"/>
          <w:szCs w:val="22"/>
        </w:rPr>
        <w:t>2</w:t>
      </w:r>
      <w:r w:rsidR="007B4A23">
        <w:rPr>
          <w:rFonts w:eastAsia="Calibri"/>
          <w:color w:val="auto"/>
          <w:szCs w:val="22"/>
        </w:rPr>
        <w:t>.11.</w:t>
      </w:r>
      <w:r w:rsidRPr="007609AB">
        <w:rPr>
          <w:rFonts w:eastAsia="Calibri"/>
          <w:color w:val="auto"/>
          <w:szCs w:val="22"/>
        </w:rPr>
        <w:t xml:space="preserve">2023 </w:t>
      </w:r>
      <w:r w:rsidR="00C314E4">
        <w:rPr>
          <w:rFonts w:eastAsia="Calibri"/>
          <w:color w:val="auto"/>
          <w:szCs w:val="22"/>
        </w:rPr>
        <w:t>года</w:t>
      </w:r>
      <w:r w:rsidRPr="007609AB">
        <w:rPr>
          <w:rFonts w:eastAsia="Calibri"/>
          <w:color w:val="auto"/>
          <w:szCs w:val="22"/>
        </w:rPr>
        <w:t xml:space="preserve"> № 520-ФЗ «</w:t>
      </w:r>
      <w:r w:rsidRPr="007609AB">
        <w:rPr>
          <w:rFonts w:eastAsia="Calibri"/>
          <w:color w:val="auto"/>
        </w:rPr>
        <w:t>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Pr="007609AB">
        <w:rPr>
          <w:rFonts w:eastAsia="Calibri"/>
          <w:color w:val="auto"/>
          <w:szCs w:val="22"/>
        </w:rPr>
        <w:t xml:space="preserve">», </w:t>
      </w:r>
      <w:hyperlink r:id="rId21" w:history="1">
        <w:r w:rsidRPr="007609AB">
          <w:rPr>
            <w:rFonts w:eastAsia="Calibri"/>
            <w:color w:val="auto"/>
            <w:szCs w:val="22"/>
          </w:rPr>
          <w:t>Положением</w:t>
        </w:r>
      </w:hyperlink>
      <w:r w:rsidRPr="007609AB">
        <w:rPr>
          <w:rFonts w:eastAsia="Calibri"/>
          <w:color w:val="auto"/>
          <w:szCs w:val="22"/>
        </w:rPr>
        <w:t xml:space="preserve"> о порядке расходования средств резервного фонда Правительства Кабардино-Балкарской Республики, утвержденным постановлением Правительства Кабардино-Балкарской Республики от 22</w:t>
      </w:r>
      <w:r w:rsidR="007B4A23">
        <w:rPr>
          <w:rFonts w:eastAsia="Calibri"/>
          <w:color w:val="auto"/>
          <w:szCs w:val="22"/>
        </w:rPr>
        <w:t>.12.</w:t>
      </w:r>
      <w:r w:rsidRPr="007609AB">
        <w:rPr>
          <w:rFonts w:eastAsia="Calibri"/>
          <w:color w:val="auto"/>
          <w:szCs w:val="22"/>
        </w:rPr>
        <w:t xml:space="preserve">2010 </w:t>
      </w:r>
      <w:r w:rsidR="00C314E4">
        <w:rPr>
          <w:rFonts w:eastAsia="Calibri"/>
          <w:color w:val="auto"/>
          <w:szCs w:val="22"/>
        </w:rPr>
        <w:t>года</w:t>
      </w:r>
      <w:r w:rsidRPr="007609AB">
        <w:rPr>
          <w:rFonts w:eastAsia="Calibri"/>
          <w:color w:val="auto"/>
          <w:szCs w:val="22"/>
        </w:rPr>
        <w:t xml:space="preserve"> № 242-ПП.</w:t>
      </w:r>
    </w:p>
    <w:p w14:paraId="1FF8B0F7" w14:textId="7ABE09D5" w:rsidR="007609AB" w:rsidRPr="007609AB" w:rsidRDefault="007609AB" w:rsidP="007609AB">
      <w:pPr>
        <w:widowControl/>
        <w:autoSpaceDE w:val="0"/>
        <w:autoSpaceDN w:val="0"/>
        <w:adjustRightInd w:val="0"/>
        <w:contextualSpacing/>
        <w:rPr>
          <w:rFonts w:eastAsia="Calibri"/>
          <w:color w:val="auto"/>
          <w:szCs w:val="22"/>
        </w:rPr>
      </w:pPr>
      <w:r w:rsidRPr="00344769">
        <w:rPr>
          <w:rFonts w:eastAsia="Calibri"/>
          <w:szCs w:val="22"/>
        </w:rPr>
        <w:t xml:space="preserve">Средства резервного фонда Правительства Кабардино-Балкарской Республики были перераспределены </w:t>
      </w:r>
      <w:r w:rsidRPr="007609AB">
        <w:rPr>
          <w:rFonts w:eastAsia="Calibri"/>
          <w:color w:val="auto"/>
          <w:szCs w:val="22"/>
        </w:rPr>
        <w:t>на соответствующие государственные программы для оказания разовой финансовой помощи муниципальным образованиям Кабардино-Балкарской Республики и оказания материальной помощи гражданам Кабардино-Балкарской Республики, оказавшимся в тяжелой жизненной ситуации, в соответствии с поручениями Главы Кабардино-Балкарской Республики и Правительства Кабардино-Балкарской Республики, а также на осуществление денежных выплат, установленных Указами Главы Кабардино-Балкарской Республики от 24</w:t>
      </w:r>
      <w:r w:rsidR="007B4A23">
        <w:rPr>
          <w:rFonts w:eastAsia="Calibri"/>
          <w:color w:val="auto"/>
          <w:szCs w:val="22"/>
        </w:rPr>
        <w:t>.09.</w:t>
      </w:r>
      <w:r w:rsidRPr="007609AB">
        <w:rPr>
          <w:rFonts w:eastAsia="Calibri"/>
          <w:color w:val="auto"/>
          <w:szCs w:val="22"/>
        </w:rPr>
        <w:t xml:space="preserve">2022 </w:t>
      </w:r>
      <w:r w:rsidR="0051479F">
        <w:rPr>
          <w:rFonts w:eastAsia="Calibri"/>
          <w:color w:val="auto"/>
          <w:szCs w:val="22"/>
        </w:rPr>
        <w:t>года</w:t>
      </w:r>
      <w:r w:rsidRPr="007609AB">
        <w:rPr>
          <w:rFonts w:eastAsia="Calibri"/>
          <w:color w:val="auto"/>
          <w:szCs w:val="22"/>
        </w:rPr>
        <w:t xml:space="preserve"> № 92-УГ «О дополнительных мерах социальной поддержки военнослужащих, иных категорий лиц и членов их семей» и от </w:t>
      </w:r>
      <w:r w:rsidR="007B4A23">
        <w:rPr>
          <w:rFonts w:eastAsia="Calibri"/>
          <w:color w:val="auto"/>
          <w:szCs w:val="22"/>
        </w:rPr>
        <w:t>0</w:t>
      </w:r>
      <w:r w:rsidRPr="007609AB">
        <w:rPr>
          <w:rFonts w:eastAsia="Calibri"/>
          <w:color w:val="auto"/>
          <w:szCs w:val="22"/>
        </w:rPr>
        <w:t>1</w:t>
      </w:r>
      <w:r w:rsidR="007B4A23">
        <w:rPr>
          <w:rFonts w:eastAsia="Calibri"/>
          <w:color w:val="auto"/>
          <w:szCs w:val="22"/>
        </w:rPr>
        <w:t>.08.</w:t>
      </w:r>
      <w:r w:rsidRPr="007609AB">
        <w:rPr>
          <w:rFonts w:eastAsia="Calibri"/>
          <w:color w:val="auto"/>
          <w:szCs w:val="22"/>
        </w:rPr>
        <w:t xml:space="preserve">2024 </w:t>
      </w:r>
      <w:r w:rsidR="0051479F">
        <w:rPr>
          <w:rFonts w:eastAsia="Calibri"/>
          <w:color w:val="auto"/>
          <w:szCs w:val="22"/>
        </w:rPr>
        <w:t>года</w:t>
      </w:r>
      <w:r w:rsidRPr="007609AB">
        <w:rPr>
          <w:rFonts w:eastAsia="Calibri"/>
          <w:color w:val="auto"/>
          <w:szCs w:val="22"/>
        </w:rPr>
        <w:t xml:space="preserve"> № 63-УГ «</w:t>
      </w:r>
      <w:r w:rsidRPr="007609AB">
        <w:rPr>
          <w:rFonts w:eastAsia="Calibri"/>
          <w:color w:val="auto"/>
        </w:rPr>
        <w:t>О единовременной денежной выплате военнослужащим, проходящим военную службу по контракту в Вооруженных Силах Российской Федерации», а также н</w:t>
      </w:r>
      <w:r w:rsidRPr="007609AB">
        <w:rPr>
          <w:rFonts w:eastAsia="Calibri"/>
          <w:color w:val="auto"/>
          <w:szCs w:val="22"/>
        </w:rPr>
        <w:t xml:space="preserve">а реализацию специальной меры в сфере экономики, установленной постановлением Правительства Российской Федерации от </w:t>
      </w:r>
      <w:r w:rsidR="007B4A23">
        <w:rPr>
          <w:rFonts w:eastAsia="Calibri"/>
          <w:color w:val="auto"/>
          <w:szCs w:val="22"/>
        </w:rPr>
        <w:t>0</w:t>
      </w:r>
      <w:r w:rsidRPr="007609AB">
        <w:rPr>
          <w:rFonts w:eastAsia="Calibri"/>
          <w:color w:val="auto"/>
          <w:szCs w:val="22"/>
        </w:rPr>
        <w:t>3</w:t>
      </w:r>
      <w:r w:rsidR="007B4A23">
        <w:rPr>
          <w:rFonts w:eastAsia="Calibri"/>
          <w:color w:val="auto"/>
          <w:szCs w:val="22"/>
        </w:rPr>
        <w:t>.10.</w:t>
      </w:r>
      <w:r w:rsidRPr="007609AB">
        <w:rPr>
          <w:rFonts w:eastAsia="Calibri"/>
          <w:color w:val="auto"/>
          <w:szCs w:val="22"/>
        </w:rPr>
        <w:t xml:space="preserve">2022 </w:t>
      </w:r>
      <w:r w:rsidR="0051479F">
        <w:rPr>
          <w:rFonts w:eastAsia="Calibri"/>
          <w:color w:val="auto"/>
          <w:szCs w:val="22"/>
        </w:rPr>
        <w:t>года</w:t>
      </w:r>
      <w:r w:rsidR="007B4A23">
        <w:rPr>
          <w:rFonts w:eastAsia="Calibri"/>
          <w:color w:val="auto"/>
          <w:szCs w:val="22"/>
        </w:rPr>
        <w:t xml:space="preserve"> </w:t>
      </w:r>
      <w:r w:rsidRPr="007609AB">
        <w:rPr>
          <w:rFonts w:eastAsia="Calibri"/>
          <w:color w:val="auto"/>
          <w:szCs w:val="22"/>
        </w:rPr>
        <w:t xml:space="preserve">№ 1745 «О специальной мере в сфере экономики и внесении изменения в постановление Правительства Российской Федерации от </w:t>
      </w:r>
      <w:r w:rsidR="00344769">
        <w:rPr>
          <w:rFonts w:eastAsia="Calibri"/>
          <w:color w:val="auto"/>
          <w:szCs w:val="22"/>
        </w:rPr>
        <w:br/>
      </w:r>
      <w:r w:rsidRPr="007609AB">
        <w:rPr>
          <w:rFonts w:eastAsia="Calibri"/>
          <w:color w:val="auto"/>
          <w:szCs w:val="22"/>
        </w:rPr>
        <w:t>30</w:t>
      </w:r>
      <w:r w:rsidR="007B4A23">
        <w:rPr>
          <w:rFonts w:eastAsia="Calibri"/>
          <w:color w:val="auto"/>
          <w:szCs w:val="22"/>
        </w:rPr>
        <w:t>.04.20</w:t>
      </w:r>
      <w:r w:rsidRPr="007609AB">
        <w:rPr>
          <w:rFonts w:eastAsia="Calibri"/>
          <w:color w:val="auto"/>
          <w:szCs w:val="22"/>
        </w:rPr>
        <w:t>20</w:t>
      </w:r>
      <w:r w:rsidR="007B4A23">
        <w:rPr>
          <w:rFonts w:eastAsia="Calibri"/>
          <w:color w:val="auto"/>
          <w:szCs w:val="22"/>
        </w:rPr>
        <w:t xml:space="preserve"> </w:t>
      </w:r>
      <w:r w:rsidR="0051479F">
        <w:rPr>
          <w:rFonts w:eastAsia="Calibri"/>
          <w:color w:val="auto"/>
          <w:szCs w:val="22"/>
        </w:rPr>
        <w:t>года</w:t>
      </w:r>
      <w:r w:rsidR="007B4A23">
        <w:rPr>
          <w:rFonts w:eastAsia="Calibri"/>
          <w:color w:val="auto"/>
          <w:szCs w:val="22"/>
        </w:rPr>
        <w:t xml:space="preserve"> </w:t>
      </w:r>
      <w:r w:rsidRPr="007609AB">
        <w:rPr>
          <w:rFonts w:eastAsia="Calibri"/>
          <w:color w:val="auto"/>
          <w:szCs w:val="22"/>
        </w:rPr>
        <w:t>№ 616».</w:t>
      </w:r>
    </w:p>
    <w:p w14:paraId="22A9C34E" w14:textId="77777777" w:rsidR="007609AB" w:rsidRPr="007609AB" w:rsidRDefault="007609AB" w:rsidP="007609AB">
      <w:pPr>
        <w:widowControl/>
        <w:autoSpaceDE w:val="0"/>
        <w:autoSpaceDN w:val="0"/>
        <w:adjustRightInd w:val="0"/>
        <w:contextualSpacing/>
        <w:rPr>
          <w:rFonts w:eastAsia="Calibri"/>
          <w:color w:val="auto"/>
          <w:szCs w:val="22"/>
        </w:rPr>
      </w:pPr>
      <w:r w:rsidRPr="007609AB">
        <w:rPr>
          <w:rFonts w:eastAsia="Calibri"/>
          <w:color w:val="auto"/>
          <w:szCs w:val="22"/>
        </w:rPr>
        <w:t>В рамках комплекса процессных мероприятий «Обеспечение деятельности Министерства финансов Кабардино-Балкарской Республики» в 2024 году расходы составили 100,6 млн рублей при плановых назначениях 102,6 млн рублей.</w:t>
      </w:r>
    </w:p>
    <w:p w14:paraId="65B65D6D" w14:textId="77777777" w:rsidR="007609AB" w:rsidRPr="007609AB" w:rsidRDefault="007609AB" w:rsidP="007609AB">
      <w:pPr>
        <w:widowControl/>
        <w:rPr>
          <w:rFonts w:eastAsia="Calibri"/>
          <w:color w:val="000000"/>
          <w:szCs w:val="22"/>
        </w:rPr>
      </w:pPr>
      <w:r w:rsidRPr="007609AB">
        <w:rPr>
          <w:rFonts w:eastAsia="Calibri"/>
          <w:color w:val="000000"/>
          <w:szCs w:val="22"/>
        </w:rPr>
        <w:t>Комплекс процессных мероприятий «Поощрение муниципальных образований Кабардино-Балкарской Республики по итогам оценки эффективности деятельности органов местного самоуправления».</w:t>
      </w:r>
    </w:p>
    <w:p w14:paraId="202B137D" w14:textId="08177E7E" w:rsidR="007609AB" w:rsidRPr="007609AB" w:rsidRDefault="007609AB" w:rsidP="007609AB">
      <w:pPr>
        <w:widowControl/>
        <w:autoSpaceDE w:val="0"/>
        <w:autoSpaceDN w:val="0"/>
        <w:adjustRightInd w:val="0"/>
        <w:contextualSpacing/>
        <w:rPr>
          <w:rFonts w:eastAsia="Calibri"/>
          <w:color w:val="auto"/>
        </w:rPr>
      </w:pPr>
      <w:r w:rsidRPr="007609AB">
        <w:rPr>
          <w:rFonts w:eastAsia="Calibri"/>
          <w:color w:val="auto"/>
        </w:rPr>
        <w:t>В соответствии с распоряжением Правительства РФ от 07.11.2024</w:t>
      </w:r>
      <w:r w:rsidR="005B6B26">
        <w:rPr>
          <w:rFonts w:eastAsia="Calibri"/>
          <w:color w:val="auto"/>
        </w:rPr>
        <w:t xml:space="preserve"> </w:t>
      </w:r>
      <w:r w:rsidR="0051479F">
        <w:rPr>
          <w:rFonts w:eastAsia="Calibri"/>
          <w:color w:val="auto"/>
        </w:rPr>
        <w:t>года</w:t>
      </w:r>
      <w:r w:rsidRPr="007609AB">
        <w:rPr>
          <w:rFonts w:eastAsia="Calibri"/>
          <w:color w:val="auto"/>
        </w:rPr>
        <w:t xml:space="preserve"> </w:t>
      </w:r>
      <w:r w:rsidRPr="007609AB">
        <w:rPr>
          <w:rFonts w:eastAsia="Calibri"/>
          <w:color w:val="auto"/>
        </w:rPr>
        <w:br/>
        <w:t>№ 3167-р «Об утверждении распределения дотаций на премирование муниципальных образований - победителей Всероссийского конкурса «Лучшая муниципальная практика», предоставляемых в 2024 году» городскому округу Прохладный, как один из победителей конкурса был премирован в сумме 50,5 млн рублей. Кроме того,</w:t>
      </w:r>
      <w:r w:rsidRPr="007609AB">
        <w:rPr>
          <w:rFonts w:eastAsia="Calibri"/>
          <w:color w:val="auto"/>
          <w:szCs w:val="22"/>
        </w:rPr>
        <w:t xml:space="preserve"> муниципальным образованиям была выделена дотация на поддержку мер по обеспечению сбалансированности бюджетов (в целях стимулирования муниципальных образований, принимающих меры по увеличению налогового потенциала) в сумме 5,6 млн рублей.</w:t>
      </w:r>
    </w:p>
    <w:p w14:paraId="28240F61" w14:textId="77777777" w:rsidR="00370B39" w:rsidRPr="00AE2D72" w:rsidRDefault="00370B39" w:rsidP="005E5622">
      <w:pPr>
        <w:widowControl/>
        <w:rPr>
          <w:rFonts w:eastAsia="Calibri"/>
          <w:color w:val="FF0000"/>
          <w:szCs w:val="22"/>
        </w:rPr>
      </w:pPr>
    </w:p>
    <w:p w14:paraId="0A6EB6E9" w14:textId="77777777" w:rsidR="00370B39" w:rsidRDefault="00CE41E1" w:rsidP="00370B39">
      <w:pPr>
        <w:pStyle w:val="24"/>
        <w:numPr>
          <w:ilvl w:val="0"/>
          <w:numId w:val="0"/>
        </w:numPr>
        <w:tabs>
          <w:tab w:val="left" w:pos="708"/>
        </w:tabs>
        <w:spacing w:before="0" w:after="0"/>
        <w:rPr>
          <w:color w:val="568D11" w:themeColor="accent3" w:themeShade="80"/>
        </w:rPr>
      </w:pPr>
      <w:bookmarkStart w:id="133" w:name="_Toc162008805"/>
      <w:r w:rsidRPr="00370B39">
        <w:rPr>
          <w:color w:val="568D11" w:themeColor="accent3" w:themeShade="80"/>
        </w:rPr>
        <w:t>1</w:t>
      </w:r>
      <w:r w:rsidR="002C24EA" w:rsidRPr="00370B39">
        <w:rPr>
          <w:color w:val="568D11" w:themeColor="accent3" w:themeShade="80"/>
        </w:rPr>
        <w:t>3</w:t>
      </w:r>
      <w:r w:rsidRPr="00370B39">
        <w:rPr>
          <w:color w:val="568D11" w:themeColor="accent3" w:themeShade="80"/>
        </w:rPr>
        <w:t xml:space="preserve">. </w:t>
      </w:r>
      <w:r w:rsidR="001332E9" w:rsidRPr="00370B39">
        <w:rPr>
          <w:color w:val="568D11" w:themeColor="accent3" w:themeShade="80"/>
        </w:rPr>
        <w:t>Межбюджетные отношения.</w:t>
      </w:r>
      <w:bookmarkEnd w:id="133"/>
    </w:p>
    <w:p w14:paraId="546BC4BC" w14:textId="3E3155B8" w:rsidR="001332E9" w:rsidRDefault="001332E9" w:rsidP="00370B39">
      <w:pPr>
        <w:pStyle w:val="24"/>
        <w:numPr>
          <w:ilvl w:val="0"/>
          <w:numId w:val="0"/>
        </w:numPr>
        <w:tabs>
          <w:tab w:val="left" w:pos="708"/>
        </w:tabs>
        <w:spacing w:before="0" w:after="0"/>
        <w:rPr>
          <w:color w:val="568D11" w:themeColor="accent3" w:themeShade="80"/>
        </w:rPr>
      </w:pPr>
      <w:bookmarkStart w:id="134" w:name="_Toc162008806"/>
      <w:r w:rsidRPr="00370B39">
        <w:rPr>
          <w:color w:val="568D11" w:themeColor="accent3" w:themeShade="80"/>
        </w:rPr>
        <w:t>Государственная поддержка</w:t>
      </w:r>
      <w:r w:rsidR="007472CC">
        <w:rPr>
          <w:color w:val="568D11" w:themeColor="accent3" w:themeShade="80"/>
        </w:rPr>
        <w:t xml:space="preserve"> </w:t>
      </w:r>
      <w:r w:rsidRPr="00370B39">
        <w:rPr>
          <w:color w:val="568D11" w:themeColor="accent3" w:themeShade="80"/>
        </w:rPr>
        <w:t>местных бюджетов</w:t>
      </w:r>
      <w:bookmarkEnd w:id="132"/>
      <w:bookmarkEnd w:id="134"/>
    </w:p>
    <w:p w14:paraId="6728073B" w14:textId="77777777" w:rsidR="00344769" w:rsidRDefault="00344769" w:rsidP="00D76C33">
      <w:pPr>
        <w:rPr>
          <w:bCs/>
          <w:color w:val="auto"/>
        </w:rPr>
      </w:pPr>
    </w:p>
    <w:p w14:paraId="666D253F" w14:textId="01DF1B54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>Создание условий для сбалансированного исполнения местных бюджетов остается приоритетом бюджетной политики в сфере межбюджетных отношений.</w:t>
      </w:r>
    </w:p>
    <w:p w14:paraId="2791412D" w14:textId="77777777" w:rsidR="00344769" w:rsidRDefault="00D76C33" w:rsidP="00344769">
      <w:pPr>
        <w:rPr>
          <w:bCs/>
          <w:color w:val="auto"/>
        </w:rPr>
      </w:pPr>
      <w:r w:rsidRPr="007E1D68">
        <w:rPr>
          <w:bCs/>
          <w:color w:val="auto"/>
        </w:rPr>
        <w:t xml:space="preserve"> В целях формирования соответствующих условий в 202</w:t>
      </w:r>
      <w:r>
        <w:rPr>
          <w:bCs/>
          <w:color w:val="auto"/>
        </w:rPr>
        <w:t>4</w:t>
      </w:r>
      <w:r w:rsidRPr="007E1D68">
        <w:rPr>
          <w:bCs/>
          <w:color w:val="auto"/>
        </w:rPr>
        <w:t xml:space="preserve"> году продолжилась реализация задачи по формированию дополнительных доходных источников в ме</w:t>
      </w:r>
      <w:r w:rsidR="00344769">
        <w:rPr>
          <w:bCs/>
          <w:color w:val="auto"/>
        </w:rPr>
        <w:t>стные бюджеты КБР, в частности:</w:t>
      </w:r>
    </w:p>
    <w:p w14:paraId="5FB3188A" w14:textId="4B9B802E" w:rsidR="00D76C33" w:rsidRPr="007E1D68" w:rsidRDefault="00D76C33" w:rsidP="00344769">
      <w:pPr>
        <w:rPr>
          <w:bCs/>
          <w:color w:val="auto"/>
        </w:rPr>
      </w:pPr>
      <w:r w:rsidRPr="007E1D68">
        <w:rPr>
          <w:bCs/>
          <w:color w:val="auto"/>
        </w:rPr>
        <w:t>•</w:t>
      </w:r>
      <w:r w:rsidRPr="007E1D68">
        <w:rPr>
          <w:bCs/>
          <w:color w:val="auto"/>
        </w:rPr>
        <w:tab/>
        <w:t>замена дотации на поддержку мер по обеспечению сбалансированности бюджетов муниципальных районов и городских округов в целях частичной компенсации выпадающих доходов в связи с отменой ЕНВД на дифференцированные нормативы отчислений в бюджеты муниципальных районов и городских округов от налога, взимаемого в связи с применением упрощенной системы налогообложения. В 202</w:t>
      </w:r>
      <w:r>
        <w:rPr>
          <w:bCs/>
          <w:color w:val="auto"/>
        </w:rPr>
        <w:t>4</w:t>
      </w:r>
      <w:r w:rsidRPr="007E1D68">
        <w:rPr>
          <w:bCs/>
          <w:color w:val="auto"/>
        </w:rPr>
        <w:t xml:space="preserve"> году по сравнению с уровнем 202</w:t>
      </w:r>
      <w:r>
        <w:rPr>
          <w:bCs/>
          <w:color w:val="auto"/>
        </w:rPr>
        <w:t>3</w:t>
      </w:r>
      <w:r w:rsidRPr="007E1D68">
        <w:rPr>
          <w:bCs/>
          <w:color w:val="auto"/>
        </w:rPr>
        <w:t xml:space="preserve"> года </w:t>
      </w:r>
      <w:r w:rsidRPr="007E1D68">
        <w:rPr>
          <w:rFonts w:eastAsia="Calibri"/>
          <w:color w:val="auto"/>
        </w:rPr>
        <w:t xml:space="preserve">увеличен </w:t>
      </w:r>
      <w:r w:rsidRPr="007E1D68">
        <w:rPr>
          <w:bCs/>
          <w:color w:val="auto"/>
        </w:rPr>
        <w:t>средний дифференцированный норматив до 10%. По итогам исполнения 202</w:t>
      </w:r>
      <w:r>
        <w:rPr>
          <w:bCs/>
          <w:color w:val="auto"/>
        </w:rPr>
        <w:t>4</w:t>
      </w:r>
      <w:r w:rsidRPr="007E1D68">
        <w:rPr>
          <w:bCs/>
          <w:color w:val="auto"/>
        </w:rPr>
        <w:t xml:space="preserve"> года поступления по упрощенной системе налогообложения составили </w:t>
      </w:r>
      <w:r>
        <w:rPr>
          <w:bCs/>
          <w:color w:val="auto"/>
        </w:rPr>
        <w:t xml:space="preserve">467 682,2 тыс. </w:t>
      </w:r>
      <w:r w:rsidRPr="007E1D68">
        <w:rPr>
          <w:bCs/>
          <w:color w:val="auto"/>
        </w:rPr>
        <w:t>рублей, что превышает уровень аналогичного периода 202</w:t>
      </w:r>
      <w:r>
        <w:rPr>
          <w:bCs/>
          <w:color w:val="auto"/>
        </w:rPr>
        <w:t>3</w:t>
      </w:r>
      <w:r w:rsidRPr="007E1D68">
        <w:rPr>
          <w:bCs/>
          <w:color w:val="auto"/>
        </w:rPr>
        <w:t xml:space="preserve"> года на </w:t>
      </w:r>
      <w:r>
        <w:rPr>
          <w:bCs/>
          <w:color w:val="auto"/>
        </w:rPr>
        <w:t>34,1</w:t>
      </w:r>
      <w:r w:rsidRPr="007E1D68">
        <w:rPr>
          <w:bCs/>
          <w:color w:val="auto"/>
        </w:rPr>
        <w:t>%;</w:t>
      </w:r>
    </w:p>
    <w:p w14:paraId="74C14058" w14:textId="6E43BDC4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>•</w:t>
      </w:r>
      <w:r w:rsidRPr="007E1D68">
        <w:rPr>
          <w:bCs/>
          <w:color w:val="auto"/>
        </w:rPr>
        <w:tab/>
        <w:t>установление единых нормативов отчислений в бюджеты муниципальных районов (городских округов) от платы за негативное воздействие на окружающую среду и от платы за пользование водными объектами, находящимися в собственности КБР в размере 100 процентов (закона КБР «О внесении изменений в закон КБР «О бюджетном устройстве и бюджетном процессе в КБР»). За 202</w:t>
      </w:r>
      <w:r>
        <w:rPr>
          <w:bCs/>
          <w:color w:val="auto"/>
        </w:rPr>
        <w:t>4</w:t>
      </w:r>
      <w:r w:rsidRPr="007E1D68">
        <w:rPr>
          <w:bCs/>
          <w:color w:val="auto"/>
        </w:rPr>
        <w:t xml:space="preserve"> год по указанным видам доходов поступления составили </w:t>
      </w:r>
      <w:r w:rsidR="00344769">
        <w:rPr>
          <w:bCs/>
          <w:color w:val="auto"/>
        </w:rPr>
        <w:br/>
      </w:r>
      <w:r>
        <w:rPr>
          <w:bCs/>
          <w:color w:val="auto"/>
        </w:rPr>
        <w:t>15 260,3</w:t>
      </w:r>
      <w:r w:rsidRPr="007E1D68">
        <w:rPr>
          <w:bCs/>
          <w:color w:val="auto"/>
        </w:rPr>
        <w:t xml:space="preserve"> тыс. рублей, что превышает уровень 202</w:t>
      </w:r>
      <w:r>
        <w:rPr>
          <w:bCs/>
          <w:color w:val="auto"/>
        </w:rPr>
        <w:t>3</w:t>
      </w:r>
      <w:r w:rsidRPr="007E1D68">
        <w:rPr>
          <w:bCs/>
          <w:color w:val="auto"/>
        </w:rPr>
        <w:t xml:space="preserve"> года в </w:t>
      </w:r>
      <w:r>
        <w:rPr>
          <w:bCs/>
          <w:color w:val="auto"/>
        </w:rPr>
        <w:t>2,6</w:t>
      </w:r>
      <w:r w:rsidRPr="007E1D68">
        <w:rPr>
          <w:bCs/>
          <w:color w:val="auto"/>
        </w:rPr>
        <w:t xml:space="preserve"> раза;</w:t>
      </w:r>
    </w:p>
    <w:p w14:paraId="34CE647C" w14:textId="77777777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>• повышение качества управления муниципальными финансами и соблюдение надлежащей финансовой дисциплины;</w:t>
      </w:r>
    </w:p>
    <w:p w14:paraId="6CF1ADE7" w14:textId="77777777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>•</w:t>
      </w:r>
      <w:r w:rsidRPr="007E1D68">
        <w:rPr>
          <w:bCs/>
          <w:color w:val="auto"/>
        </w:rPr>
        <w:tab/>
        <w:t>усиление ответственности за нецелевое использование бюджетных средств, невыполнение условий межбюджетных трансфертов;</w:t>
      </w:r>
    </w:p>
    <w:p w14:paraId="0EA9745A" w14:textId="1FB75C2B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>•</w:t>
      </w:r>
      <w:r w:rsidRPr="007E1D68">
        <w:rPr>
          <w:bCs/>
          <w:color w:val="auto"/>
        </w:rPr>
        <w:tab/>
        <w:t xml:space="preserve">повышение предсказуемости предоставления целевых межбюджетных трансфертов местным бюджетам из республиканского бюджета </w:t>
      </w:r>
      <w:r w:rsidR="00344769">
        <w:rPr>
          <w:bCs/>
          <w:color w:val="auto"/>
        </w:rPr>
        <w:br/>
      </w:r>
      <w:r w:rsidRPr="007E1D68">
        <w:rPr>
          <w:bCs/>
          <w:color w:val="auto"/>
        </w:rPr>
        <w:t xml:space="preserve">Кабардино-Балкарской Республики (в </w:t>
      </w:r>
      <w:proofErr w:type="spellStart"/>
      <w:r w:rsidRPr="007E1D68">
        <w:rPr>
          <w:bCs/>
          <w:color w:val="auto"/>
        </w:rPr>
        <w:t>т.ч</w:t>
      </w:r>
      <w:proofErr w:type="spellEnd"/>
      <w:r w:rsidRPr="007E1D68">
        <w:rPr>
          <w:bCs/>
          <w:color w:val="auto"/>
        </w:rPr>
        <w:t>. увеличение объемов распределенных на 3 года межбюджетных трансфертов и сокращение сроков их доведения).</w:t>
      </w:r>
    </w:p>
    <w:p w14:paraId="15E156DF" w14:textId="77777777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>Также действовал механизм стимулирования работы органов местного самоуправления по организации работы по погашению задолженности по налоговым платежам и страховым взносам. Размер дотации, подлежащей перечислению муниципальному образованию согласно кассовому плану исполнения республиканского бюджета КБР в соответствующем месяце, уменьшался на сумму задолженности не только по налогу на имущество, но и по всем налогам. В результате проводимой работы объем задолженности по налоговым платежам и страховым взносам, сложившийся у муниципальных районов (городских округов) снижался в течении года. В конце 202</w:t>
      </w:r>
      <w:r>
        <w:rPr>
          <w:bCs/>
          <w:color w:val="auto"/>
        </w:rPr>
        <w:t>4</w:t>
      </w:r>
      <w:r w:rsidRPr="007E1D68">
        <w:rPr>
          <w:bCs/>
          <w:color w:val="auto"/>
        </w:rPr>
        <w:t xml:space="preserve"> года запланированная сумма дотаций на выравнивание бюджетной обеспеченности перечислена муниципальным районам (городским округам) в полном объеме. </w:t>
      </w:r>
    </w:p>
    <w:p w14:paraId="00CE6901" w14:textId="24E983AC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>В целях недопущения некорректного отражения доходной и расходной части бюджета ежедневно проводится анализ, представленных муниципальными образованиями уведомлений о внесении изменений в бюджетную роспись. Так в течение 202</w:t>
      </w:r>
      <w:r>
        <w:rPr>
          <w:bCs/>
          <w:color w:val="auto"/>
        </w:rPr>
        <w:t>4</w:t>
      </w:r>
      <w:r w:rsidRPr="007E1D68">
        <w:rPr>
          <w:bCs/>
          <w:color w:val="auto"/>
        </w:rPr>
        <w:t xml:space="preserve"> года было обработано </w:t>
      </w:r>
      <w:r>
        <w:rPr>
          <w:bCs/>
          <w:color w:val="auto"/>
        </w:rPr>
        <w:t>116102</w:t>
      </w:r>
      <w:r w:rsidRPr="007E1D68">
        <w:rPr>
          <w:bCs/>
          <w:color w:val="auto"/>
        </w:rPr>
        <w:t xml:space="preserve"> и отказано </w:t>
      </w:r>
      <w:r>
        <w:rPr>
          <w:bCs/>
          <w:color w:val="auto"/>
        </w:rPr>
        <w:t>12750</w:t>
      </w:r>
      <w:r w:rsidRPr="007E1D68">
        <w:rPr>
          <w:bCs/>
          <w:color w:val="auto"/>
        </w:rPr>
        <w:t xml:space="preserve"> бюджетных строк в </w:t>
      </w:r>
      <w:r w:rsidRPr="00732011">
        <w:rPr>
          <w:bCs/>
        </w:rPr>
        <w:t xml:space="preserve">уведомлениях об изменении бюджетных назначений. Нагрузка на 1 сотрудника составляет </w:t>
      </w:r>
      <w:r w:rsidR="00732011" w:rsidRPr="00732011">
        <w:rPr>
          <w:bCs/>
        </w:rPr>
        <w:t>38 700</w:t>
      </w:r>
      <w:r w:rsidRPr="00732011">
        <w:rPr>
          <w:bCs/>
        </w:rPr>
        <w:t xml:space="preserve"> </w:t>
      </w:r>
      <w:r w:rsidRPr="007E1D68">
        <w:rPr>
          <w:bCs/>
          <w:color w:val="auto"/>
        </w:rPr>
        <w:t>строк.</w:t>
      </w:r>
    </w:p>
    <w:p w14:paraId="099F037D" w14:textId="77777777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>В 202</w:t>
      </w:r>
      <w:r>
        <w:rPr>
          <w:bCs/>
          <w:color w:val="auto"/>
        </w:rPr>
        <w:t>4</w:t>
      </w:r>
      <w:r w:rsidRPr="007E1D68">
        <w:rPr>
          <w:bCs/>
          <w:color w:val="auto"/>
        </w:rPr>
        <w:t xml:space="preserve"> году было рассмотрено и дано: </w:t>
      </w:r>
    </w:p>
    <w:p w14:paraId="345587C3" w14:textId="77777777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 xml:space="preserve">- </w:t>
      </w:r>
      <w:r>
        <w:rPr>
          <w:bCs/>
          <w:color w:val="auto"/>
        </w:rPr>
        <w:t>56</w:t>
      </w:r>
      <w:r w:rsidRPr="007E1D68">
        <w:rPr>
          <w:bCs/>
          <w:color w:val="auto"/>
        </w:rPr>
        <w:t xml:space="preserve"> положительных и </w:t>
      </w:r>
      <w:r>
        <w:rPr>
          <w:bCs/>
          <w:color w:val="auto"/>
        </w:rPr>
        <w:t>23</w:t>
      </w:r>
      <w:r w:rsidRPr="007E1D68">
        <w:rPr>
          <w:bCs/>
          <w:color w:val="auto"/>
        </w:rPr>
        <w:t xml:space="preserve"> отрицательных заключений на проекты решений сессий муниципальных районов (городских округов) «О внесении изменений и дополнений в местный бюджет муниципального района (городского округа) на 202</w:t>
      </w:r>
      <w:r>
        <w:rPr>
          <w:bCs/>
          <w:color w:val="auto"/>
        </w:rPr>
        <w:t>4</w:t>
      </w:r>
      <w:r w:rsidRPr="007E1D68">
        <w:rPr>
          <w:bCs/>
          <w:color w:val="auto"/>
        </w:rPr>
        <w:t xml:space="preserve"> год и плановый период 202</w:t>
      </w:r>
      <w:r>
        <w:rPr>
          <w:bCs/>
          <w:color w:val="auto"/>
        </w:rPr>
        <w:t>5</w:t>
      </w:r>
      <w:r w:rsidRPr="007E1D68">
        <w:rPr>
          <w:bCs/>
          <w:color w:val="auto"/>
        </w:rPr>
        <w:t xml:space="preserve"> и 202</w:t>
      </w:r>
      <w:r>
        <w:rPr>
          <w:bCs/>
          <w:color w:val="auto"/>
        </w:rPr>
        <w:t>6</w:t>
      </w:r>
      <w:r w:rsidRPr="007E1D68">
        <w:rPr>
          <w:bCs/>
          <w:color w:val="auto"/>
        </w:rPr>
        <w:t xml:space="preserve"> годов»;</w:t>
      </w:r>
    </w:p>
    <w:p w14:paraId="50460F68" w14:textId="77777777" w:rsidR="00D76C33" w:rsidRPr="007E1D68" w:rsidRDefault="00D76C33" w:rsidP="00D76C33">
      <w:pPr>
        <w:rPr>
          <w:bCs/>
          <w:color w:val="auto"/>
        </w:rPr>
      </w:pPr>
      <w:r w:rsidRPr="007E1D68">
        <w:rPr>
          <w:bCs/>
          <w:color w:val="auto"/>
        </w:rPr>
        <w:t>- 1</w:t>
      </w:r>
      <w:r>
        <w:rPr>
          <w:bCs/>
          <w:color w:val="auto"/>
        </w:rPr>
        <w:t>1</w:t>
      </w:r>
      <w:r w:rsidRPr="007E1D68">
        <w:rPr>
          <w:bCs/>
          <w:color w:val="auto"/>
        </w:rPr>
        <w:t xml:space="preserve"> заключений на проекты решений сессий муниципальных районов (городских округов) «О местном бюджете муниципального района (городского округа) на 202</w:t>
      </w:r>
      <w:r>
        <w:rPr>
          <w:bCs/>
          <w:color w:val="auto"/>
        </w:rPr>
        <w:t>5</w:t>
      </w:r>
      <w:r w:rsidRPr="007E1D68">
        <w:rPr>
          <w:bCs/>
          <w:color w:val="auto"/>
        </w:rPr>
        <w:t xml:space="preserve"> год и плановый период 202</w:t>
      </w:r>
      <w:r>
        <w:rPr>
          <w:bCs/>
          <w:color w:val="auto"/>
        </w:rPr>
        <w:t>6</w:t>
      </w:r>
      <w:r w:rsidRPr="007E1D68">
        <w:rPr>
          <w:bCs/>
          <w:color w:val="auto"/>
        </w:rPr>
        <w:t xml:space="preserve"> и 202</w:t>
      </w:r>
      <w:r>
        <w:rPr>
          <w:bCs/>
          <w:color w:val="auto"/>
        </w:rPr>
        <w:t>7</w:t>
      </w:r>
      <w:r w:rsidRPr="007E1D68">
        <w:rPr>
          <w:bCs/>
          <w:color w:val="auto"/>
        </w:rPr>
        <w:t xml:space="preserve"> годов»;</w:t>
      </w:r>
    </w:p>
    <w:p w14:paraId="2AC9D685" w14:textId="77777777" w:rsidR="00D76C33" w:rsidRPr="007E1D68" w:rsidRDefault="00D76C33" w:rsidP="00D76C33">
      <w:pPr>
        <w:rPr>
          <w:rFonts w:eastAsia="Trebuchet MS"/>
          <w:color w:val="auto"/>
        </w:rPr>
      </w:pPr>
      <w:r w:rsidRPr="007E1D68">
        <w:rPr>
          <w:bCs/>
          <w:color w:val="auto"/>
        </w:rPr>
        <w:t xml:space="preserve">  - 2</w:t>
      </w:r>
      <w:r>
        <w:rPr>
          <w:bCs/>
          <w:color w:val="auto"/>
        </w:rPr>
        <w:t>6</w:t>
      </w:r>
      <w:r w:rsidRPr="007E1D68">
        <w:rPr>
          <w:bCs/>
          <w:color w:val="auto"/>
        </w:rPr>
        <w:t xml:space="preserve"> заключений по  муницип</w:t>
      </w:r>
      <w:bookmarkStart w:id="135" w:name="_GoBack"/>
      <w:bookmarkEnd w:id="135"/>
      <w:r w:rsidRPr="007E1D68">
        <w:rPr>
          <w:bCs/>
          <w:color w:val="auto"/>
        </w:rPr>
        <w:t>альным образованиям на проекты решений сессий муниципальных районов (городских округов) «О местном бюджете муниципального района (городского округа) на 202</w:t>
      </w:r>
      <w:r>
        <w:rPr>
          <w:bCs/>
          <w:color w:val="auto"/>
        </w:rPr>
        <w:t>5</w:t>
      </w:r>
      <w:r w:rsidRPr="007E1D68">
        <w:rPr>
          <w:bCs/>
          <w:color w:val="auto"/>
        </w:rPr>
        <w:t xml:space="preserve"> год и плановый период 202</w:t>
      </w:r>
      <w:r>
        <w:rPr>
          <w:bCs/>
          <w:color w:val="auto"/>
        </w:rPr>
        <w:t>6</w:t>
      </w:r>
      <w:r w:rsidRPr="007E1D68">
        <w:rPr>
          <w:bCs/>
          <w:color w:val="auto"/>
        </w:rPr>
        <w:t xml:space="preserve"> и 202</w:t>
      </w:r>
      <w:r>
        <w:rPr>
          <w:bCs/>
          <w:color w:val="auto"/>
        </w:rPr>
        <w:t>7</w:t>
      </w:r>
      <w:r w:rsidRPr="007E1D68">
        <w:rPr>
          <w:bCs/>
          <w:color w:val="auto"/>
        </w:rPr>
        <w:t xml:space="preserve"> годов», подпадающими под </w:t>
      </w:r>
      <w:r w:rsidRPr="007E1D68">
        <w:rPr>
          <w:rFonts w:eastAsia="Trebuchet MS"/>
          <w:color w:val="auto"/>
        </w:rPr>
        <w:t>перечень муниципальных образований,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50 %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поселениями.</w:t>
      </w:r>
    </w:p>
    <w:p w14:paraId="1C378449" w14:textId="77777777" w:rsidR="00D76C33" w:rsidRPr="007E1D68" w:rsidRDefault="00D76C33" w:rsidP="00D76C33">
      <w:pPr>
        <w:rPr>
          <w:rFonts w:eastAsia="Trebuchet MS"/>
          <w:color w:val="auto"/>
        </w:rPr>
      </w:pPr>
      <w:r w:rsidRPr="007E1D68">
        <w:rPr>
          <w:rFonts w:eastAsia="Trebuchet MS"/>
          <w:color w:val="auto"/>
        </w:rPr>
        <w:t>В Министерство финансов РФ был представлен мониторинг местных бюджетов и межбюджетных отношений в Кабардино-Балкарской Республике на региональном и муниципальном уровнях за 202</w:t>
      </w:r>
      <w:r>
        <w:rPr>
          <w:rFonts w:eastAsia="Trebuchet MS"/>
          <w:color w:val="auto"/>
        </w:rPr>
        <w:t>3</w:t>
      </w:r>
      <w:r w:rsidRPr="007E1D68">
        <w:rPr>
          <w:rFonts w:eastAsia="Trebuchet MS"/>
          <w:color w:val="auto"/>
        </w:rPr>
        <w:t xml:space="preserve"> год. В целях формирования мониторинга местных бюджетов был проведен анализ </w:t>
      </w:r>
      <w:r w:rsidRPr="007E1D68">
        <w:rPr>
          <w:color w:val="000000"/>
        </w:rPr>
        <w:t>исполнения местных бюджетов, а также межбюджетного регулирования, осуществляемого органами государственной власти КБР, органами местного самоуправления муниципальных районов и городских округов</w:t>
      </w:r>
      <w:r w:rsidRPr="007E1D68">
        <w:rPr>
          <w:rFonts w:eastAsia="Trebuchet MS"/>
          <w:color w:val="auto"/>
        </w:rPr>
        <w:t xml:space="preserve">. </w:t>
      </w:r>
    </w:p>
    <w:p w14:paraId="18DAA170" w14:textId="77777777" w:rsidR="00D76C33" w:rsidRPr="007E1D68" w:rsidRDefault="00D76C33" w:rsidP="00D76C33">
      <w:pPr>
        <w:rPr>
          <w:rFonts w:eastAsia="Trebuchet MS"/>
          <w:color w:val="auto"/>
        </w:rPr>
      </w:pPr>
      <w:r w:rsidRPr="007E1D68">
        <w:rPr>
          <w:rFonts w:ascii="Times New Roman CYR" w:hAnsi="Times New Roman CYR"/>
          <w:color w:val="000000"/>
        </w:rPr>
        <w:t>Сформированные отчетные данные по всем 16 формам были представлены в электронном виде в единой информационной аналитической системе сбора и свода отчетности Минфина РФ (ЕИАС) в установленные сроки.</w:t>
      </w:r>
    </w:p>
    <w:p w14:paraId="16701304" w14:textId="77777777" w:rsidR="00D76C33" w:rsidRPr="007E1D68" w:rsidRDefault="00D76C33" w:rsidP="00D76C33">
      <w:pPr>
        <w:tabs>
          <w:tab w:val="left" w:pos="899"/>
        </w:tabs>
        <w:ind w:firstLine="560"/>
        <w:rPr>
          <w:color w:val="auto"/>
        </w:rPr>
      </w:pPr>
      <w:r>
        <w:rPr>
          <w:color w:val="auto"/>
        </w:rPr>
        <w:t>Мониторинг местных бюджетов был</w:t>
      </w:r>
      <w:r w:rsidRPr="007E1D68">
        <w:rPr>
          <w:color w:val="auto"/>
        </w:rPr>
        <w:t xml:space="preserve"> осуществлен по итогам исполнения республиканского и местных бюджетов по следующим группам показателей:</w:t>
      </w:r>
    </w:p>
    <w:p w14:paraId="6496454F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>количество местных бюджетов;</w:t>
      </w:r>
    </w:p>
    <w:p w14:paraId="73EDE520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>установление органами государственной власти КБР нормативов отчислений от федеральных налогов и сборов и региональных налогов, а также отдельных неналоговых доходов в местные бюджеты;</w:t>
      </w:r>
    </w:p>
    <w:p w14:paraId="087BFF61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>установление органами местного самоуправления муниципальных районов нормативов отчислений от федеральных, региональных и местных налогов и сборов, а также неналоговых доходов в бюджеты поселений;</w:t>
      </w:r>
    </w:p>
    <w:p w14:paraId="1800DE5E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>передача полномочий по решению вопросов местного значения;</w:t>
      </w:r>
    </w:p>
    <w:p w14:paraId="745F837A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 xml:space="preserve">установление местных налогов, применение механизмов самообложения граждан, инициативного бюджетирования и утверждение смет доходов и расходов населенных пунктов и других территорий, не являющихся муниципальными образованиями; </w:t>
      </w:r>
    </w:p>
    <w:p w14:paraId="0F43DC87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>расходы местных бюджетов;</w:t>
      </w:r>
    </w:p>
    <w:p w14:paraId="396FEE9A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>осуществление муниципальными образованиями отдельных государственных полномочий;</w:t>
      </w:r>
    </w:p>
    <w:p w14:paraId="16214F55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>межбюджетные трансферты и бюджетные кредиты, предоставляемые из бюджета субъекта Российской Федерации местным бюджетам;</w:t>
      </w:r>
    </w:p>
    <w:p w14:paraId="16ED2B00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>обеспечение стабильности выравнивания бюджетной обеспеченности муниципальных образований;</w:t>
      </w:r>
    </w:p>
    <w:p w14:paraId="23975E8B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>межбюджетные трансферты и бюджетные кредиты из местных бюджетов;</w:t>
      </w:r>
    </w:p>
    <w:p w14:paraId="0112AF2D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3"/>
        </w:tabs>
        <w:ind w:firstLine="660"/>
        <w:rPr>
          <w:color w:val="auto"/>
        </w:rPr>
      </w:pPr>
      <w:r w:rsidRPr="007E1D68">
        <w:rPr>
          <w:color w:val="auto"/>
        </w:rPr>
        <w:t xml:space="preserve">структура муниципальных образований по степени </w:t>
      </w:r>
      <w:proofErr w:type="spellStart"/>
      <w:r w:rsidRPr="007E1D68">
        <w:rPr>
          <w:color w:val="auto"/>
        </w:rPr>
        <w:t>дотационности</w:t>
      </w:r>
      <w:proofErr w:type="spellEnd"/>
      <w:r w:rsidRPr="007E1D68">
        <w:rPr>
          <w:color w:val="auto"/>
        </w:rPr>
        <w:t xml:space="preserve"> местных бюджетов;</w:t>
      </w:r>
    </w:p>
    <w:p w14:paraId="44D6F90F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5"/>
        </w:tabs>
        <w:ind w:firstLine="660"/>
        <w:rPr>
          <w:color w:val="auto"/>
        </w:rPr>
      </w:pPr>
      <w:r w:rsidRPr="007E1D68">
        <w:rPr>
          <w:color w:val="auto"/>
        </w:rPr>
        <w:t>соблюдение органами местного самоуправления основных условий предоставления межбюджетных трансфертов;</w:t>
      </w:r>
    </w:p>
    <w:p w14:paraId="061D98A2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5"/>
        </w:tabs>
        <w:ind w:firstLine="660"/>
        <w:rPr>
          <w:color w:val="auto"/>
        </w:rPr>
      </w:pPr>
      <w:r w:rsidRPr="007E1D68">
        <w:rPr>
          <w:color w:val="auto"/>
        </w:rPr>
        <w:t>показатели бюджетной обеспеченности муниципальных образований;</w:t>
      </w:r>
    </w:p>
    <w:p w14:paraId="3875382C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5"/>
        </w:tabs>
        <w:ind w:firstLine="660"/>
        <w:rPr>
          <w:color w:val="auto"/>
        </w:rPr>
      </w:pPr>
      <w:r w:rsidRPr="007E1D68">
        <w:rPr>
          <w:color w:val="auto"/>
        </w:rPr>
        <w:t>показатели сбалансированности местных бюджетов и муниципального долга;</w:t>
      </w:r>
    </w:p>
    <w:p w14:paraId="03F8C81B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5"/>
        </w:tabs>
        <w:ind w:firstLine="660"/>
        <w:rPr>
          <w:color w:val="auto"/>
        </w:rPr>
      </w:pPr>
      <w:r w:rsidRPr="007E1D68">
        <w:rPr>
          <w:color w:val="auto"/>
        </w:rPr>
        <w:t>расходы на организацию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а также на подготовку кадров для муниципальной службы;</w:t>
      </w:r>
    </w:p>
    <w:p w14:paraId="7A21584C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5"/>
        </w:tabs>
        <w:ind w:firstLine="660"/>
        <w:rPr>
          <w:color w:val="auto"/>
        </w:rPr>
      </w:pPr>
      <w:r w:rsidRPr="007E1D68">
        <w:rPr>
          <w:color w:val="auto"/>
        </w:rPr>
        <w:t>сроки предоставления межбюджетных трансфертов из бюджета субъекта Российской Федерации местным бюджетам.</w:t>
      </w:r>
    </w:p>
    <w:p w14:paraId="6C45470E" w14:textId="77777777" w:rsidR="00D76C33" w:rsidRPr="007E1D68" w:rsidRDefault="00D76C33" w:rsidP="00D76C33">
      <w:pPr>
        <w:tabs>
          <w:tab w:val="left" w:pos="907"/>
        </w:tabs>
        <w:ind w:firstLine="400"/>
        <w:rPr>
          <w:color w:val="auto"/>
        </w:rPr>
      </w:pPr>
      <w:r w:rsidRPr="007E1D68">
        <w:rPr>
          <w:color w:val="auto"/>
        </w:rPr>
        <w:t>Мониторинг местных бюджетов проводился на основании:</w:t>
      </w:r>
    </w:p>
    <w:p w14:paraId="38C3D035" w14:textId="77777777" w:rsidR="00D76C33" w:rsidRPr="007E1D68" w:rsidRDefault="00D76C33" w:rsidP="00D76C33">
      <w:pPr>
        <w:tabs>
          <w:tab w:val="left" w:pos="907"/>
        </w:tabs>
        <w:rPr>
          <w:color w:val="auto"/>
        </w:rPr>
      </w:pPr>
      <w:r w:rsidRPr="007E1D68">
        <w:rPr>
          <w:color w:val="auto"/>
        </w:rPr>
        <w:t>- данных по итогам исполнения республиканского бюджета КБР за 202</w:t>
      </w:r>
      <w:r>
        <w:rPr>
          <w:color w:val="auto"/>
        </w:rPr>
        <w:t>3</w:t>
      </w:r>
      <w:r w:rsidRPr="007E1D68">
        <w:rPr>
          <w:color w:val="auto"/>
        </w:rPr>
        <w:t xml:space="preserve"> год;</w:t>
      </w:r>
    </w:p>
    <w:p w14:paraId="4B175F4A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5"/>
        </w:tabs>
        <w:ind w:firstLine="660"/>
        <w:rPr>
          <w:color w:val="auto"/>
        </w:rPr>
      </w:pPr>
      <w:r w:rsidRPr="007E1D68">
        <w:rPr>
          <w:color w:val="auto"/>
        </w:rPr>
        <w:t>данных, представляемых финансовыми органами муниципальных районов и городских округов по итогам исполнения местных бюджетов за 202</w:t>
      </w:r>
      <w:r>
        <w:rPr>
          <w:color w:val="auto"/>
        </w:rPr>
        <w:t>3</w:t>
      </w:r>
      <w:r w:rsidRPr="007E1D68">
        <w:rPr>
          <w:color w:val="auto"/>
        </w:rPr>
        <w:t xml:space="preserve"> год;</w:t>
      </w:r>
    </w:p>
    <w:p w14:paraId="5AAF7226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5"/>
        </w:tabs>
        <w:ind w:firstLine="660"/>
        <w:rPr>
          <w:color w:val="auto"/>
        </w:rPr>
      </w:pPr>
      <w:r w:rsidRPr="007E1D68">
        <w:rPr>
          <w:color w:val="auto"/>
        </w:rPr>
        <w:t>данных отчетности об исполнении консолидированных бюджетов муниципальных районов и городских округов;</w:t>
      </w:r>
    </w:p>
    <w:p w14:paraId="17BAF499" w14:textId="77777777" w:rsidR="00D76C33" w:rsidRPr="007E1D68" w:rsidRDefault="00D76C33" w:rsidP="00D76C33">
      <w:pPr>
        <w:numPr>
          <w:ilvl w:val="0"/>
          <w:numId w:val="31"/>
        </w:numPr>
        <w:tabs>
          <w:tab w:val="left" w:pos="1005"/>
        </w:tabs>
        <w:ind w:firstLine="660"/>
        <w:rPr>
          <w:color w:val="auto"/>
        </w:rPr>
      </w:pPr>
      <w:r w:rsidRPr="007E1D68">
        <w:rPr>
          <w:color w:val="auto"/>
        </w:rPr>
        <w:t>иной информации, имеющейся в распоряжении Министерства финансов КБР.</w:t>
      </w:r>
    </w:p>
    <w:p w14:paraId="7A464E6C" w14:textId="77777777" w:rsidR="00D76C33" w:rsidRPr="007E1D68" w:rsidRDefault="00D76C33" w:rsidP="00D76C33">
      <w:pPr>
        <w:rPr>
          <w:rFonts w:eastAsia="Trebuchet MS"/>
          <w:color w:val="auto"/>
        </w:rPr>
      </w:pPr>
      <w:r w:rsidRPr="007E1D68">
        <w:rPr>
          <w:rFonts w:eastAsia="Trebuchet MS"/>
          <w:color w:val="auto"/>
        </w:rPr>
        <w:t>В 202</w:t>
      </w:r>
      <w:r>
        <w:rPr>
          <w:rFonts w:eastAsia="Trebuchet MS"/>
          <w:color w:val="auto"/>
        </w:rPr>
        <w:t>4</w:t>
      </w:r>
      <w:r w:rsidRPr="007E1D68">
        <w:rPr>
          <w:rFonts w:eastAsia="Trebuchet MS"/>
          <w:color w:val="auto"/>
        </w:rPr>
        <w:t xml:space="preserve"> году был сформирован реестр расходных обязательств по муниципальным образованиям КБР за 202</w:t>
      </w:r>
      <w:r>
        <w:rPr>
          <w:rFonts w:eastAsia="Trebuchet MS"/>
          <w:color w:val="auto"/>
        </w:rPr>
        <w:t>3</w:t>
      </w:r>
      <w:r w:rsidRPr="007E1D68">
        <w:rPr>
          <w:rFonts w:eastAsia="Trebuchet MS"/>
          <w:color w:val="auto"/>
        </w:rPr>
        <w:t xml:space="preserve"> год.</w:t>
      </w:r>
    </w:p>
    <w:p w14:paraId="763B71F4" w14:textId="77777777" w:rsidR="00D76C33" w:rsidRPr="007E1D68" w:rsidRDefault="00D76C33" w:rsidP="00D76C33">
      <w:pPr>
        <w:autoSpaceDE w:val="0"/>
        <w:autoSpaceDN w:val="0"/>
        <w:adjustRightInd w:val="0"/>
        <w:rPr>
          <w:color w:val="000000"/>
          <w:lang w:eastAsia="ru-RU"/>
        </w:rPr>
      </w:pPr>
      <w:r w:rsidRPr="007E1D68">
        <w:rPr>
          <w:color w:val="000000"/>
          <w:lang w:eastAsia="ru-RU"/>
        </w:rPr>
        <w:t>Формирование свода реестров расходных обязательств муниципальных образований, входящих в состав Кабардино-Балкарской Республики, осуществлялся в разрезе видов:</w:t>
      </w:r>
    </w:p>
    <w:p w14:paraId="618F8D0F" w14:textId="77777777" w:rsidR="00D76C33" w:rsidRPr="007E1D68" w:rsidRDefault="00D76C33" w:rsidP="00D76C33">
      <w:pPr>
        <w:autoSpaceDE w:val="0"/>
        <w:autoSpaceDN w:val="0"/>
        <w:adjustRightInd w:val="0"/>
        <w:rPr>
          <w:color w:val="000000"/>
          <w:lang w:eastAsia="ru-RU"/>
        </w:rPr>
      </w:pPr>
      <w:r w:rsidRPr="007E1D68">
        <w:rPr>
          <w:color w:val="000000"/>
          <w:lang w:eastAsia="ru-RU"/>
        </w:rPr>
        <w:t>- муниципальных образований на основании информации муниципальных районов, городских округов, городских и сельских поселений КБР;</w:t>
      </w:r>
    </w:p>
    <w:p w14:paraId="5B23562F" w14:textId="5A30F767" w:rsidR="00D76C33" w:rsidRPr="007E1D68" w:rsidRDefault="00D76C33" w:rsidP="00D76C33">
      <w:pPr>
        <w:autoSpaceDE w:val="0"/>
        <w:autoSpaceDN w:val="0"/>
        <w:adjustRightInd w:val="0"/>
        <w:rPr>
          <w:color w:val="000000"/>
          <w:lang w:eastAsia="ru-RU"/>
        </w:rPr>
      </w:pPr>
      <w:r w:rsidRPr="007E1D68">
        <w:rPr>
          <w:color w:val="000000"/>
          <w:lang w:eastAsia="ru-RU"/>
        </w:rPr>
        <w:t xml:space="preserve">- полномочий на основании таблицы 1 приложения № 3 к Приказу Министерства финансов РФ от </w:t>
      </w:r>
      <w:r w:rsidR="007B4A23">
        <w:rPr>
          <w:color w:val="000000"/>
          <w:lang w:eastAsia="ru-RU"/>
        </w:rPr>
        <w:t>0</w:t>
      </w:r>
      <w:r w:rsidRPr="007E1D68">
        <w:rPr>
          <w:color w:val="000000"/>
          <w:lang w:eastAsia="ru-RU"/>
        </w:rPr>
        <w:t>3</w:t>
      </w:r>
      <w:r w:rsidR="007B4A23">
        <w:rPr>
          <w:color w:val="000000"/>
          <w:lang w:eastAsia="ru-RU"/>
        </w:rPr>
        <w:t>.03.</w:t>
      </w:r>
      <w:r w:rsidRPr="007E1D68">
        <w:rPr>
          <w:color w:val="000000"/>
          <w:lang w:eastAsia="ru-RU"/>
        </w:rPr>
        <w:t xml:space="preserve">2020 </w:t>
      </w:r>
      <w:r w:rsidR="0051479F">
        <w:rPr>
          <w:color w:val="000000"/>
          <w:lang w:eastAsia="ru-RU"/>
        </w:rPr>
        <w:t>года</w:t>
      </w:r>
      <w:r w:rsidRPr="007E1D68">
        <w:rPr>
          <w:color w:val="000000"/>
          <w:lang w:eastAsia="ru-RU"/>
        </w:rPr>
        <w:t xml:space="preserve"> № 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КБР».</w:t>
      </w:r>
    </w:p>
    <w:p w14:paraId="75AE2BD4" w14:textId="77777777" w:rsidR="00D76C33" w:rsidRPr="007E1D68" w:rsidRDefault="00D76C33" w:rsidP="00D76C33">
      <w:pPr>
        <w:autoSpaceDE w:val="0"/>
        <w:autoSpaceDN w:val="0"/>
        <w:adjustRightInd w:val="0"/>
        <w:rPr>
          <w:color w:val="000000"/>
          <w:lang w:eastAsia="ru-RU"/>
        </w:rPr>
      </w:pPr>
      <w:r w:rsidRPr="007E1D68">
        <w:rPr>
          <w:color w:val="000000"/>
          <w:lang w:eastAsia="ru-RU"/>
        </w:rPr>
        <w:t xml:space="preserve">Также при заполнении свода реестров муниципальных образований была заполнена </w:t>
      </w:r>
      <w:r w:rsidRPr="007E1D68">
        <w:rPr>
          <w:color w:val="000000"/>
        </w:rPr>
        <w:t>справочная таблица по финансированию полномочий муниципальных образований по данным консолидированного бюджета КБР за 202</w:t>
      </w:r>
      <w:r>
        <w:rPr>
          <w:color w:val="000000"/>
        </w:rPr>
        <w:t>3</w:t>
      </w:r>
      <w:r w:rsidRPr="007E1D68">
        <w:rPr>
          <w:color w:val="000000"/>
        </w:rPr>
        <w:t xml:space="preserve"> год. </w:t>
      </w:r>
      <w:r w:rsidRPr="007E1D68">
        <w:rPr>
          <w:color w:val="000000"/>
          <w:lang w:eastAsia="ru-RU"/>
        </w:rPr>
        <w:t xml:space="preserve"> </w:t>
      </w:r>
    </w:p>
    <w:p w14:paraId="35D44D4A" w14:textId="23052E40" w:rsidR="00D76C33" w:rsidRDefault="00D76C33" w:rsidP="00D76C33">
      <w:pPr>
        <w:rPr>
          <w:rFonts w:eastAsia="Trebuchet MS"/>
          <w:color w:val="auto"/>
        </w:rPr>
      </w:pPr>
      <w:r w:rsidRPr="007E1D68">
        <w:rPr>
          <w:rFonts w:eastAsia="Trebuchet MS"/>
          <w:color w:val="auto"/>
        </w:rPr>
        <w:t>Были сформированы и представлены в Министерство обороны РФ и Министерство финансов РФ годовой отчет за 202</w:t>
      </w:r>
      <w:r>
        <w:rPr>
          <w:rFonts w:eastAsia="Trebuchet MS"/>
          <w:color w:val="auto"/>
        </w:rPr>
        <w:t>4</w:t>
      </w:r>
      <w:r w:rsidRPr="007E1D68">
        <w:rPr>
          <w:rFonts w:eastAsia="Trebuchet MS"/>
          <w:color w:val="auto"/>
        </w:rPr>
        <w:t xml:space="preserve"> год и ежеквартальные отчеты за 202</w:t>
      </w:r>
      <w:r>
        <w:rPr>
          <w:rFonts w:eastAsia="Trebuchet MS"/>
          <w:color w:val="auto"/>
        </w:rPr>
        <w:t>4</w:t>
      </w:r>
      <w:r w:rsidRPr="007E1D68">
        <w:rPr>
          <w:rFonts w:eastAsia="Trebuchet MS"/>
          <w:color w:val="auto"/>
        </w:rPr>
        <w:t xml:space="preserve"> год по субвенциям на осуществление первичного воинского учета на территориях, где отсутствуют военные комиссариаты. Также направлены сведения об органах местного самоуправления поселений, на которые возложены полномочия по воинскому учету, а также о планируемом объеме средств, необходимых для финансирования их полномочий по воинскому учету в 202</w:t>
      </w:r>
      <w:r>
        <w:rPr>
          <w:rFonts w:eastAsia="Trebuchet MS"/>
          <w:color w:val="auto"/>
        </w:rPr>
        <w:t>5</w:t>
      </w:r>
      <w:r w:rsidRPr="007E1D68">
        <w:rPr>
          <w:rFonts w:eastAsia="Trebuchet MS"/>
          <w:color w:val="auto"/>
        </w:rPr>
        <w:t xml:space="preserve"> - 202</w:t>
      </w:r>
      <w:r>
        <w:rPr>
          <w:rFonts w:eastAsia="Trebuchet MS"/>
          <w:color w:val="auto"/>
        </w:rPr>
        <w:t>7</w:t>
      </w:r>
      <w:r w:rsidRPr="007E1D68">
        <w:rPr>
          <w:rFonts w:eastAsia="Trebuchet MS"/>
          <w:color w:val="auto"/>
        </w:rPr>
        <w:t xml:space="preserve"> годах.</w:t>
      </w:r>
    </w:p>
    <w:p w14:paraId="18CC2272" w14:textId="77777777" w:rsidR="000F5201" w:rsidRPr="007E1D68" w:rsidRDefault="000F5201" w:rsidP="00D76C33">
      <w:pPr>
        <w:rPr>
          <w:rFonts w:eastAsia="Trebuchet MS"/>
          <w:color w:val="auto"/>
        </w:rPr>
      </w:pPr>
    </w:p>
    <w:p w14:paraId="62E29A42" w14:textId="65DF2A24" w:rsidR="00B13A04" w:rsidRDefault="008B0C90" w:rsidP="00B13A04">
      <w:pPr>
        <w:pStyle w:val="24"/>
        <w:numPr>
          <w:ilvl w:val="0"/>
          <w:numId w:val="0"/>
        </w:numPr>
        <w:tabs>
          <w:tab w:val="left" w:pos="708"/>
        </w:tabs>
        <w:spacing w:before="0" w:after="0"/>
        <w:rPr>
          <w:color w:val="568D11" w:themeColor="accent3" w:themeShade="80"/>
        </w:rPr>
      </w:pPr>
      <w:bookmarkStart w:id="136" w:name="_Toc131085650"/>
      <w:bookmarkStart w:id="137" w:name="_Toc162008807"/>
      <w:bookmarkEnd w:id="127"/>
      <w:r w:rsidRPr="00370B39">
        <w:rPr>
          <w:color w:val="568D11" w:themeColor="accent3" w:themeShade="80"/>
        </w:rPr>
        <w:t>1</w:t>
      </w:r>
      <w:r w:rsidR="002C24EA" w:rsidRPr="00370B39">
        <w:rPr>
          <w:color w:val="568D11" w:themeColor="accent3" w:themeShade="80"/>
        </w:rPr>
        <w:t>4</w:t>
      </w:r>
      <w:r w:rsidR="00EF3EF0" w:rsidRPr="00370B39">
        <w:rPr>
          <w:color w:val="568D11" w:themeColor="accent3" w:themeShade="80"/>
        </w:rPr>
        <w:t>.Основные задачи Министерства финансов КБР</w:t>
      </w:r>
      <w:r w:rsidR="00EF3EF0" w:rsidRPr="00370B39">
        <w:rPr>
          <w:color w:val="568D11" w:themeColor="accent3" w:themeShade="80"/>
        </w:rPr>
        <w:br/>
        <w:t>на 202</w:t>
      </w:r>
      <w:r w:rsidR="007A2CD5">
        <w:rPr>
          <w:color w:val="568D11" w:themeColor="accent3" w:themeShade="80"/>
        </w:rPr>
        <w:t>5</w:t>
      </w:r>
      <w:r w:rsidR="00EF3EF0" w:rsidRPr="00370B39">
        <w:rPr>
          <w:color w:val="568D11" w:themeColor="accent3" w:themeShade="80"/>
        </w:rPr>
        <w:t xml:space="preserve"> год</w:t>
      </w:r>
      <w:bookmarkEnd w:id="136"/>
      <w:bookmarkEnd w:id="137"/>
      <w:r w:rsidR="00606E72">
        <w:rPr>
          <w:color w:val="568D11" w:themeColor="accent3" w:themeShade="80"/>
        </w:rPr>
        <w:t xml:space="preserve"> </w:t>
      </w:r>
    </w:p>
    <w:p w14:paraId="3D609034" w14:textId="77777777" w:rsidR="00B13A04" w:rsidRDefault="00B13A04" w:rsidP="00B13A04">
      <w:pPr>
        <w:pStyle w:val="24"/>
        <w:numPr>
          <w:ilvl w:val="0"/>
          <w:numId w:val="0"/>
        </w:numPr>
        <w:tabs>
          <w:tab w:val="left" w:pos="708"/>
        </w:tabs>
        <w:spacing w:before="0" w:after="0"/>
        <w:rPr>
          <w:color w:val="568D11" w:themeColor="accent3" w:themeShade="80"/>
        </w:rPr>
      </w:pPr>
    </w:p>
    <w:p w14:paraId="664BF024" w14:textId="3FCA89CB" w:rsidR="007E660C" w:rsidRPr="00DB0B8B" w:rsidRDefault="002032B4" w:rsidP="007E660C">
      <w:pPr>
        <w:rPr>
          <w:color w:val="auto"/>
        </w:rPr>
      </w:pPr>
      <w:r w:rsidRPr="00DB0B8B">
        <w:rPr>
          <w:color w:val="auto"/>
        </w:rPr>
        <w:t>Основные задачи Министерства финансов КБР на текущий финансовый год сохраняют преемственность целей, определенных прошедшим финансовым годом и учитывают изменения, прогнозируемые в экономике.</w:t>
      </w:r>
      <w:r w:rsidR="00892826" w:rsidRPr="00DB0B8B">
        <w:rPr>
          <w:color w:val="auto"/>
        </w:rPr>
        <w:t xml:space="preserve"> П</w:t>
      </w:r>
      <w:r w:rsidRPr="00DB0B8B">
        <w:rPr>
          <w:color w:val="auto"/>
        </w:rPr>
        <w:t>ервоочередными задачами на 202</w:t>
      </w:r>
      <w:r w:rsidR="00DB0B8B" w:rsidRPr="00DB0B8B">
        <w:rPr>
          <w:color w:val="auto"/>
        </w:rPr>
        <w:t>5</w:t>
      </w:r>
      <w:r w:rsidRPr="00DB0B8B">
        <w:rPr>
          <w:color w:val="auto"/>
        </w:rPr>
        <w:t xml:space="preserve"> год являются: </w:t>
      </w:r>
    </w:p>
    <w:p w14:paraId="0A488E64" w14:textId="77777777" w:rsidR="007A0573" w:rsidRPr="003B5D8D" w:rsidRDefault="00892826" w:rsidP="007A0573">
      <w:pPr>
        <w:rPr>
          <w:rFonts w:eastAsia="Calibri"/>
        </w:rPr>
      </w:pPr>
      <w:r w:rsidRPr="003B5D8D">
        <w:t>1</w:t>
      </w:r>
      <w:r w:rsidR="002032B4" w:rsidRPr="003B5D8D">
        <w:t xml:space="preserve">. </w:t>
      </w:r>
      <w:r w:rsidR="007A0573" w:rsidRPr="003B5D8D">
        <w:t>Р</w:t>
      </w:r>
      <w:r w:rsidR="002E6A75" w:rsidRPr="003B5D8D">
        <w:rPr>
          <w:rFonts w:eastAsia="Calibri"/>
        </w:rPr>
        <w:t>еализация</w:t>
      </w:r>
      <w:r w:rsidR="007A0573" w:rsidRPr="003B5D8D">
        <w:rPr>
          <w:rFonts w:eastAsia="Calibri"/>
        </w:rPr>
        <w:t xml:space="preserve"> задач, обознач</w:t>
      </w:r>
      <w:r w:rsidR="00655059" w:rsidRPr="003B5D8D">
        <w:rPr>
          <w:rFonts w:eastAsia="Calibri"/>
        </w:rPr>
        <w:t>аемых</w:t>
      </w:r>
      <w:r w:rsidR="007A0573" w:rsidRPr="003B5D8D">
        <w:rPr>
          <w:rFonts w:eastAsia="Calibri"/>
        </w:rPr>
        <w:t xml:space="preserve"> Главой Кабардино-Балкарской Республики в ежегодном послании Парламенту Кабардино-Балкарской Республики.</w:t>
      </w:r>
    </w:p>
    <w:p w14:paraId="1C8B48BB" w14:textId="77777777" w:rsidR="0040590A" w:rsidRPr="003B5D8D" w:rsidRDefault="00C032E6" w:rsidP="0040590A">
      <w:pPr>
        <w:rPr>
          <w:rFonts w:eastAsia="Calibri"/>
        </w:rPr>
      </w:pPr>
      <w:r w:rsidRPr="003B5D8D">
        <w:rPr>
          <w:rFonts w:eastAsia="Calibri"/>
        </w:rPr>
        <w:t>2. Совершенствование нормативно-правового регулирования в сфере бюджетного процесса.</w:t>
      </w:r>
    </w:p>
    <w:p w14:paraId="2671DC77" w14:textId="6E76E012" w:rsidR="00B05CD0" w:rsidRPr="003B5D8D" w:rsidRDefault="0040590A" w:rsidP="00B05CD0">
      <w:pPr>
        <w:rPr>
          <w:rFonts w:eastAsia="Calibri"/>
        </w:rPr>
      </w:pPr>
      <w:r w:rsidRPr="003B5D8D">
        <w:rPr>
          <w:rFonts w:eastAsia="Calibri"/>
        </w:rPr>
        <w:t xml:space="preserve">3. </w:t>
      </w:r>
      <w:r w:rsidR="00B05CD0" w:rsidRPr="003B5D8D">
        <w:rPr>
          <w:rFonts w:eastAsia="Calibri"/>
        </w:rPr>
        <w:t>О</w:t>
      </w:r>
      <w:r w:rsidRPr="003B5D8D">
        <w:rPr>
          <w:rFonts w:eastAsiaTheme="minorHAnsi"/>
        </w:rPr>
        <w:t>рганизаци</w:t>
      </w:r>
      <w:r w:rsidR="0008218C" w:rsidRPr="003B5D8D">
        <w:rPr>
          <w:rFonts w:eastAsiaTheme="minorHAnsi"/>
        </w:rPr>
        <w:t>я</w:t>
      </w:r>
      <w:r w:rsidRPr="003B5D8D">
        <w:rPr>
          <w:rFonts w:eastAsiaTheme="minorHAnsi"/>
        </w:rPr>
        <w:t xml:space="preserve"> исполнения республиканского бюджета</w:t>
      </w:r>
      <w:r w:rsidR="002B01B7" w:rsidRPr="003B5D8D">
        <w:rPr>
          <w:rFonts w:eastAsiaTheme="minorHAnsi"/>
        </w:rPr>
        <w:t xml:space="preserve"> </w:t>
      </w:r>
      <w:r w:rsidR="00B05CD0" w:rsidRPr="003B5D8D">
        <w:rPr>
          <w:rFonts w:eastAsia="Calibri"/>
        </w:rPr>
        <w:t>Кабардино-Балкарской Республики.</w:t>
      </w:r>
    </w:p>
    <w:p w14:paraId="79239359" w14:textId="4D3F8911" w:rsidR="00B05CD0" w:rsidRPr="003B5D8D" w:rsidRDefault="00B05CD0" w:rsidP="00B05CD0">
      <w:pPr>
        <w:rPr>
          <w:rFonts w:eastAsia="Calibri"/>
        </w:rPr>
      </w:pPr>
      <w:r w:rsidRPr="003B5D8D">
        <w:rPr>
          <w:rFonts w:eastAsia="Calibri"/>
        </w:rPr>
        <w:t xml:space="preserve">4. </w:t>
      </w:r>
      <w:r w:rsidR="00E36A15" w:rsidRPr="003B5D8D">
        <w:rPr>
          <w:rFonts w:eastAsia="Calibri"/>
        </w:rPr>
        <w:t>Исполнени</w:t>
      </w:r>
      <w:r w:rsidR="00144BCF" w:rsidRPr="003B5D8D">
        <w:rPr>
          <w:rFonts w:eastAsia="Calibri"/>
        </w:rPr>
        <w:t>е</w:t>
      </w:r>
      <w:r w:rsidR="00310142" w:rsidRPr="003B5D8D">
        <w:rPr>
          <w:rFonts w:eastAsia="Calibri"/>
        </w:rPr>
        <w:t xml:space="preserve"> </w:t>
      </w:r>
      <w:r w:rsidRPr="003B5D8D">
        <w:rPr>
          <w:rFonts w:eastAsia="Calibri"/>
        </w:rPr>
        <w:t>государственной программы (комплексной программы) Кабардино-Балкарской Республики «Управление государственными финансами, государственным долгом и межбюджетными отношениями в Кабардино-Балкарской Республике»</w:t>
      </w:r>
      <w:r w:rsidR="00E36A15" w:rsidRPr="003B5D8D">
        <w:rPr>
          <w:rFonts w:eastAsia="Calibri"/>
        </w:rPr>
        <w:t>.</w:t>
      </w:r>
    </w:p>
    <w:p w14:paraId="5B0DC9D8" w14:textId="31BEF0BB" w:rsidR="00DB0B8B" w:rsidRDefault="00945144" w:rsidP="002032B4">
      <w:pPr>
        <w:rPr>
          <w:color w:val="auto"/>
        </w:rPr>
      </w:pPr>
      <w:r>
        <w:rPr>
          <w:color w:val="auto"/>
        </w:rPr>
        <w:t>5</w:t>
      </w:r>
      <w:r w:rsidR="005458CA" w:rsidRPr="00DB0B8B">
        <w:rPr>
          <w:color w:val="auto"/>
        </w:rPr>
        <w:t xml:space="preserve">. </w:t>
      </w:r>
      <w:r w:rsidR="00616B7E" w:rsidRPr="00DB0B8B">
        <w:rPr>
          <w:color w:val="auto"/>
        </w:rPr>
        <w:t>Проведение мониторинга динамики поступлений налоговых и неналоговых доходов в консолидированный бюджет КБР, на основе данных ВПД ФНС России в целях минимизации отвлечения на ЕНС налоговых доходов, а также с учетом изменений бюджетного и налогового законодательства, влияющего на параметры доходной части бюджета</w:t>
      </w:r>
      <w:r w:rsidR="00DB0B8B">
        <w:rPr>
          <w:color w:val="auto"/>
        </w:rPr>
        <w:t>, а также показателей рейтинга муниципалитетов среди субъектов Российской Федерации.</w:t>
      </w:r>
    </w:p>
    <w:p w14:paraId="3899E947" w14:textId="1CC29870" w:rsidR="005458CA" w:rsidRDefault="00945144" w:rsidP="002032B4">
      <w:pPr>
        <w:rPr>
          <w:color w:val="auto"/>
        </w:rPr>
      </w:pPr>
      <w:r>
        <w:rPr>
          <w:color w:val="auto"/>
        </w:rPr>
        <w:t>6</w:t>
      </w:r>
      <w:r w:rsidR="00200178" w:rsidRPr="00DB0B8B">
        <w:rPr>
          <w:color w:val="auto"/>
        </w:rPr>
        <w:t xml:space="preserve">. </w:t>
      </w:r>
      <w:r w:rsidR="00616B7E" w:rsidRPr="00DB0B8B">
        <w:rPr>
          <w:color w:val="auto"/>
        </w:rPr>
        <w:t>Ведение перечня главных администраторов доходов и перечня главных источников финансирования дефицита республиканского бюджета Кабардино-Балкарской Республики, с ежегодной актуализацией при формировании закона о республиканском бюджете на очередной финансовый год и плановый период в соответствии с графиком разработки прогноза социально-экономического развития Кабардино-Балкарской Республики.</w:t>
      </w:r>
    </w:p>
    <w:p w14:paraId="528C7731" w14:textId="77D1BEDD" w:rsidR="00DB0B8B" w:rsidRDefault="00945144" w:rsidP="00DB0B8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DB0B8B">
        <w:rPr>
          <w:color w:val="auto"/>
          <w:sz w:val="28"/>
          <w:szCs w:val="28"/>
        </w:rPr>
        <w:t xml:space="preserve">. </w:t>
      </w:r>
      <w:r w:rsidR="00DB0B8B" w:rsidRPr="00DB0B8B">
        <w:rPr>
          <w:color w:val="auto"/>
          <w:sz w:val="28"/>
          <w:szCs w:val="28"/>
        </w:rPr>
        <w:t xml:space="preserve">Заключение </w:t>
      </w:r>
      <w:r w:rsidR="00DB0B8B">
        <w:rPr>
          <w:color w:val="auto"/>
          <w:sz w:val="28"/>
          <w:szCs w:val="28"/>
        </w:rPr>
        <w:t xml:space="preserve">с Министерством финансов Российской Федерации </w:t>
      </w:r>
      <w:r w:rsidR="00DB0B8B" w:rsidRPr="00DB0B8B">
        <w:rPr>
          <w:color w:val="auto"/>
          <w:sz w:val="28"/>
          <w:szCs w:val="28"/>
        </w:rPr>
        <w:t>е</w:t>
      </w:r>
      <w:r w:rsidR="00DB0B8B">
        <w:rPr>
          <w:color w:val="auto"/>
          <w:sz w:val="28"/>
          <w:szCs w:val="28"/>
        </w:rPr>
        <w:t xml:space="preserve">диного дополнительного соглашения к действующим соглашениям о предоставлении бюджету Кабардино-Балкарской Республики из федерального бюджета бюджетных кредитов, </w:t>
      </w:r>
      <w:r w:rsidR="00656872">
        <w:rPr>
          <w:sz w:val="28"/>
          <w:szCs w:val="28"/>
        </w:rPr>
        <w:t xml:space="preserve">в соответствии с Правилами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кредитам, утвержденными постановлением Правительства Российской Федерации от </w:t>
      </w:r>
      <w:r w:rsidR="00656872" w:rsidRPr="001F14BB">
        <w:rPr>
          <w:rFonts w:eastAsia="Times New Roman"/>
          <w:sz w:val="28"/>
          <w:szCs w:val="28"/>
        </w:rPr>
        <w:t xml:space="preserve">1 февраля 2025 </w:t>
      </w:r>
      <w:r w:rsidR="0051479F">
        <w:rPr>
          <w:rFonts w:eastAsia="Times New Roman"/>
          <w:sz w:val="28"/>
          <w:szCs w:val="28"/>
        </w:rPr>
        <w:t>года</w:t>
      </w:r>
      <w:r w:rsidR="00656872" w:rsidRPr="001F14BB">
        <w:rPr>
          <w:rFonts w:eastAsia="Times New Roman"/>
          <w:sz w:val="28"/>
          <w:szCs w:val="28"/>
        </w:rPr>
        <w:t xml:space="preserve"> № 79</w:t>
      </w:r>
      <w:r w:rsidR="00656872">
        <w:rPr>
          <w:rFonts w:eastAsia="Times New Roman"/>
          <w:sz w:val="28"/>
          <w:szCs w:val="28"/>
        </w:rPr>
        <w:t>.</w:t>
      </w:r>
    </w:p>
    <w:p w14:paraId="03972183" w14:textId="7E4522E0" w:rsidR="00B76F2F" w:rsidRPr="00DB0B8B" w:rsidRDefault="00945144" w:rsidP="00B76F2F">
      <w:pPr>
        <w:widowControl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8</w:t>
      </w:r>
      <w:r w:rsidR="00DB0B8B" w:rsidRPr="00DB0B8B">
        <w:rPr>
          <w:color w:val="auto"/>
        </w:rPr>
        <w:t>.</w:t>
      </w:r>
      <w:r w:rsidR="009B1A69" w:rsidRPr="00DB0B8B">
        <w:rPr>
          <w:color w:val="auto"/>
        </w:rPr>
        <w:t xml:space="preserve"> </w:t>
      </w:r>
      <w:r w:rsidR="00616B7E" w:rsidRPr="00DB0B8B">
        <w:rPr>
          <w:color w:val="auto"/>
        </w:rPr>
        <w:t xml:space="preserve">Мониторинг исполнения и предоставление в Министерство финансов РФ отчетов об исполнении обязательств, предусмотренных: </w:t>
      </w:r>
      <w:bookmarkStart w:id="138" w:name="_Hlk129357096"/>
    </w:p>
    <w:p w14:paraId="57ED5476" w14:textId="7FEFDC42" w:rsidR="00B76F2F" w:rsidRPr="00DB0B8B" w:rsidRDefault="00B76F2F" w:rsidP="00B76F2F">
      <w:pPr>
        <w:widowControl/>
        <w:autoSpaceDE w:val="0"/>
        <w:autoSpaceDN w:val="0"/>
        <w:adjustRightInd w:val="0"/>
        <w:rPr>
          <w:color w:val="auto"/>
        </w:rPr>
      </w:pPr>
      <w:r w:rsidRPr="00DB0B8B">
        <w:rPr>
          <w:color w:val="auto"/>
        </w:rPr>
        <w:t xml:space="preserve">- </w:t>
      </w:r>
      <w:bookmarkStart w:id="139" w:name="_Hlk192669365"/>
      <w:r w:rsidRPr="00DB0B8B">
        <w:rPr>
          <w:color w:val="auto"/>
        </w:rPr>
        <w:t>Соглашением от 2</w:t>
      </w:r>
      <w:r w:rsidR="00D20468">
        <w:rPr>
          <w:color w:val="auto"/>
        </w:rPr>
        <w:t>3</w:t>
      </w:r>
      <w:r w:rsidRPr="00DB0B8B">
        <w:rPr>
          <w:color w:val="auto"/>
        </w:rPr>
        <w:t>.12.202</w:t>
      </w:r>
      <w:r w:rsidR="00D20468">
        <w:rPr>
          <w:color w:val="auto"/>
        </w:rPr>
        <w:t>4</w:t>
      </w:r>
      <w:r w:rsidRPr="00DB0B8B">
        <w:rPr>
          <w:color w:val="auto"/>
        </w:rPr>
        <w:t xml:space="preserve"> </w:t>
      </w:r>
      <w:r w:rsidR="0051479F">
        <w:rPr>
          <w:color w:val="auto"/>
        </w:rPr>
        <w:t>года</w:t>
      </w:r>
      <w:r w:rsidRPr="00DB0B8B">
        <w:rPr>
          <w:color w:val="auto"/>
        </w:rPr>
        <w:t xml:space="preserve"> № </w:t>
      </w:r>
      <w:r w:rsidR="00D20468">
        <w:rPr>
          <w:rFonts w:eastAsiaTheme="minorHAnsi"/>
          <w:color w:val="auto"/>
          <w:sz w:val="27"/>
          <w:szCs w:val="27"/>
        </w:rPr>
        <w:t>2024-00281</w:t>
      </w:r>
      <w:r w:rsidR="00F50920">
        <w:rPr>
          <w:rFonts w:eastAsiaTheme="minorHAnsi"/>
          <w:color w:val="auto"/>
          <w:sz w:val="27"/>
          <w:szCs w:val="27"/>
        </w:rPr>
        <w:t xml:space="preserve"> «О</w:t>
      </w:r>
      <w:r w:rsidRPr="00DB0B8B">
        <w:rPr>
          <w:color w:val="auto"/>
        </w:rPr>
        <w:t xml:space="preserve"> мерах по социально-экономическому развитию и оздоровлению государственных финансов Кабардино-Балкарской Республики</w:t>
      </w:r>
      <w:r w:rsidR="00F50920">
        <w:rPr>
          <w:color w:val="auto"/>
        </w:rPr>
        <w:t>»</w:t>
      </w:r>
      <w:r w:rsidRPr="00DB0B8B">
        <w:rPr>
          <w:color w:val="auto"/>
        </w:rPr>
        <w:t>;</w:t>
      </w:r>
      <w:bookmarkEnd w:id="139"/>
    </w:p>
    <w:p w14:paraId="46CE23B6" w14:textId="03D9F399" w:rsidR="00616B7E" w:rsidRPr="00DB0B8B" w:rsidRDefault="00616B7E" w:rsidP="00616B7E">
      <w:pPr>
        <w:widowControl/>
        <w:autoSpaceDE w:val="0"/>
        <w:autoSpaceDN w:val="0"/>
        <w:adjustRightInd w:val="0"/>
        <w:rPr>
          <w:color w:val="auto"/>
        </w:rPr>
      </w:pPr>
      <w:r w:rsidRPr="00DB0B8B">
        <w:rPr>
          <w:color w:val="auto"/>
        </w:rPr>
        <w:t xml:space="preserve">- Соглашением от 06.12.2017 </w:t>
      </w:r>
      <w:r w:rsidR="0051479F">
        <w:rPr>
          <w:color w:val="auto"/>
        </w:rPr>
        <w:t>года</w:t>
      </w:r>
      <w:r w:rsidRPr="00DB0B8B">
        <w:rPr>
          <w:color w:val="auto"/>
        </w:rPr>
        <w:t xml:space="preserve"> № 01-01-06/06-304 о предоставлении бюджету Кабардино-Балкарской Республики из федерального бюджета бюджетного кредита для частичного покрытия дефицита бюджета Кабардино-Балкарской Республики (с учетом </w:t>
      </w:r>
      <w:bookmarkEnd w:id="138"/>
      <w:r w:rsidRPr="00DB0B8B">
        <w:rPr>
          <w:color w:val="auto"/>
        </w:rPr>
        <w:t>дополнительных соглашений);</w:t>
      </w:r>
    </w:p>
    <w:p w14:paraId="6D3CC5B8" w14:textId="77777777" w:rsidR="00616B7E" w:rsidRPr="00DB0B8B" w:rsidRDefault="00616B7E" w:rsidP="00616B7E">
      <w:pPr>
        <w:widowControl/>
        <w:autoSpaceDE w:val="0"/>
        <w:autoSpaceDN w:val="0"/>
        <w:adjustRightInd w:val="0"/>
        <w:rPr>
          <w:color w:val="auto"/>
          <w:lang w:eastAsia="ru-RU"/>
        </w:rPr>
      </w:pPr>
      <w:r w:rsidRPr="00DB0B8B">
        <w:rPr>
          <w:color w:val="auto"/>
          <w:lang w:eastAsia="ru-RU"/>
        </w:rPr>
        <w:t xml:space="preserve">- Соглашением от 14 декабря 2020 года </w:t>
      </w:r>
      <w:bookmarkStart w:id="140" w:name="_Hlk129356400"/>
      <w:r w:rsidRPr="00DB0B8B">
        <w:rPr>
          <w:color w:val="auto"/>
          <w:lang w:eastAsia="ru-RU"/>
        </w:rPr>
        <w:t xml:space="preserve">№ 01-01-06/06-1018 о предоставлении бюджету Кабардино-Балкарской Республики из федерального бюджета бюджетного кредита для погашения бюджетных кредитов на пополнение остатков средств на счетах бюджета Кабардино-Балкарской Республики (с учетом дополнительных соглашений);  </w:t>
      </w:r>
    </w:p>
    <w:bookmarkEnd w:id="140"/>
    <w:p w14:paraId="4F7A246C" w14:textId="7E2C319E" w:rsidR="00616B7E" w:rsidRPr="00DB0B8B" w:rsidRDefault="00616B7E" w:rsidP="00616B7E">
      <w:pPr>
        <w:widowControl/>
        <w:autoSpaceDE w:val="0"/>
        <w:autoSpaceDN w:val="0"/>
        <w:adjustRightInd w:val="0"/>
        <w:rPr>
          <w:color w:val="auto"/>
        </w:rPr>
      </w:pPr>
      <w:r w:rsidRPr="00DB0B8B">
        <w:rPr>
          <w:color w:val="auto"/>
        </w:rPr>
        <w:t xml:space="preserve">- Соглашением от 26 января 2022 </w:t>
      </w:r>
      <w:r w:rsidR="0051479F">
        <w:rPr>
          <w:color w:val="auto"/>
        </w:rPr>
        <w:t>года</w:t>
      </w:r>
      <w:r w:rsidRPr="00DB0B8B">
        <w:rPr>
          <w:color w:val="auto"/>
        </w:rPr>
        <w:t xml:space="preserve"> № 01-01-06/06-60 о предоставлении бюджету Кабардино-Балкарской Республики из федерального бюджета бюджетного кредита на финансовое обеспечение реализации инфраструктурных проектов (по реализации инфраструктурного проекта «Строительство Баксанского группового водопровода») с учетом принимаемых дополнительных соглашений;</w:t>
      </w:r>
    </w:p>
    <w:p w14:paraId="1BD41163" w14:textId="26A2D31C" w:rsidR="00616B7E" w:rsidRPr="00DB0B8B" w:rsidRDefault="00616B7E" w:rsidP="00616B7E">
      <w:pPr>
        <w:widowControl/>
        <w:autoSpaceDE w:val="0"/>
        <w:autoSpaceDN w:val="0"/>
        <w:adjustRightInd w:val="0"/>
        <w:rPr>
          <w:color w:val="auto"/>
        </w:rPr>
      </w:pPr>
      <w:r w:rsidRPr="00DB0B8B">
        <w:rPr>
          <w:color w:val="auto"/>
        </w:rPr>
        <w:t xml:space="preserve">- Соглашением от 26 апреля 2023 </w:t>
      </w:r>
      <w:r w:rsidR="0051479F">
        <w:rPr>
          <w:color w:val="auto"/>
        </w:rPr>
        <w:t>года</w:t>
      </w:r>
      <w:r w:rsidRPr="00DB0B8B">
        <w:rPr>
          <w:color w:val="auto"/>
        </w:rPr>
        <w:t xml:space="preserve"> № 2023-00100 о предоставлении бюджету Кабардино-Балкарской Республики из федерального бюджета бюджетного кредита на финансовое обеспечение реализации инфраструктурных проектов с учетом принимаемых дополнительных соглашений;</w:t>
      </w:r>
    </w:p>
    <w:p w14:paraId="31ABC7C0" w14:textId="7051FB03" w:rsidR="00616B7E" w:rsidRDefault="00616B7E" w:rsidP="00616B7E">
      <w:pPr>
        <w:widowControl/>
        <w:autoSpaceDE w:val="0"/>
        <w:autoSpaceDN w:val="0"/>
        <w:adjustRightInd w:val="0"/>
        <w:rPr>
          <w:color w:val="auto"/>
        </w:rPr>
      </w:pPr>
      <w:r w:rsidRPr="00DB0B8B">
        <w:rPr>
          <w:color w:val="auto"/>
        </w:rPr>
        <w:t xml:space="preserve">- Соглашением от 21 сентября 2023 </w:t>
      </w:r>
      <w:r w:rsidR="0051479F">
        <w:rPr>
          <w:color w:val="auto"/>
        </w:rPr>
        <w:t>года</w:t>
      </w:r>
      <w:r w:rsidRPr="00DB0B8B">
        <w:rPr>
          <w:color w:val="auto"/>
        </w:rPr>
        <w:t xml:space="preserve"> № 2023-00198 о предоставлении бюджету Кабардино-Балкарской Республики бюджетного кредита за счет временно свободных средств единого счета федерального бюджета (специальный казначейский кредит);</w:t>
      </w:r>
    </w:p>
    <w:p w14:paraId="6E476F87" w14:textId="21D220F4" w:rsidR="00286BD6" w:rsidRDefault="00945144" w:rsidP="00616B7E">
      <w:pPr>
        <w:widowControl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9</w:t>
      </w:r>
      <w:r w:rsidR="00286BD6">
        <w:rPr>
          <w:color w:val="auto"/>
        </w:rPr>
        <w:t xml:space="preserve">. </w:t>
      </w:r>
      <w:r w:rsidR="00286BD6" w:rsidRPr="00DB0B8B">
        <w:rPr>
          <w:color w:val="auto"/>
        </w:rPr>
        <w:t xml:space="preserve">Заключение </w:t>
      </w:r>
      <w:r w:rsidR="00286BD6">
        <w:rPr>
          <w:color w:val="auto"/>
        </w:rPr>
        <w:t>с Министерством финансов Российской Федерации</w:t>
      </w:r>
      <w:r w:rsidR="00286BD6" w:rsidRPr="00286BD6">
        <w:rPr>
          <w:color w:val="auto"/>
        </w:rPr>
        <w:t xml:space="preserve"> </w:t>
      </w:r>
      <w:r w:rsidR="00286BD6" w:rsidRPr="00DB0B8B">
        <w:rPr>
          <w:color w:val="auto"/>
        </w:rPr>
        <w:t>Соглашени</w:t>
      </w:r>
      <w:r w:rsidR="00286BD6">
        <w:rPr>
          <w:color w:val="auto"/>
        </w:rPr>
        <w:t>я</w:t>
      </w:r>
      <w:r w:rsidR="00286BD6">
        <w:rPr>
          <w:rFonts w:eastAsiaTheme="minorHAnsi"/>
          <w:color w:val="auto"/>
          <w:sz w:val="27"/>
          <w:szCs w:val="27"/>
        </w:rPr>
        <w:t xml:space="preserve"> «О</w:t>
      </w:r>
      <w:r w:rsidR="00286BD6" w:rsidRPr="00DB0B8B">
        <w:rPr>
          <w:color w:val="auto"/>
        </w:rPr>
        <w:t xml:space="preserve"> мерах по социально-экономическому развитию и оздоровлению государственных финансов Кабардино-Балкарской Республики</w:t>
      </w:r>
      <w:r w:rsidR="00286BD6">
        <w:rPr>
          <w:color w:val="auto"/>
        </w:rPr>
        <w:t>»</w:t>
      </w:r>
      <w:r w:rsidR="00C51E4B">
        <w:rPr>
          <w:color w:val="auto"/>
        </w:rPr>
        <w:t xml:space="preserve"> на 2026 год</w:t>
      </w:r>
      <w:r w:rsidR="00286BD6" w:rsidRPr="00DB0B8B">
        <w:rPr>
          <w:color w:val="auto"/>
        </w:rPr>
        <w:t>;</w:t>
      </w:r>
    </w:p>
    <w:p w14:paraId="7030C556" w14:textId="00E436E6" w:rsidR="00655059" w:rsidRDefault="00E36A15" w:rsidP="00616B7E">
      <w:pPr>
        <w:widowControl/>
        <w:autoSpaceDE w:val="0"/>
        <w:autoSpaceDN w:val="0"/>
        <w:adjustRightInd w:val="0"/>
        <w:rPr>
          <w:rFonts w:eastAsia="Calibri"/>
          <w:color w:val="auto"/>
        </w:rPr>
      </w:pPr>
      <w:r w:rsidRPr="001F14BB">
        <w:rPr>
          <w:rFonts w:eastAsia="Calibri"/>
          <w:color w:val="auto"/>
        </w:rPr>
        <w:t>1</w:t>
      </w:r>
      <w:r w:rsidR="00945144">
        <w:rPr>
          <w:rFonts w:eastAsia="Calibri"/>
          <w:color w:val="auto"/>
        </w:rPr>
        <w:t>0</w:t>
      </w:r>
      <w:r w:rsidR="008A685E" w:rsidRPr="001F14BB">
        <w:rPr>
          <w:rFonts w:eastAsia="Calibri"/>
          <w:color w:val="auto"/>
        </w:rPr>
        <w:t xml:space="preserve">. </w:t>
      </w:r>
      <w:r w:rsidR="00655059" w:rsidRPr="001F14BB">
        <w:rPr>
          <w:rFonts w:eastAsia="Calibri"/>
          <w:color w:val="auto"/>
        </w:rPr>
        <w:t>Представление ежемесячной информации в рамках мониторинга Министерства финансов Российской Федерации по формированию и исполнению бюджетов субъектов Российской Федерации.</w:t>
      </w:r>
    </w:p>
    <w:p w14:paraId="1A0F72A6" w14:textId="73E67C43" w:rsidR="008A685E" w:rsidRPr="003B5D8D" w:rsidRDefault="00655059" w:rsidP="00616B7E">
      <w:pPr>
        <w:widowControl/>
        <w:autoSpaceDE w:val="0"/>
        <w:autoSpaceDN w:val="0"/>
        <w:adjustRightInd w:val="0"/>
        <w:rPr>
          <w:rFonts w:eastAsia="Calibri"/>
        </w:rPr>
      </w:pPr>
      <w:r w:rsidRPr="003B5D8D">
        <w:rPr>
          <w:rFonts w:eastAsia="Calibri"/>
        </w:rPr>
        <w:t xml:space="preserve">11. </w:t>
      </w:r>
      <w:r w:rsidR="008A685E" w:rsidRPr="003B5D8D">
        <w:rPr>
          <w:rFonts w:eastAsia="Calibri"/>
        </w:rPr>
        <w:t>Формирование и внесение на рассмотрение Правительства Кабардино-Балкарской Республики проекта закона КБР о республиканском бюджете КБР на 202</w:t>
      </w:r>
      <w:r w:rsidR="003B5D8D" w:rsidRPr="003B5D8D">
        <w:rPr>
          <w:rFonts w:eastAsia="Calibri"/>
        </w:rPr>
        <w:t>6</w:t>
      </w:r>
      <w:r w:rsidR="008A685E" w:rsidRPr="003B5D8D">
        <w:rPr>
          <w:rFonts w:eastAsia="Calibri"/>
        </w:rPr>
        <w:t xml:space="preserve"> год и на плановый период 202</w:t>
      </w:r>
      <w:r w:rsidR="003B5D8D" w:rsidRPr="003B5D8D">
        <w:rPr>
          <w:rFonts w:eastAsia="Calibri"/>
        </w:rPr>
        <w:t>7</w:t>
      </w:r>
      <w:r w:rsidR="008A685E" w:rsidRPr="003B5D8D">
        <w:rPr>
          <w:rFonts w:eastAsia="Calibri"/>
        </w:rPr>
        <w:t xml:space="preserve"> и 202</w:t>
      </w:r>
      <w:r w:rsidR="003B5D8D" w:rsidRPr="003B5D8D">
        <w:rPr>
          <w:rFonts w:eastAsia="Calibri"/>
        </w:rPr>
        <w:t>8</w:t>
      </w:r>
      <w:r w:rsidR="008A685E" w:rsidRPr="003B5D8D">
        <w:rPr>
          <w:rFonts w:eastAsia="Calibri"/>
        </w:rPr>
        <w:t xml:space="preserve"> годов.</w:t>
      </w:r>
    </w:p>
    <w:p w14:paraId="5DAE0E43" w14:textId="77777777" w:rsidR="001D7C0B" w:rsidRPr="003B5D8D" w:rsidRDefault="00E36A15" w:rsidP="001D7C0B">
      <w:pPr>
        <w:autoSpaceDE w:val="0"/>
        <w:autoSpaceDN w:val="0"/>
        <w:adjustRightInd w:val="0"/>
        <w:rPr>
          <w:rFonts w:eastAsia="Calibri"/>
        </w:rPr>
      </w:pPr>
      <w:r w:rsidRPr="003B5D8D">
        <w:rPr>
          <w:rFonts w:eastAsia="Calibri"/>
        </w:rPr>
        <w:t>1</w:t>
      </w:r>
      <w:r w:rsidR="0054583A" w:rsidRPr="003B5D8D">
        <w:rPr>
          <w:rFonts w:eastAsia="Calibri"/>
        </w:rPr>
        <w:t>2</w:t>
      </w:r>
      <w:r w:rsidR="001D5813" w:rsidRPr="003B5D8D">
        <w:rPr>
          <w:rFonts w:eastAsia="Calibri"/>
        </w:rPr>
        <w:t xml:space="preserve">. </w:t>
      </w:r>
      <w:r w:rsidR="0040590A" w:rsidRPr="003B5D8D">
        <w:rPr>
          <w:rFonts w:eastAsia="Calibri"/>
        </w:rPr>
        <w:t xml:space="preserve">Формирование и внесение на рассмотрение Правительства Кабардино-Балкарской Республики проекта закона КБР </w:t>
      </w:r>
      <w:r w:rsidR="001D5813" w:rsidRPr="003B5D8D">
        <w:rPr>
          <w:rFonts w:eastAsia="Calibri"/>
        </w:rPr>
        <w:t>об исполнении республиканского бюджета Кабардино-Балкарской Республики.</w:t>
      </w:r>
    </w:p>
    <w:p w14:paraId="796616E0" w14:textId="77777777" w:rsidR="008A685E" w:rsidRPr="007B4A23" w:rsidRDefault="00E36A15" w:rsidP="001D7C0B">
      <w:pPr>
        <w:autoSpaceDE w:val="0"/>
        <w:autoSpaceDN w:val="0"/>
        <w:adjustRightInd w:val="0"/>
        <w:rPr>
          <w:rFonts w:eastAsia="Calibri"/>
        </w:rPr>
      </w:pPr>
      <w:r w:rsidRPr="007B4A23">
        <w:rPr>
          <w:rFonts w:eastAsia="Calibri"/>
        </w:rPr>
        <w:t>1</w:t>
      </w:r>
      <w:r w:rsidR="0054583A" w:rsidRPr="007B4A23">
        <w:rPr>
          <w:rFonts w:eastAsia="Calibri"/>
        </w:rPr>
        <w:t>3</w:t>
      </w:r>
      <w:r w:rsidR="008A685E" w:rsidRPr="007B4A23">
        <w:rPr>
          <w:rFonts w:eastAsia="Calibri"/>
        </w:rPr>
        <w:t xml:space="preserve">. </w:t>
      </w:r>
      <w:r w:rsidR="00627FC7" w:rsidRPr="007B4A23">
        <w:rPr>
          <w:rFonts w:eastAsia="Calibri"/>
        </w:rPr>
        <w:t>Своевременное формирование и представление бюджетной отчетности в Федеральное казначейство с использованием функционального блока «Свод отчетов» подсистемы «Учет и отчетность».</w:t>
      </w:r>
    </w:p>
    <w:p w14:paraId="5C8876D9" w14:textId="77777777" w:rsidR="008A685E" w:rsidRPr="00383A9E" w:rsidRDefault="00C032E6" w:rsidP="008A685E">
      <w:pPr>
        <w:rPr>
          <w:rFonts w:eastAsia="Calibri"/>
        </w:rPr>
      </w:pPr>
      <w:r w:rsidRPr="00383A9E">
        <w:rPr>
          <w:rFonts w:eastAsia="Calibri"/>
        </w:rPr>
        <w:t>1</w:t>
      </w:r>
      <w:r w:rsidR="0054583A" w:rsidRPr="00383A9E">
        <w:rPr>
          <w:rFonts w:eastAsia="Calibri"/>
        </w:rPr>
        <w:t>4</w:t>
      </w:r>
      <w:r w:rsidR="008A685E" w:rsidRPr="00383A9E">
        <w:rPr>
          <w:rFonts w:eastAsia="Calibri"/>
        </w:rPr>
        <w:t>. Формирование и представление реестра расходных обязательств Кабардино-Балкарской Республики</w:t>
      </w:r>
      <w:r w:rsidR="00ED0862" w:rsidRPr="00383A9E">
        <w:rPr>
          <w:rFonts w:eastAsia="Calibri"/>
        </w:rPr>
        <w:t>, свода реестров расходных обязательств муниципальных образований и справочной таблицы по финансированию полномочий субъектов Российской Федерации и муниципальных образований</w:t>
      </w:r>
      <w:r w:rsidR="008A685E" w:rsidRPr="00383A9E">
        <w:rPr>
          <w:rFonts w:eastAsia="Calibri"/>
        </w:rPr>
        <w:t xml:space="preserve"> в Министерство финансов Российской Федерации.</w:t>
      </w:r>
    </w:p>
    <w:p w14:paraId="7A445D30" w14:textId="77777777" w:rsidR="008A685E" w:rsidRPr="00383A9E" w:rsidRDefault="008A685E" w:rsidP="008A685E">
      <w:pPr>
        <w:rPr>
          <w:rFonts w:eastAsia="Calibri"/>
        </w:rPr>
      </w:pPr>
      <w:r w:rsidRPr="00383A9E">
        <w:rPr>
          <w:rFonts w:eastAsia="Calibri"/>
        </w:rPr>
        <w:t>1</w:t>
      </w:r>
      <w:r w:rsidR="0054583A" w:rsidRPr="00383A9E">
        <w:rPr>
          <w:rFonts w:eastAsia="Calibri"/>
        </w:rPr>
        <w:t>5</w:t>
      </w:r>
      <w:r w:rsidRPr="00383A9E">
        <w:rPr>
          <w:rFonts w:eastAsia="Calibri"/>
        </w:rPr>
        <w:t xml:space="preserve">. </w:t>
      </w:r>
      <w:r w:rsidR="00611D59" w:rsidRPr="00383A9E">
        <w:rPr>
          <w:rFonts w:eastAsia="Calibri"/>
        </w:rPr>
        <w:t xml:space="preserve">Проведение </w:t>
      </w:r>
      <w:r w:rsidRPr="00383A9E">
        <w:rPr>
          <w:rFonts w:eastAsia="Calibri"/>
        </w:rPr>
        <w:t>мониторинга качества финансового менеджмента главных распорядителей средств бюджета Кабардино-Балкарской Республики.</w:t>
      </w:r>
    </w:p>
    <w:p w14:paraId="76B7F149" w14:textId="430F5178" w:rsidR="00945144" w:rsidRPr="00383A9E" w:rsidRDefault="008A685E" w:rsidP="00945144">
      <w:pPr>
        <w:rPr>
          <w:rFonts w:eastAsia="Calibri"/>
        </w:rPr>
      </w:pPr>
      <w:r w:rsidRPr="00383A9E">
        <w:rPr>
          <w:rFonts w:eastAsia="Calibri"/>
        </w:rPr>
        <w:t>1</w:t>
      </w:r>
      <w:r w:rsidR="0054583A" w:rsidRPr="00383A9E">
        <w:rPr>
          <w:rFonts w:eastAsia="Calibri"/>
        </w:rPr>
        <w:t>6</w:t>
      </w:r>
      <w:r w:rsidRPr="00383A9E">
        <w:rPr>
          <w:rFonts w:eastAsia="Calibri"/>
        </w:rPr>
        <w:t>.</w:t>
      </w:r>
      <w:r w:rsidR="002F0CD8" w:rsidRPr="00383A9E">
        <w:rPr>
          <w:rFonts w:eastAsia="Calibri"/>
        </w:rPr>
        <w:t xml:space="preserve">Обеспечение открытости и прозрачности управления общественными финансами в соответствии с </w:t>
      </w:r>
      <w:r w:rsidR="00C52300" w:rsidRPr="00383A9E">
        <w:rPr>
          <w:rFonts w:eastAsia="Calibri"/>
        </w:rPr>
        <w:t>методикой составления рейтинга субъектов Российской Федерации по уровню открытости бюджетных данных</w:t>
      </w:r>
      <w:r w:rsidR="009C3FC8" w:rsidRPr="00383A9E">
        <w:rPr>
          <w:rFonts w:eastAsia="Calibri"/>
        </w:rPr>
        <w:t>.</w:t>
      </w:r>
    </w:p>
    <w:p w14:paraId="7964B8FC" w14:textId="77777777" w:rsidR="00E26504" w:rsidRPr="00E26504" w:rsidRDefault="00945144" w:rsidP="00E26504">
      <w:r w:rsidRPr="00E26504">
        <w:t>1</w:t>
      </w:r>
      <w:r w:rsidR="00344769" w:rsidRPr="00E26504">
        <w:t>7</w:t>
      </w:r>
      <w:r w:rsidRPr="00E26504">
        <w:t xml:space="preserve">. </w:t>
      </w:r>
      <w:r w:rsidR="00E26504" w:rsidRPr="00E26504">
        <w:t xml:space="preserve">Совместно с министерствами поэтапная доработка отраслевых систем оплаты труда (ОСОТ) в целях увеличения базовой части заработной платы и включением в ОСОТ отдельного приложения по порядку формирования фонда оплаты труда. </w:t>
      </w:r>
    </w:p>
    <w:p w14:paraId="7C6134E3" w14:textId="5B738A83" w:rsidR="00945144" w:rsidRPr="00CA553A" w:rsidRDefault="00344769" w:rsidP="00945144">
      <w:pPr>
        <w:rPr>
          <w:color w:val="auto"/>
        </w:rPr>
      </w:pPr>
      <w:r>
        <w:rPr>
          <w:color w:val="auto"/>
        </w:rPr>
        <w:t>1</w:t>
      </w:r>
      <w:r w:rsidR="00E26504">
        <w:rPr>
          <w:color w:val="auto"/>
        </w:rPr>
        <w:t>8</w:t>
      </w:r>
      <w:r w:rsidR="00945144" w:rsidRPr="00CA553A">
        <w:rPr>
          <w:color w:val="auto"/>
        </w:rPr>
        <w:t xml:space="preserve">. Обеспечение обязательств, установленных в соглашениях между Минфином КБР и муниципальными районами и городскими округами, между  муниципальными районами и городскими и сельскими поселениями в соответствии с пунктом 8 статьи 137 и пунктом 8 статьи 138 Бюджетного кодекса Российской Федерации, частью 7 статьи 10 и пунктом 5 части 2 статьи 14-3 Закона Кабардино-Балкарской Республики от 7 февраля 2011 </w:t>
      </w:r>
      <w:r w:rsidR="0051479F">
        <w:rPr>
          <w:color w:val="auto"/>
        </w:rPr>
        <w:t>года</w:t>
      </w:r>
      <w:r w:rsidR="00945144" w:rsidRPr="00CA553A">
        <w:rPr>
          <w:color w:val="auto"/>
        </w:rPr>
        <w:t xml:space="preserve"> № 11-РЗ «О бюджетном устройстве и бюджетном процессе в Кабардино-Балкарской Республике», предусматривающих меры по социально-экономическому развитию и оздоровлению муниципальных финансов.</w:t>
      </w:r>
    </w:p>
    <w:p w14:paraId="3DB534F3" w14:textId="59FFEB73" w:rsidR="00945144" w:rsidRPr="00CA553A" w:rsidRDefault="00E26504" w:rsidP="00945144">
      <w:pPr>
        <w:rPr>
          <w:rFonts w:eastAsia="Calibri"/>
          <w:color w:val="auto"/>
        </w:rPr>
      </w:pPr>
      <w:r>
        <w:rPr>
          <w:color w:val="auto"/>
          <w:lang w:eastAsia="ru-RU"/>
        </w:rPr>
        <w:t>19</w:t>
      </w:r>
      <w:r w:rsidR="00945144" w:rsidRPr="00CA553A">
        <w:rPr>
          <w:color w:val="auto"/>
          <w:lang w:eastAsia="ru-RU"/>
        </w:rPr>
        <w:t xml:space="preserve">. </w:t>
      </w:r>
      <w:r w:rsidR="00945144" w:rsidRPr="00CA553A">
        <w:rPr>
          <w:rFonts w:eastAsia="Calibri"/>
          <w:color w:val="auto"/>
        </w:rPr>
        <w:t>Утверждение перечней муниципальных образований КБР в соответствии с положениями пункта 5 статьи 136 Бюджетного кодекса РФ.</w:t>
      </w:r>
    </w:p>
    <w:p w14:paraId="1E20E35E" w14:textId="1BB132B8" w:rsidR="00945144" w:rsidRPr="001F14BB" w:rsidRDefault="00945144" w:rsidP="00945144">
      <w:pPr>
        <w:autoSpaceDE w:val="0"/>
        <w:autoSpaceDN w:val="0"/>
        <w:adjustRightInd w:val="0"/>
        <w:rPr>
          <w:rFonts w:ascii="Times New Roman CYR" w:hAnsi="Times New Roman CYR" w:cs="Times New Roman CYR"/>
          <w:color w:val="auto"/>
        </w:rPr>
      </w:pPr>
      <w:r w:rsidRPr="001F14BB">
        <w:rPr>
          <w:color w:val="auto"/>
        </w:rPr>
        <w:t>2</w:t>
      </w:r>
      <w:r w:rsidR="00E26504">
        <w:rPr>
          <w:color w:val="auto"/>
        </w:rPr>
        <w:t>0</w:t>
      </w:r>
      <w:r w:rsidRPr="001F14BB">
        <w:rPr>
          <w:color w:val="auto"/>
        </w:rPr>
        <w:t>. Реализация механизма привлечения средств на единый счет бюджета путем оперативного управления остатками на счетах финансового органа.</w:t>
      </w:r>
    </w:p>
    <w:p w14:paraId="2235DBF0" w14:textId="20F1BC03" w:rsidR="00945144" w:rsidRDefault="00945144" w:rsidP="00945144">
      <w:pPr>
        <w:rPr>
          <w:color w:val="auto"/>
        </w:rPr>
      </w:pPr>
      <w:r>
        <w:rPr>
          <w:color w:val="auto"/>
        </w:rPr>
        <w:t>2</w:t>
      </w:r>
      <w:r w:rsidR="00E26504">
        <w:rPr>
          <w:color w:val="auto"/>
        </w:rPr>
        <w:t>1</w:t>
      </w:r>
      <w:r w:rsidRPr="00DB0B8B">
        <w:rPr>
          <w:color w:val="auto"/>
        </w:rPr>
        <w:t>. Организация работы Комиссии Правительства Кабардино-Балкарской Республики по обеспечению мобилизации доходов в бюджетную систему, контролю за соблюдением финансовой, бюджетной и налоговой дисциплины в соответствии с утвержденным планом.</w:t>
      </w:r>
    </w:p>
    <w:p w14:paraId="49E6B078" w14:textId="486C48E2" w:rsidR="000603C4" w:rsidRDefault="00945144" w:rsidP="00945144">
      <w:pPr>
        <w:rPr>
          <w:color w:val="auto"/>
        </w:rPr>
      </w:pPr>
      <w:r>
        <w:rPr>
          <w:color w:val="auto"/>
        </w:rPr>
        <w:t>2</w:t>
      </w:r>
      <w:r w:rsidR="00E26504">
        <w:rPr>
          <w:color w:val="auto"/>
        </w:rPr>
        <w:t>2</w:t>
      </w:r>
      <w:r w:rsidR="000603C4" w:rsidRPr="001F14BB">
        <w:rPr>
          <w:color w:val="auto"/>
        </w:rPr>
        <w:t>. Анализ действующей Программы оздоровления государственных финансов (оптимизации расходов) КБР на 2018 - 2026 годы, утвержденной распоряжением Правительства КБР от 28.09.2018</w:t>
      </w:r>
      <w:r w:rsidR="00D10704">
        <w:rPr>
          <w:color w:val="auto"/>
        </w:rPr>
        <w:t xml:space="preserve"> </w:t>
      </w:r>
      <w:r w:rsidR="00C314E4">
        <w:rPr>
          <w:color w:val="auto"/>
        </w:rPr>
        <w:t>года</w:t>
      </w:r>
      <w:r w:rsidR="000603C4" w:rsidRPr="001F14BB">
        <w:rPr>
          <w:color w:val="auto"/>
        </w:rPr>
        <w:t xml:space="preserve"> № 573-рп, внесение в нее изменений с учетом региональных практик. Мониторинг исполнения Программы оздоровления государственных финансов (оптимизации расходов) КБР на </w:t>
      </w:r>
      <w:r w:rsidR="000603C4" w:rsidRPr="001F14BB">
        <w:rPr>
          <w:color w:val="auto"/>
        </w:rPr>
        <w:br/>
        <w:t>2018 - 2026 годы.</w:t>
      </w:r>
    </w:p>
    <w:p w14:paraId="46A5E2F3" w14:textId="592DD809" w:rsidR="00945144" w:rsidRPr="00AE2D72" w:rsidRDefault="00945144" w:rsidP="00945144">
      <w:pPr>
        <w:rPr>
          <w:rFonts w:eastAsia="Calibri"/>
          <w:color w:val="FF0000"/>
        </w:rPr>
      </w:pPr>
      <w:r>
        <w:rPr>
          <w:rFonts w:eastAsia="Calibri"/>
          <w:color w:val="auto"/>
        </w:rPr>
        <w:t>2</w:t>
      </w:r>
      <w:r w:rsidR="00E26504">
        <w:rPr>
          <w:rFonts w:eastAsia="Calibri"/>
          <w:color w:val="auto"/>
        </w:rPr>
        <w:t>3</w:t>
      </w:r>
      <w:r w:rsidRPr="00DB0B8B">
        <w:rPr>
          <w:rFonts w:eastAsia="Calibri"/>
          <w:color w:val="auto"/>
        </w:rPr>
        <w:t>. Подготовка предложений по налоговому потенциалу Кабардино-Балкарской Республики и мероприятий по его вовлечению в налоговый оборот с целью увеличения доходной части консолидированного бюджета Кабардино-Балкарской Республик</w:t>
      </w:r>
      <w:r w:rsidRPr="00945144">
        <w:rPr>
          <w:rFonts w:eastAsia="Calibri"/>
          <w:color w:val="auto"/>
        </w:rPr>
        <w:t>и.</w:t>
      </w:r>
    </w:p>
    <w:p w14:paraId="1F6FA0DB" w14:textId="73F2E65F" w:rsidR="00C94803" w:rsidRDefault="000C0DCC" w:rsidP="00C94803">
      <w:pPr>
        <w:shd w:val="clear" w:color="auto" w:fill="FFFFFF"/>
        <w:rPr>
          <w:color w:val="auto"/>
          <w:lang w:eastAsia="ru-RU"/>
        </w:rPr>
      </w:pPr>
      <w:r w:rsidRPr="001F14BB">
        <w:rPr>
          <w:color w:val="auto"/>
          <w:lang w:eastAsia="ru-RU"/>
        </w:rPr>
        <w:t>2</w:t>
      </w:r>
      <w:r w:rsidR="00E26504">
        <w:rPr>
          <w:color w:val="auto"/>
          <w:lang w:eastAsia="ru-RU"/>
        </w:rPr>
        <w:t>4</w:t>
      </w:r>
      <w:r w:rsidR="00450132" w:rsidRPr="001F14BB">
        <w:rPr>
          <w:color w:val="auto"/>
          <w:lang w:eastAsia="ru-RU"/>
        </w:rPr>
        <w:t xml:space="preserve">. </w:t>
      </w:r>
      <w:r w:rsidR="00C94803" w:rsidRPr="001F14BB">
        <w:rPr>
          <w:color w:val="auto"/>
          <w:lang w:eastAsia="ru-RU"/>
        </w:rPr>
        <w:t>Обеспечение контроля и оценки эффективности налоговых расходов Кабардино-Балкарской Республики за 202</w:t>
      </w:r>
      <w:r w:rsidR="001F14BB">
        <w:rPr>
          <w:color w:val="auto"/>
          <w:lang w:eastAsia="ru-RU"/>
        </w:rPr>
        <w:t>3</w:t>
      </w:r>
      <w:r w:rsidR="00C94803" w:rsidRPr="001F14BB">
        <w:rPr>
          <w:color w:val="auto"/>
          <w:lang w:eastAsia="ru-RU"/>
        </w:rPr>
        <w:t>-202</w:t>
      </w:r>
      <w:r w:rsidR="001F14BB">
        <w:rPr>
          <w:color w:val="auto"/>
          <w:lang w:eastAsia="ru-RU"/>
        </w:rPr>
        <w:t>4</w:t>
      </w:r>
      <w:r w:rsidR="00F50920">
        <w:rPr>
          <w:color w:val="auto"/>
          <w:lang w:eastAsia="ru-RU"/>
        </w:rPr>
        <w:t xml:space="preserve"> </w:t>
      </w:r>
      <w:r w:rsidR="00C94803" w:rsidRPr="001F14BB">
        <w:rPr>
          <w:color w:val="auto"/>
          <w:lang w:eastAsia="ru-RU"/>
        </w:rPr>
        <w:t>годы. Направление результатов проведенной оценки в Министерство финансов РФ.</w:t>
      </w:r>
      <w:r w:rsidR="00F50920">
        <w:rPr>
          <w:color w:val="auto"/>
          <w:lang w:eastAsia="ru-RU"/>
        </w:rPr>
        <w:t xml:space="preserve"> Мониторинг муниципальных налоговых расходов.</w:t>
      </w:r>
      <w:r w:rsidR="00B54578">
        <w:rPr>
          <w:color w:val="auto"/>
          <w:lang w:eastAsia="ru-RU"/>
        </w:rPr>
        <w:t xml:space="preserve"> Актуализация Перечня налоговых расходов на очередной финансовый год.</w:t>
      </w:r>
    </w:p>
    <w:p w14:paraId="4AF9061E" w14:textId="74F7D286" w:rsidR="00470DEF" w:rsidRDefault="00470DEF" w:rsidP="00F50920">
      <w:pPr>
        <w:shd w:val="clear" w:color="auto" w:fill="FFFFFF"/>
        <w:rPr>
          <w:color w:val="auto"/>
          <w:lang w:eastAsia="ru-RU"/>
        </w:rPr>
      </w:pPr>
      <w:r>
        <w:rPr>
          <w:color w:val="auto"/>
          <w:lang w:eastAsia="ru-RU"/>
        </w:rPr>
        <w:t>2</w:t>
      </w:r>
      <w:r w:rsidR="00E26504">
        <w:rPr>
          <w:color w:val="auto"/>
          <w:lang w:eastAsia="ru-RU"/>
        </w:rPr>
        <w:t>5</w:t>
      </w:r>
      <w:r>
        <w:rPr>
          <w:color w:val="auto"/>
          <w:lang w:eastAsia="ru-RU"/>
        </w:rPr>
        <w:t>.</w:t>
      </w:r>
      <w:r w:rsidRPr="00F50920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Подготовка и принятие</w:t>
      </w:r>
      <w:r w:rsidRPr="00F50920">
        <w:rPr>
          <w:color w:val="auto"/>
          <w:lang w:eastAsia="ru-RU"/>
        </w:rPr>
        <w:t xml:space="preserve"> постановления Правительства КБР «О внесении изменений в некоторые акты Правительства Кабардино-Балкарской Республики»</w:t>
      </w:r>
      <w:r>
        <w:rPr>
          <w:color w:val="auto"/>
          <w:lang w:eastAsia="ru-RU"/>
        </w:rPr>
        <w:t xml:space="preserve"> в части Порядков формирования перечня и оценки эффективности налоговых расходов КБР.</w:t>
      </w:r>
    </w:p>
    <w:p w14:paraId="29752452" w14:textId="59C88473" w:rsidR="00470DEF" w:rsidRDefault="00F50920" w:rsidP="00F50920">
      <w:pPr>
        <w:shd w:val="clear" w:color="auto" w:fill="FFFFFF"/>
        <w:rPr>
          <w:color w:val="auto"/>
          <w:lang w:eastAsia="ru-RU"/>
        </w:rPr>
      </w:pPr>
      <w:r>
        <w:rPr>
          <w:color w:val="auto"/>
          <w:lang w:eastAsia="ru-RU"/>
        </w:rPr>
        <w:t>2</w:t>
      </w:r>
      <w:r w:rsidR="00E26504">
        <w:rPr>
          <w:color w:val="auto"/>
          <w:lang w:eastAsia="ru-RU"/>
        </w:rPr>
        <w:t>6</w:t>
      </w:r>
      <w:r>
        <w:rPr>
          <w:color w:val="auto"/>
          <w:lang w:eastAsia="ru-RU"/>
        </w:rPr>
        <w:t xml:space="preserve">. </w:t>
      </w:r>
      <w:bookmarkStart w:id="141" w:name="_Hlk192670111"/>
      <w:r w:rsidR="00470DEF">
        <w:rPr>
          <w:color w:val="auto"/>
          <w:lang w:eastAsia="ru-RU"/>
        </w:rPr>
        <w:t xml:space="preserve">Подготовка и принятие постановления Правительства КБР </w:t>
      </w:r>
      <w:bookmarkEnd w:id="141"/>
      <w:r w:rsidR="00470DEF">
        <w:rPr>
          <w:color w:val="auto"/>
          <w:lang w:eastAsia="ru-RU"/>
        </w:rPr>
        <w:t>«</w:t>
      </w:r>
      <w:r w:rsidRPr="00F50920">
        <w:rPr>
          <w:color w:val="auto"/>
          <w:lang w:eastAsia="ru-RU"/>
        </w:rPr>
        <w:t>Об утверждении Порядка определения вида фактического использования зданий (строений, сооружений) и помещений и Порядка определения объектов недвижимого имущества, в отношении которых налоговая база определяется как кадастровая стоимость</w:t>
      </w:r>
      <w:r w:rsidR="00470DEF">
        <w:rPr>
          <w:color w:val="auto"/>
          <w:lang w:eastAsia="ru-RU"/>
        </w:rPr>
        <w:t>».</w:t>
      </w:r>
    </w:p>
    <w:p w14:paraId="3764560D" w14:textId="73996931" w:rsidR="00C94803" w:rsidRDefault="000C0DCC" w:rsidP="00C94803">
      <w:pPr>
        <w:shd w:val="clear" w:color="auto" w:fill="FFFFFF"/>
        <w:rPr>
          <w:rFonts w:eastAsia="Trebuchet MS"/>
          <w:color w:val="auto"/>
        </w:rPr>
      </w:pPr>
      <w:r w:rsidRPr="00470DEF">
        <w:rPr>
          <w:color w:val="auto"/>
          <w:lang w:eastAsia="ru-RU"/>
        </w:rPr>
        <w:t>2</w:t>
      </w:r>
      <w:r w:rsidR="00E26504">
        <w:rPr>
          <w:color w:val="auto"/>
          <w:lang w:eastAsia="ru-RU"/>
        </w:rPr>
        <w:t>7</w:t>
      </w:r>
      <w:r w:rsidR="001F1DD2" w:rsidRPr="00470DEF">
        <w:rPr>
          <w:color w:val="auto"/>
          <w:lang w:eastAsia="ru-RU"/>
        </w:rPr>
        <w:t>.</w:t>
      </w:r>
      <w:r w:rsidR="00945144">
        <w:rPr>
          <w:color w:val="auto"/>
          <w:lang w:eastAsia="ru-RU"/>
        </w:rPr>
        <w:t xml:space="preserve">  </w:t>
      </w:r>
      <w:r w:rsidR="00C94803" w:rsidRPr="00470DEF">
        <w:rPr>
          <w:rFonts w:eastAsia="Trebuchet MS"/>
          <w:color w:val="auto"/>
        </w:rPr>
        <w:t>Проведение обследований объектов недвижимого имущества по обращениям собственников, а также в рамках судебного производства, в соответствии с Постановлением Правительства КБР от 17.03.2015</w:t>
      </w:r>
      <w:r w:rsidR="00D10704">
        <w:rPr>
          <w:rFonts w:eastAsia="Trebuchet MS"/>
          <w:color w:val="auto"/>
        </w:rPr>
        <w:t xml:space="preserve"> </w:t>
      </w:r>
      <w:r w:rsidR="00C314E4">
        <w:rPr>
          <w:rFonts w:eastAsia="Trebuchet MS"/>
          <w:color w:val="auto"/>
        </w:rPr>
        <w:t>года</w:t>
      </w:r>
      <w:r w:rsidR="00C94803" w:rsidRPr="00470DEF">
        <w:rPr>
          <w:rFonts w:eastAsia="Trebuchet MS"/>
          <w:color w:val="auto"/>
        </w:rPr>
        <w:t xml:space="preserve"> № 53-ПП (ред. от 23.11.2021</w:t>
      </w:r>
      <w:r w:rsidR="00D10704">
        <w:rPr>
          <w:rFonts w:eastAsia="Trebuchet MS"/>
          <w:color w:val="auto"/>
        </w:rPr>
        <w:t xml:space="preserve"> </w:t>
      </w:r>
      <w:r w:rsidR="00C314E4">
        <w:rPr>
          <w:rFonts w:eastAsia="Trebuchet MS"/>
          <w:color w:val="auto"/>
        </w:rPr>
        <w:t>года</w:t>
      </w:r>
      <w:r w:rsidR="00C94803" w:rsidRPr="00470DEF">
        <w:rPr>
          <w:rFonts w:eastAsia="Trebuchet MS"/>
          <w:color w:val="auto"/>
        </w:rPr>
        <w:t>) «О порядке определения вида фактического использования зданий (строений, сооружений) и помещений, в отношении которых налоговая база по налогу на имущество организаций определяется как кадастровая стоимость» в целях актуализации Перечня объектов недвижимого имущества на 2025 год.</w:t>
      </w:r>
    </w:p>
    <w:p w14:paraId="0D39E01E" w14:textId="7C55FD76" w:rsidR="00945144" w:rsidRDefault="00344769" w:rsidP="00B51985">
      <w:pPr>
        <w:shd w:val="clear" w:color="auto" w:fill="FFFFFF"/>
        <w:rPr>
          <w:color w:val="auto"/>
          <w:lang w:eastAsia="ru-RU"/>
        </w:rPr>
      </w:pPr>
      <w:r>
        <w:rPr>
          <w:rFonts w:ascii="Times New Roman CYR" w:hAnsi="Times New Roman CYR" w:cs="Times New Roman CYR"/>
          <w:color w:val="auto"/>
        </w:rPr>
        <w:t>2</w:t>
      </w:r>
      <w:r w:rsidR="00E26504">
        <w:rPr>
          <w:rFonts w:ascii="Times New Roman CYR" w:hAnsi="Times New Roman CYR" w:cs="Times New Roman CYR"/>
          <w:color w:val="auto"/>
        </w:rPr>
        <w:t>8</w:t>
      </w:r>
      <w:r w:rsidR="000F72A7">
        <w:rPr>
          <w:rFonts w:ascii="Times New Roman CYR" w:hAnsi="Times New Roman CYR" w:cs="Times New Roman CYR"/>
          <w:color w:val="auto"/>
        </w:rPr>
        <w:t xml:space="preserve">. </w:t>
      </w:r>
      <w:r w:rsidR="000F72A7">
        <w:rPr>
          <w:color w:val="auto"/>
          <w:lang w:eastAsia="ru-RU"/>
        </w:rPr>
        <w:t xml:space="preserve">Подготовка и принятие постановления Правительства КБР «Об утверждения перечня объектов недвижимого имущества, в отношении которого налоговая база определяется </w:t>
      </w:r>
      <w:r w:rsidR="0008072D">
        <w:rPr>
          <w:color w:val="auto"/>
          <w:lang w:eastAsia="ru-RU"/>
        </w:rPr>
        <w:t xml:space="preserve">как кадастровая стоимость в 2026 году», а также </w:t>
      </w:r>
      <w:r w:rsidR="00945144">
        <w:rPr>
          <w:color w:val="auto"/>
          <w:lang w:eastAsia="ru-RU"/>
        </w:rPr>
        <w:t>о</w:t>
      </w:r>
      <w:r w:rsidR="0008072D">
        <w:rPr>
          <w:color w:val="auto"/>
          <w:lang w:eastAsia="ru-RU"/>
        </w:rPr>
        <w:t xml:space="preserve"> внесении изменений </w:t>
      </w:r>
      <w:r w:rsidR="00945144">
        <w:rPr>
          <w:color w:val="auto"/>
          <w:lang w:eastAsia="ru-RU"/>
        </w:rPr>
        <w:t>в действующие постановления Правительства КБР по результатам судебных решений и проведенных</w:t>
      </w:r>
      <w:r w:rsidR="007377A2">
        <w:rPr>
          <w:color w:val="auto"/>
          <w:lang w:eastAsia="ru-RU"/>
        </w:rPr>
        <w:t xml:space="preserve"> </w:t>
      </w:r>
      <w:r w:rsidR="00945144">
        <w:rPr>
          <w:color w:val="auto"/>
          <w:lang w:eastAsia="ru-RU"/>
        </w:rPr>
        <w:t>обследований.</w:t>
      </w:r>
    </w:p>
    <w:p w14:paraId="67D88EB5" w14:textId="10CAAEF7" w:rsidR="009C6DD2" w:rsidRDefault="00E26504" w:rsidP="00B51985">
      <w:pPr>
        <w:shd w:val="clear" w:color="auto" w:fill="FFFFFF"/>
        <w:rPr>
          <w:color w:val="auto"/>
          <w:lang w:eastAsia="ru-RU"/>
        </w:rPr>
      </w:pPr>
      <w:r>
        <w:rPr>
          <w:sz w:val="27"/>
          <w:szCs w:val="27"/>
        </w:rPr>
        <w:t>29</w:t>
      </w:r>
      <w:r w:rsidR="00846F0E">
        <w:rPr>
          <w:sz w:val="27"/>
          <w:szCs w:val="27"/>
        </w:rPr>
        <w:t xml:space="preserve">. Подготовка и </w:t>
      </w:r>
      <w:r w:rsidR="009C6DD2" w:rsidRPr="00E45F01">
        <w:rPr>
          <w:sz w:val="27"/>
          <w:szCs w:val="27"/>
        </w:rPr>
        <w:t>утвержд</w:t>
      </w:r>
      <w:r w:rsidR="00846F0E">
        <w:rPr>
          <w:sz w:val="27"/>
          <w:szCs w:val="27"/>
        </w:rPr>
        <w:t>ение</w:t>
      </w:r>
      <w:r w:rsidR="009C6DD2" w:rsidRPr="00E45F01">
        <w:rPr>
          <w:sz w:val="27"/>
          <w:szCs w:val="27"/>
        </w:rPr>
        <w:t xml:space="preserve"> </w:t>
      </w:r>
      <w:r w:rsidR="00846F0E">
        <w:rPr>
          <w:sz w:val="27"/>
          <w:szCs w:val="27"/>
        </w:rPr>
        <w:t>О</w:t>
      </w:r>
      <w:r w:rsidR="009C6DD2" w:rsidRPr="00E45F01">
        <w:rPr>
          <w:sz w:val="27"/>
          <w:szCs w:val="27"/>
        </w:rPr>
        <w:t>сновны</w:t>
      </w:r>
      <w:r w:rsidR="00846F0E">
        <w:rPr>
          <w:sz w:val="27"/>
          <w:szCs w:val="27"/>
        </w:rPr>
        <w:t>х</w:t>
      </w:r>
      <w:r w:rsidR="009C6DD2" w:rsidRPr="00E45F01">
        <w:rPr>
          <w:sz w:val="27"/>
          <w:szCs w:val="27"/>
        </w:rPr>
        <w:t xml:space="preserve"> направлени</w:t>
      </w:r>
      <w:r w:rsidR="00846F0E">
        <w:rPr>
          <w:sz w:val="27"/>
          <w:szCs w:val="27"/>
        </w:rPr>
        <w:t>й</w:t>
      </w:r>
      <w:r w:rsidR="009C6DD2" w:rsidRPr="00E45F01">
        <w:rPr>
          <w:sz w:val="27"/>
          <w:szCs w:val="27"/>
        </w:rPr>
        <w:t xml:space="preserve"> государственной долговой политики с обозначением целей, задач и инструментов ее </w:t>
      </w:r>
      <w:proofErr w:type="gramStart"/>
      <w:r w:rsidR="009C6DD2" w:rsidRPr="00E45F01">
        <w:rPr>
          <w:sz w:val="27"/>
          <w:szCs w:val="27"/>
        </w:rPr>
        <w:t xml:space="preserve">реализации </w:t>
      </w:r>
      <w:r w:rsidR="009C6DD2" w:rsidRPr="00E45F01">
        <w:rPr>
          <w:rFonts w:eastAsiaTheme="minorHAnsi"/>
          <w:sz w:val="27"/>
          <w:szCs w:val="27"/>
        </w:rPr>
        <w:t xml:space="preserve"> (</w:t>
      </w:r>
      <w:proofErr w:type="gramEnd"/>
      <w:r w:rsidR="009C6DD2" w:rsidRPr="00E45F01">
        <w:rPr>
          <w:rFonts w:eastAsiaTheme="minorHAnsi"/>
          <w:sz w:val="27"/>
          <w:szCs w:val="27"/>
        </w:rPr>
        <w:t>распоряжение Правительства КБР</w:t>
      </w:r>
      <w:r w:rsidR="00846F0E">
        <w:rPr>
          <w:rFonts w:eastAsiaTheme="minorHAnsi"/>
          <w:sz w:val="27"/>
          <w:szCs w:val="27"/>
        </w:rPr>
        <w:t>)</w:t>
      </w:r>
      <w:r w:rsidR="009C6DD2" w:rsidRPr="00E45F01">
        <w:rPr>
          <w:rFonts w:eastAsiaTheme="minorHAnsi"/>
          <w:sz w:val="27"/>
          <w:szCs w:val="27"/>
        </w:rPr>
        <w:t>.</w:t>
      </w:r>
    </w:p>
    <w:p w14:paraId="1F45F7E8" w14:textId="16F713E3" w:rsidR="00B51985" w:rsidRPr="00B32A1F" w:rsidRDefault="00945144" w:rsidP="00B51985">
      <w:pPr>
        <w:shd w:val="clear" w:color="auto" w:fill="FFFFFF"/>
        <w:rPr>
          <w:rFonts w:eastAsia="Trebuchet MS"/>
          <w:color w:val="auto"/>
        </w:rPr>
      </w:pPr>
      <w:r w:rsidRPr="00B32A1F">
        <w:rPr>
          <w:color w:val="auto"/>
          <w:lang w:eastAsia="ru-RU"/>
        </w:rPr>
        <w:t>3</w:t>
      </w:r>
      <w:r w:rsidR="00E26504">
        <w:rPr>
          <w:color w:val="auto"/>
          <w:lang w:eastAsia="ru-RU"/>
        </w:rPr>
        <w:t>0</w:t>
      </w:r>
      <w:r w:rsidR="0034315A" w:rsidRPr="00B32A1F">
        <w:rPr>
          <w:color w:val="auto"/>
          <w:lang w:eastAsia="ru-RU"/>
        </w:rPr>
        <w:t xml:space="preserve">. </w:t>
      </w:r>
      <w:r w:rsidR="00B32A1F" w:rsidRPr="00074423">
        <w:rPr>
          <w:rFonts w:eastAsia="Trebuchet MS"/>
          <w:color w:val="auto"/>
        </w:rPr>
        <w:t xml:space="preserve">Организовать </w:t>
      </w:r>
      <w:r w:rsidR="00B32A1F">
        <w:rPr>
          <w:rFonts w:eastAsia="Trebuchet MS"/>
          <w:color w:val="auto"/>
        </w:rPr>
        <w:t>регистрацию в ГИС ГМП бюджетных и автономных учреждений.</w:t>
      </w:r>
    </w:p>
    <w:p w14:paraId="5A44482F" w14:textId="2A2855F4" w:rsidR="000C0DCC" w:rsidRPr="00B32A1F" w:rsidRDefault="00945144" w:rsidP="0002532A">
      <w:pPr>
        <w:rPr>
          <w:color w:val="auto"/>
        </w:rPr>
      </w:pPr>
      <w:r w:rsidRPr="00B32A1F">
        <w:rPr>
          <w:color w:val="auto"/>
        </w:rPr>
        <w:t>3</w:t>
      </w:r>
      <w:r w:rsidR="00E26504">
        <w:rPr>
          <w:color w:val="auto"/>
        </w:rPr>
        <w:t>1</w:t>
      </w:r>
      <w:r w:rsidR="0034315A" w:rsidRPr="00B32A1F">
        <w:rPr>
          <w:color w:val="auto"/>
        </w:rPr>
        <w:t xml:space="preserve">. </w:t>
      </w:r>
      <w:r w:rsidR="00E94E60" w:rsidRPr="00B32A1F">
        <w:rPr>
          <w:rFonts w:eastAsia="Trebuchet MS"/>
          <w:color w:val="auto"/>
        </w:rPr>
        <w:t>Внедрение системы «1</w:t>
      </w:r>
      <w:proofErr w:type="gramStart"/>
      <w:r w:rsidR="00E94E60" w:rsidRPr="00B32A1F">
        <w:rPr>
          <w:rFonts w:eastAsia="Trebuchet MS"/>
          <w:color w:val="auto"/>
        </w:rPr>
        <w:t>С:Общий</w:t>
      </w:r>
      <w:proofErr w:type="gramEnd"/>
      <w:r w:rsidR="00E94E60" w:rsidRPr="00B32A1F">
        <w:rPr>
          <w:rFonts w:eastAsia="Trebuchet MS"/>
          <w:color w:val="auto"/>
        </w:rPr>
        <w:t xml:space="preserve"> центр обслуживания. Централизованная бухгалтерия», которая позволит вести учет и взаимодействие централизованных бухгалтерий и учреждений.</w:t>
      </w:r>
    </w:p>
    <w:p w14:paraId="0FDBD994" w14:textId="139D5796" w:rsidR="004F0B44" w:rsidRDefault="00945144" w:rsidP="00DE40FD">
      <w:pPr>
        <w:shd w:val="clear" w:color="auto" w:fill="FFFFFF"/>
        <w:rPr>
          <w:color w:val="auto"/>
          <w:lang w:eastAsia="ru-RU"/>
        </w:rPr>
      </w:pPr>
      <w:r w:rsidRPr="00103E7C">
        <w:rPr>
          <w:color w:val="auto"/>
          <w:lang w:eastAsia="ru-RU"/>
        </w:rPr>
        <w:t>3</w:t>
      </w:r>
      <w:r w:rsidR="00E26504">
        <w:rPr>
          <w:color w:val="auto"/>
          <w:lang w:eastAsia="ru-RU"/>
        </w:rPr>
        <w:t>2</w:t>
      </w:r>
      <w:r w:rsidR="002D7DB3" w:rsidRPr="00103E7C">
        <w:rPr>
          <w:color w:val="auto"/>
          <w:lang w:eastAsia="ru-RU"/>
        </w:rPr>
        <w:t>.</w:t>
      </w:r>
      <w:r w:rsidRPr="00103E7C">
        <w:rPr>
          <w:color w:val="auto"/>
          <w:lang w:eastAsia="ru-RU"/>
        </w:rPr>
        <w:t xml:space="preserve"> </w:t>
      </w:r>
      <w:r w:rsidR="001D6D53" w:rsidRPr="00103E7C">
        <w:rPr>
          <w:color w:val="auto"/>
          <w:lang w:eastAsia="ru-RU"/>
        </w:rPr>
        <w:t xml:space="preserve">Проведение </w:t>
      </w:r>
      <w:r w:rsidR="00103E7C" w:rsidRPr="00103E7C">
        <w:rPr>
          <w:color w:val="auto"/>
          <w:lang w:eastAsia="ru-RU"/>
        </w:rPr>
        <w:t>6</w:t>
      </w:r>
      <w:r w:rsidR="001D6D53" w:rsidRPr="00103E7C">
        <w:rPr>
          <w:color w:val="auto"/>
          <w:lang w:eastAsia="ru-RU"/>
        </w:rPr>
        <w:t xml:space="preserve"> плановых контрольных мероприятий, </w:t>
      </w:r>
      <w:r w:rsidR="004F0B44">
        <w:rPr>
          <w:color w:val="auto"/>
          <w:lang w:eastAsia="ru-RU"/>
        </w:rPr>
        <w:t>по следующим темам:</w:t>
      </w:r>
    </w:p>
    <w:p w14:paraId="289862E6" w14:textId="4CC7E3A4" w:rsidR="004F0B44" w:rsidRDefault="004F0B44" w:rsidP="00DE40FD">
      <w:pPr>
        <w:shd w:val="clear" w:color="auto" w:fill="FFFFFF"/>
        <w:rPr>
          <w:bCs/>
          <w:color w:val="auto"/>
          <w:lang w:eastAsia="ru-RU"/>
        </w:rPr>
      </w:pPr>
      <w:r>
        <w:rPr>
          <w:color w:val="auto"/>
          <w:lang w:eastAsia="ru-RU"/>
        </w:rPr>
        <w:t xml:space="preserve">- </w:t>
      </w:r>
      <w:r>
        <w:rPr>
          <w:bCs/>
          <w:color w:val="auto"/>
          <w:lang w:eastAsia="ru-RU"/>
        </w:rPr>
        <w:t>п</w:t>
      </w:r>
      <w:r w:rsidRPr="004F0B44">
        <w:rPr>
          <w:bCs/>
          <w:color w:val="auto"/>
          <w:lang w:eastAsia="ru-RU"/>
        </w:rPr>
        <w:t>роверка достоверности учета и отчетности в части объектов недвижимого имущества (автомобильных дорог регионального значения);</w:t>
      </w:r>
    </w:p>
    <w:p w14:paraId="0874CD6B" w14:textId="369A1C33" w:rsidR="004F0B44" w:rsidRDefault="004F0B44" w:rsidP="00DE40FD">
      <w:pPr>
        <w:shd w:val="clear" w:color="auto" w:fill="FFFFFF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- п</w:t>
      </w:r>
      <w:r w:rsidRPr="004F0B44">
        <w:rPr>
          <w:bCs/>
          <w:color w:val="auto"/>
          <w:lang w:eastAsia="ru-RU"/>
        </w:rPr>
        <w:t>роверка расходования средств республиканского бюджета КБР, выделенных на реализацию программы комплексного развития молодежной политики в регионах Российской Федерации «Регион для молодых</w:t>
      </w:r>
      <w:r>
        <w:rPr>
          <w:bCs/>
          <w:color w:val="auto"/>
          <w:lang w:eastAsia="ru-RU"/>
        </w:rPr>
        <w:t>»;</w:t>
      </w:r>
    </w:p>
    <w:p w14:paraId="51389011" w14:textId="38867383" w:rsidR="004F0B44" w:rsidRDefault="004F0B44" w:rsidP="00DE40FD">
      <w:pPr>
        <w:shd w:val="clear" w:color="auto" w:fill="FFFFFF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- п</w:t>
      </w:r>
      <w:r w:rsidRPr="004F0B44">
        <w:rPr>
          <w:bCs/>
          <w:color w:val="auto"/>
          <w:lang w:eastAsia="ru-RU"/>
        </w:rPr>
        <w:t>роверка расходования средств субсидии, выделенной автономной некоммерческой организации дополнительного профессионального образования «Корпоративный университет «Эльбрус» на создание условий для реализации стратегических целей социально-экономического развития Кабардино-Балкарской Республики и формирования эффективной управленческой команды</w:t>
      </w:r>
      <w:r>
        <w:rPr>
          <w:bCs/>
          <w:color w:val="auto"/>
          <w:lang w:eastAsia="ru-RU"/>
        </w:rPr>
        <w:t>;</w:t>
      </w:r>
    </w:p>
    <w:p w14:paraId="190A35B2" w14:textId="001FEE28" w:rsidR="004F0B44" w:rsidRDefault="004F0B44" w:rsidP="00DE40FD">
      <w:pPr>
        <w:shd w:val="clear" w:color="auto" w:fill="FFFFFF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- п</w:t>
      </w:r>
      <w:r w:rsidRPr="004F0B44">
        <w:rPr>
          <w:bCs/>
          <w:color w:val="auto"/>
          <w:lang w:eastAsia="ru-RU"/>
        </w:rPr>
        <w:t>роверка обоснованности расчета объема и правильности расходования субвенции бюджету муниципального образования</w:t>
      </w:r>
      <w:r>
        <w:rPr>
          <w:bCs/>
          <w:color w:val="auto"/>
          <w:lang w:eastAsia="ru-RU"/>
        </w:rPr>
        <w:t xml:space="preserve"> </w:t>
      </w:r>
      <w:r w:rsidRPr="004F0B44">
        <w:rPr>
          <w:bCs/>
          <w:color w:val="auto"/>
          <w:lang w:eastAsia="ru-RU"/>
        </w:rPr>
        <w:t xml:space="preserve">на обеспечение государственных гарантий прав граждан на получение общедоступного </w:t>
      </w:r>
      <w:r>
        <w:rPr>
          <w:bCs/>
          <w:color w:val="auto"/>
          <w:lang w:eastAsia="ru-RU"/>
        </w:rPr>
        <w:br/>
      </w:r>
      <w:r w:rsidRPr="004F0B44">
        <w:rPr>
          <w:bCs/>
          <w:color w:val="auto"/>
          <w:lang w:eastAsia="ru-RU"/>
        </w:rPr>
        <w:t xml:space="preserve">и бесплатного дошкольного, начального общего, основного общего, среднего (полного) общего образования, а также дополнительного образования </w:t>
      </w:r>
      <w:r w:rsidRPr="004F0B44">
        <w:rPr>
          <w:bCs/>
          <w:color w:val="auto"/>
          <w:lang w:eastAsia="ru-RU"/>
        </w:rPr>
        <w:br/>
        <w:t xml:space="preserve">в </w:t>
      </w:r>
      <w:r>
        <w:rPr>
          <w:bCs/>
          <w:color w:val="auto"/>
          <w:lang w:eastAsia="ru-RU"/>
        </w:rPr>
        <w:t>общеобразовательных учреждениях;</w:t>
      </w:r>
    </w:p>
    <w:p w14:paraId="69F40FE9" w14:textId="6177C11F" w:rsidR="004F0B44" w:rsidRDefault="004F0B44" w:rsidP="00DE40FD">
      <w:pPr>
        <w:shd w:val="clear" w:color="auto" w:fill="FFFFFF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- п</w:t>
      </w:r>
      <w:r w:rsidRPr="004F0B44">
        <w:rPr>
          <w:bCs/>
          <w:color w:val="auto"/>
          <w:lang w:eastAsia="ru-RU"/>
        </w:rPr>
        <w:t xml:space="preserve">роверка исполнения бюджетных полномочий в отношении доходов, получаемых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 и доходов от продажи земельных участков, находящихся </w:t>
      </w:r>
      <w:r>
        <w:rPr>
          <w:bCs/>
          <w:color w:val="auto"/>
          <w:lang w:eastAsia="ru-RU"/>
        </w:rPr>
        <w:t>в муниципальной собственности;</w:t>
      </w:r>
    </w:p>
    <w:p w14:paraId="64002E39" w14:textId="17B94871" w:rsidR="004F0B44" w:rsidRDefault="004F0B44" w:rsidP="00DE40FD">
      <w:pPr>
        <w:shd w:val="clear" w:color="auto" w:fill="FFFFFF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- п</w:t>
      </w:r>
      <w:r w:rsidRPr="004F0B44">
        <w:rPr>
          <w:bCs/>
          <w:color w:val="auto"/>
          <w:lang w:eastAsia="ru-RU"/>
        </w:rPr>
        <w:t>роверка правильности и эффективности управления дебито</w:t>
      </w:r>
      <w:r>
        <w:rPr>
          <w:bCs/>
          <w:color w:val="auto"/>
          <w:lang w:eastAsia="ru-RU"/>
        </w:rPr>
        <w:t>рской задолженностью по доходам;</w:t>
      </w:r>
    </w:p>
    <w:p w14:paraId="3A1CD8D7" w14:textId="5A5E00D0" w:rsidR="004F0B44" w:rsidRDefault="004F0B44" w:rsidP="00DE40FD">
      <w:pPr>
        <w:shd w:val="clear" w:color="auto" w:fill="FFFFFF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- п</w:t>
      </w:r>
      <w:r w:rsidRPr="004F0B44">
        <w:rPr>
          <w:bCs/>
          <w:color w:val="auto"/>
          <w:lang w:eastAsia="ru-RU"/>
        </w:rPr>
        <w:t>роверка годового отчета</w:t>
      </w:r>
      <w:r>
        <w:rPr>
          <w:bCs/>
          <w:color w:val="auto"/>
          <w:lang w:eastAsia="ru-RU"/>
        </w:rPr>
        <w:t xml:space="preserve"> об исполнении местного бюджета;</w:t>
      </w:r>
    </w:p>
    <w:p w14:paraId="0892292A" w14:textId="2EAC521F" w:rsidR="001D6D53" w:rsidRPr="00AE2D72" w:rsidRDefault="004F0B44" w:rsidP="00DE40FD">
      <w:pPr>
        <w:shd w:val="clear" w:color="auto" w:fill="FFFFFF"/>
        <w:rPr>
          <w:color w:val="FF0000"/>
          <w:lang w:eastAsia="ru-RU"/>
        </w:rPr>
      </w:pPr>
      <w:r>
        <w:rPr>
          <w:bCs/>
          <w:color w:val="auto"/>
          <w:lang w:eastAsia="ru-RU"/>
        </w:rPr>
        <w:t>- п</w:t>
      </w:r>
      <w:r w:rsidRPr="004F0B44">
        <w:rPr>
          <w:bCs/>
          <w:color w:val="auto"/>
          <w:lang w:eastAsia="ru-RU"/>
        </w:rPr>
        <w:t>роверка правильности расчета объема и правомерности расходования средств, выделенных на осуществление ежемесячной доплаты тренерам-преподавателям организаций, реализующих дополнительные образовательные программы спортивной подготовки.</w:t>
      </w:r>
    </w:p>
    <w:p w14:paraId="6A41EDEC" w14:textId="34482E27" w:rsidR="001D6D53" w:rsidRPr="007E1AE4" w:rsidRDefault="00344769" w:rsidP="00DE40FD">
      <w:pPr>
        <w:shd w:val="clear" w:color="auto" w:fill="FFFFFF"/>
        <w:rPr>
          <w:color w:val="auto"/>
          <w:lang w:eastAsia="ru-RU"/>
        </w:rPr>
      </w:pPr>
      <w:r>
        <w:rPr>
          <w:color w:val="auto"/>
          <w:lang w:eastAsia="ru-RU"/>
        </w:rPr>
        <w:t>3</w:t>
      </w:r>
      <w:r w:rsidR="00E26504">
        <w:rPr>
          <w:color w:val="auto"/>
          <w:lang w:eastAsia="ru-RU"/>
        </w:rPr>
        <w:t>3</w:t>
      </w:r>
      <w:r w:rsidR="0033602F" w:rsidRPr="007E1AE4">
        <w:rPr>
          <w:color w:val="auto"/>
          <w:lang w:eastAsia="ru-RU"/>
        </w:rPr>
        <w:t xml:space="preserve">. </w:t>
      </w:r>
      <w:r w:rsidR="001D6D53" w:rsidRPr="007E1AE4">
        <w:rPr>
          <w:color w:val="auto"/>
          <w:lang w:eastAsia="ru-RU"/>
        </w:rPr>
        <w:t xml:space="preserve">Проведение 2 аудиторских мероприятий по теме проверки исполнения условий соглашений о мерах по социально-экономическому развитию </w:t>
      </w:r>
      <w:r w:rsidR="001D6D53" w:rsidRPr="007E1AE4">
        <w:rPr>
          <w:color w:val="auto"/>
          <w:lang w:eastAsia="ru-RU"/>
        </w:rPr>
        <w:br/>
        <w:t xml:space="preserve">и оздоровлению муниципальных финансов муниципальных образований КБР </w:t>
      </w:r>
      <w:r w:rsidR="001D6D53" w:rsidRPr="007E1AE4">
        <w:rPr>
          <w:color w:val="auto"/>
          <w:lang w:eastAsia="ru-RU"/>
        </w:rPr>
        <w:br/>
        <w:t>и соглашений о предоставлении бюджетам муниципальных образований  КБР дополнительной финансовой помощи из республиканского бюджета КБР в виде дотации на поддержку мер по обеспечению сбалансированности бюджетов муниципальных образований  и проверки достоверности, своевременности составления и представления бюджетной отчетности Министерства финансов Кабардино-Балкарской Республики.</w:t>
      </w:r>
    </w:p>
    <w:p w14:paraId="7E516360" w14:textId="4C53BFF7" w:rsidR="002E2883" w:rsidRPr="00B32A1F" w:rsidRDefault="0054583A" w:rsidP="00DE40FD">
      <w:pPr>
        <w:shd w:val="clear" w:color="auto" w:fill="FFFFFF"/>
        <w:rPr>
          <w:color w:val="auto"/>
          <w:lang w:eastAsia="ru-RU"/>
        </w:rPr>
      </w:pPr>
      <w:r w:rsidRPr="00B32A1F">
        <w:rPr>
          <w:color w:val="auto"/>
          <w:lang w:eastAsia="ru-RU"/>
        </w:rPr>
        <w:t>3</w:t>
      </w:r>
      <w:r w:rsidR="00E26504">
        <w:rPr>
          <w:color w:val="auto"/>
          <w:lang w:eastAsia="ru-RU"/>
        </w:rPr>
        <w:t>4</w:t>
      </w:r>
      <w:r w:rsidR="00032019" w:rsidRPr="00B32A1F">
        <w:rPr>
          <w:color w:val="auto"/>
          <w:lang w:eastAsia="ru-RU"/>
        </w:rPr>
        <w:t xml:space="preserve">. </w:t>
      </w:r>
      <w:r w:rsidR="00E62A72" w:rsidRPr="00B32A1F">
        <w:rPr>
          <w:color w:val="auto"/>
          <w:lang w:eastAsia="ru-RU"/>
        </w:rPr>
        <w:t>Автоматизация кадрового учета и расчета заработной платы участников бюджетного процесса КБР в соответствии с законодательством Российской Федерации посредством подсистемы «Управление оплатой труда» Минфина КБР.</w:t>
      </w:r>
    </w:p>
    <w:p w14:paraId="135E689E" w14:textId="4A27EC72" w:rsidR="00C032E6" w:rsidRPr="00344769" w:rsidRDefault="00E36A15" w:rsidP="00DE40FD">
      <w:pPr>
        <w:shd w:val="clear" w:color="auto" w:fill="FFFFFF"/>
        <w:rPr>
          <w:lang w:eastAsia="ru-RU"/>
        </w:rPr>
      </w:pPr>
      <w:r w:rsidRPr="00344769">
        <w:rPr>
          <w:lang w:eastAsia="ru-RU"/>
        </w:rPr>
        <w:t>3</w:t>
      </w:r>
      <w:r w:rsidR="00E26504">
        <w:rPr>
          <w:lang w:eastAsia="ru-RU"/>
        </w:rPr>
        <w:t>5</w:t>
      </w:r>
      <w:r w:rsidR="00A63BD2" w:rsidRPr="00344769">
        <w:rPr>
          <w:lang w:eastAsia="ru-RU"/>
        </w:rPr>
        <w:t>. Осуществление мероприятий в рамках судебной защиты интересов казны Кабардино-Балкарской Республики, направленных на минимизацию взыскиваемых средств бюджета.</w:t>
      </w:r>
    </w:p>
    <w:p w14:paraId="27E029ED" w14:textId="54EA937B" w:rsidR="00B57CC0" w:rsidRPr="000E1A87" w:rsidRDefault="00E36A15" w:rsidP="00DE40FD">
      <w:pPr>
        <w:shd w:val="clear" w:color="auto" w:fill="FFFFFF"/>
        <w:rPr>
          <w:lang w:eastAsia="ru-RU"/>
        </w:rPr>
      </w:pPr>
      <w:r w:rsidRPr="000E1A87">
        <w:rPr>
          <w:lang w:eastAsia="ru-RU"/>
        </w:rPr>
        <w:t>3</w:t>
      </w:r>
      <w:r w:rsidR="00E26504">
        <w:rPr>
          <w:lang w:eastAsia="ru-RU"/>
        </w:rPr>
        <w:t>6</w:t>
      </w:r>
      <w:r w:rsidR="004F67CE" w:rsidRPr="000E1A87">
        <w:rPr>
          <w:lang w:eastAsia="ru-RU"/>
        </w:rPr>
        <w:t xml:space="preserve">. </w:t>
      </w:r>
      <w:r w:rsidR="00B57CC0" w:rsidRPr="000E1A87">
        <w:rPr>
          <w:lang w:eastAsia="ru-RU"/>
        </w:rPr>
        <w:t>Усиление контроля за своевременностью представления главными администраторы средств бюджета Кабардино-Балкарской Республики бюджетной отчетности в Министерство финансов Кабардино-Балкарской Республики.</w:t>
      </w:r>
    </w:p>
    <w:p w14:paraId="5DB5293C" w14:textId="702A242E" w:rsidR="004F67CE" w:rsidRPr="000E1A87" w:rsidRDefault="00344769" w:rsidP="00DE40FD">
      <w:pPr>
        <w:shd w:val="clear" w:color="auto" w:fill="FFFFFF"/>
        <w:rPr>
          <w:lang w:eastAsia="ru-RU"/>
        </w:rPr>
      </w:pPr>
      <w:r>
        <w:rPr>
          <w:lang w:eastAsia="ru-RU"/>
        </w:rPr>
        <w:t>3</w:t>
      </w:r>
      <w:r w:rsidR="00E26504">
        <w:rPr>
          <w:lang w:eastAsia="ru-RU"/>
        </w:rPr>
        <w:t>7</w:t>
      </w:r>
      <w:r>
        <w:rPr>
          <w:lang w:eastAsia="ru-RU"/>
        </w:rPr>
        <w:t>.</w:t>
      </w:r>
      <w:r w:rsidR="004F67CE" w:rsidRPr="000E1A87">
        <w:rPr>
          <w:lang w:eastAsia="ru-RU"/>
        </w:rPr>
        <w:t xml:space="preserve"> </w:t>
      </w:r>
      <w:r w:rsidR="00B57CC0" w:rsidRPr="000E1A87">
        <w:rPr>
          <w:lang w:eastAsia="ru-RU"/>
        </w:rPr>
        <w:t>Реализация плана мероприятий («дорожная карта») по погашению (реструктуризации) кредиторской задолженности республиканского бюджета Кабардино-Балкарской Республики и государственных бюджетных и автономных учреждений Кабардино-Балкарской Республики на 2024 – 2026 годы.</w:t>
      </w:r>
    </w:p>
    <w:p w14:paraId="09FBCF39" w14:textId="254C6AB0" w:rsidR="00B57CC0" w:rsidRPr="000E1A87" w:rsidRDefault="00E26504" w:rsidP="00DE40FD">
      <w:pPr>
        <w:shd w:val="clear" w:color="auto" w:fill="FFFFFF"/>
        <w:rPr>
          <w:lang w:eastAsia="ru-RU"/>
        </w:rPr>
      </w:pPr>
      <w:r>
        <w:rPr>
          <w:lang w:eastAsia="ru-RU"/>
        </w:rPr>
        <w:t>38</w:t>
      </w:r>
      <w:r w:rsidR="007111DF" w:rsidRPr="000E1A87">
        <w:rPr>
          <w:lang w:eastAsia="ru-RU"/>
        </w:rPr>
        <w:t xml:space="preserve">. </w:t>
      </w:r>
      <w:r w:rsidR="00B57CC0" w:rsidRPr="000E1A87">
        <w:rPr>
          <w:lang w:eastAsia="ru-RU"/>
        </w:rPr>
        <w:t xml:space="preserve">Реализация плана мероприятий («дорожная карта») по взысканию дебиторской задолженности по платежам в республиканский бюджет Кабардино-Балкарской Республики, пеням и штрафам по ним». </w:t>
      </w:r>
    </w:p>
    <w:p w14:paraId="479394BD" w14:textId="3F2EC016" w:rsidR="00241148" w:rsidRPr="00344769" w:rsidRDefault="00E26504" w:rsidP="00DE40FD">
      <w:pPr>
        <w:shd w:val="clear" w:color="auto" w:fill="FFFFFF"/>
      </w:pPr>
      <w:r>
        <w:rPr>
          <w:lang w:eastAsia="ru-RU"/>
        </w:rPr>
        <w:t>39</w:t>
      </w:r>
      <w:r w:rsidR="00241148" w:rsidRPr="00344769">
        <w:rPr>
          <w:lang w:eastAsia="ru-RU"/>
        </w:rPr>
        <w:t>. В рамках реализации Федерального проекта «Государство для людей» и распоряжения Правительства Кабардино-Балкар</w:t>
      </w:r>
      <w:r w:rsidR="00344769">
        <w:rPr>
          <w:lang w:eastAsia="ru-RU"/>
        </w:rPr>
        <w:t xml:space="preserve">ской Республики от </w:t>
      </w:r>
      <w:r w:rsidR="00344769">
        <w:rPr>
          <w:lang w:eastAsia="ru-RU"/>
        </w:rPr>
        <w:br/>
        <w:t>26.09.</w:t>
      </w:r>
      <w:r w:rsidR="00241148" w:rsidRPr="00344769">
        <w:rPr>
          <w:lang w:eastAsia="ru-RU"/>
        </w:rPr>
        <w:t>2023 года № 468-рп «Об утверждении Плана мероприятий («Дорожная карта») по внедрению С</w:t>
      </w:r>
      <w:r w:rsidR="00241148" w:rsidRPr="00344769">
        <w:t>тандартов клиентоцентричности в Кабардино-Балкарской Республике» исполнение Плана мероприятий («Дорожная карта») Министерства финансов КБР по внедрению Стандартов клиентоцентричности.</w:t>
      </w:r>
    </w:p>
    <w:p w14:paraId="03BDF513" w14:textId="291B0315" w:rsidR="001433DE" w:rsidRPr="000E1A87" w:rsidRDefault="00157218" w:rsidP="001433DE">
      <w:pPr>
        <w:rPr>
          <w:rFonts w:ascii="Times New Roman CYR" w:hAnsi="Times New Roman CYR" w:cs="Times New Roman CYR"/>
        </w:rPr>
      </w:pPr>
      <w:r>
        <w:rPr>
          <w:lang w:eastAsia="ru-RU"/>
        </w:rPr>
        <w:t>4</w:t>
      </w:r>
      <w:r w:rsidR="00E26504">
        <w:rPr>
          <w:lang w:eastAsia="ru-RU"/>
        </w:rPr>
        <w:t>0</w:t>
      </w:r>
      <w:r w:rsidR="001433DE" w:rsidRPr="000E1A87">
        <w:rPr>
          <w:lang w:eastAsia="ru-RU"/>
        </w:rPr>
        <w:t xml:space="preserve">. </w:t>
      </w:r>
      <w:r w:rsidR="001433DE" w:rsidRPr="000E1A87">
        <w:rPr>
          <w:rFonts w:ascii="Times New Roman CYR" w:hAnsi="Times New Roman CYR" w:cs="Times New Roman CYR"/>
        </w:rPr>
        <w:t>В соответствии с постановлением Правительства РФ от 27</w:t>
      </w:r>
      <w:r w:rsidR="00D10704">
        <w:rPr>
          <w:rFonts w:ascii="Times New Roman CYR" w:hAnsi="Times New Roman CYR" w:cs="Times New Roman CYR"/>
        </w:rPr>
        <w:t>.01.</w:t>
      </w:r>
      <w:r w:rsidR="001433DE" w:rsidRPr="000E1A87">
        <w:rPr>
          <w:rFonts w:ascii="Times New Roman CYR" w:hAnsi="Times New Roman CYR" w:cs="Times New Roman CYR"/>
        </w:rPr>
        <w:t xml:space="preserve">2022 </w:t>
      </w:r>
      <w:r w:rsidR="00C314E4">
        <w:rPr>
          <w:rFonts w:ascii="Times New Roman CYR" w:hAnsi="Times New Roman CYR" w:cs="Times New Roman CYR"/>
        </w:rPr>
        <w:t>года</w:t>
      </w:r>
      <w:r w:rsidR="001433DE" w:rsidRPr="000E1A87">
        <w:rPr>
          <w:rFonts w:ascii="Times New Roman CYR" w:hAnsi="Times New Roman CYR" w:cs="Times New Roman CYR"/>
        </w:rPr>
        <w:t xml:space="preserve"> </w:t>
      </w:r>
      <w:r w:rsidR="00D10704">
        <w:rPr>
          <w:rFonts w:ascii="Times New Roman CYR" w:hAnsi="Times New Roman CYR" w:cs="Times New Roman CYR"/>
        </w:rPr>
        <w:br/>
      </w:r>
      <w:r w:rsidR="001433DE" w:rsidRPr="000E1A87">
        <w:rPr>
          <w:rFonts w:ascii="Times New Roman CYR" w:hAnsi="Times New Roman CYR" w:cs="Times New Roman CYR"/>
        </w:rPr>
        <w:t>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осуществлять проверку платежных документов по контрактам на соответствие реестру контрактов.</w:t>
      </w:r>
    </w:p>
    <w:p w14:paraId="296F8849" w14:textId="6606C6E8" w:rsidR="001433DE" w:rsidRPr="00010F8F" w:rsidRDefault="00945144" w:rsidP="001433DE">
      <w:pPr>
        <w:rPr>
          <w:rFonts w:ascii="Times New Roman CYR" w:hAnsi="Times New Roman CYR" w:cs="Times New Roman CYR"/>
          <w:color w:val="auto"/>
        </w:rPr>
      </w:pPr>
      <w:r>
        <w:rPr>
          <w:color w:val="auto"/>
          <w:lang w:eastAsia="ru-RU"/>
        </w:rPr>
        <w:t>4</w:t>
      </w:r>
      <w:r w:rsidR="00E26504">
        <w:rPr>
          <w:color w:val="auto"/>
          <w:lang w:eastAsia="ru-RU"/>
        </w:rPr>
        <w:t>1</w:t>
      </w:r>
      <w:r w:rsidR="001433DE" w:rsidRPr="00010F8F">
        <w:rPr>
          <w:color w:val="auto"/>
          <w:lang w:eastAsia="ru-RU"/>
        </w:rPr>
        <w:t xml:space="preserve">. </w:t>
      </w:r>
      <w:r w:rsidR="001433DE" w:rsidRPr="00010F8F">
        <w:rPr>
          <w:rFonts w:ascii="Times New Roman CYR" w:hAnsi="Times New Roman CYR" w:cs="Times New Roman CYR"/>
          <w:color w:val="auto"/>
        </w:rPr>
        <w:t xml:space="preserve">Перевод (миграция) автоматизированной системы </w:t>
      </w:r>
      <w:r w:rsidR="009E70C6" w:rsidRPr="00010F8F">
        <w:rPr>
          <w:rFonts w:ascii="Times New Roman CYR" w:hAnsi="Times New Roman CYR" w:cs="Times New Roman CYR"/>
          <w:color w:val="auto"/>
        </w:rPr>
        <w:t>ИС УОФ</w:t>
      </w:r>
      <w:r w:rsidR="001433DE" w:rsidRPr="00010F8F">
        <w:rPr>
          <w:rFonts w:ascii="Times New Roman CYR" w:hAnsi="Times New Roman CYR" w:cs="Times New Roman CYR"/>
          <w:color w:val="auto"/>
        </w:rPr>
        <w:t xml:space="preserve">, в среду эксплуатации российской </w:t>
      </w:r>
      <w:proofErr w:type="gramStart"/>
      <w:r w:rsidR="001433DE" w:rsidRPr="00010F8F">
        <w:rPr>
          <w:rFonts w:ascii="Times New Roman CYR" w:hAnsi="Times New Roman CYR" w:cs="Times New Roman CYR"/>
          <w:color w:val="auto"/>
        </w:rPr>
        <w:t xml:space="preserve">СУБД  </w:t>
      </w:r>
      <w:proofErr w:type="spellStart"/>
      <w:r w:rsidR="001433DE" w:rsidRPr="00010F8F">
        <w:rPr>
          <w:rFonts w:ascii="Times New Roman CYR" w:hAnsi="Times New Roman CYR" w:cs="Times New Roman CYR"/>
          <w:color w:val="auto"/>
        </w:rPr>
        <w:t>PistgreSQL</w:t>
      </w:r>
      <w:proofErr w:type="spellEnd"/>
      <w:proofErr w:type="gramEnd"/>
      <w:r w:rsidR="001433DE" w:rsidRPr="00010F8F">
        <w:rPr>
          <w:rFonts w:ascii="Times New Roman CYR" w:hAnsi="Times New Roman CYR" w:cs="Times New Roman CYR"/>
          <w:color w:val="auto"/>
        </w:rPr>
        <w:t>.</w:t>
      </w:r>
    </w:p>
    <w:p w14:paraId="4E0D4959" w14:textId="14B59743" w:rsidR="00961F66" w:rsidRDefault="00961F66" w:rsidP="00961F66">
      <w:pPr>
        <w:rPr>
          <w:rFonts w:ascii="Times New Roman CYR" w:hAnsi="Times New Roman CYR" w:cs="Times New Roman CYR"/>
          <w:color w:val="auto"/>
        </w:rPr>
      </w:pPr>
      <w:r w:rsidRPr="00961F66">
        <w:rPr>
          <w:rFonts w:ascii="Times New Roman CYR" w:hAnsi="Times New Roman CYR" w:cs="Times New Roman CYR"/>
          <w:color w:val="auto"/>
        </w:rPr>
        <w:t>4</w:t>
      </w:r>
      <w:r w:rsidR="00E26504">
        <w:rPr>
          <w:rFonts w:ascii="Times New Roman CYR" w:hAnsi="Times New Roman CYR" w:cs="Times New Roman CYR"/>
          <w:color w:val="auto"/>
        </w:rPr>
        <w:t>2</w:t>
      </w:r>
      <w:r w:rsidRPr="00961F66">
        <w:rPr>
          <w:rFonts w:ascii="Times New Roman CYR" w:hAnsi="Times New Roman CYR" w:cs="Times New Roman CYR"/>
          <w:color w:val="auto"/>
        </w:rPr>
        <w:t>. Внедрение нового модуля «WEB-интерфейс АЦК-Финансы» расширяющего возможности работы пользователей с комплексной системой автоматизации и оптимизации исполнения бюджета и управления бюджетным процессом </w:t>
      </w:r>
      <w:hyperlink r:id="rId22" w:tgtFrame="_blank" w:history="1">
        <w:r w:rsidRPr="00961F66">
          <w:rPr>
            <w:rFonts w:ascii="Times New Roman CYR" w:hAnsi="Times New Roman CYR" w:cs="Times New Roman CYR"/>
            <w:color w:val="auto"/>
          </w:rPr>
          <w:t>«АЦК-Финансы»</w:t>
        </w:r>
      </w:hyperlink>
      <w:r>
        <w:rPr>
          <w:rFonts w:ascii="Times New Roman CYR" w:hAnsi="Times New Roman CYR" w:cs="Times New Roman CYR"/>
          <w:color w:val="auto"/>
        </w:rPr>
        <w:t>.</w:t>
      </w:r>
    </w:p>
    <w:p w14:paraId="5EBFB9D3" w14:textId="346F80DA" w:rsidR="00961F66" w:rsidRDefault="00157218" w:rsidP="00961F66">
      <w:pPr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4</w:t>
      </w:r>
      <w:r w:rsidR="00E26504">
        <w:rPr>
          <w:rFonts w:ascii="Times New Roman CYR" w:hAnsi="Times New Roman CYR" w:cs="Times New Roman CYR"/>
          <w:color w:val="auto"/>
        </w:rPr>
        <w:t>3</w:t>
      </w:r>
      <w:r w:rsidR="00961F66">
        <w:rPr>
          <w:rFonts w:ascii="Times New Roman CYR" w:hAnsi="Times New Roman CYR" w:cs="Times New Roman CYR"/>
          <w:color w:val="auto"/>
        </w:rPr>
        <w:t>. Настройка с</w:t>
      </w:r>
      <w:r w:rsidR="00961F66" w:rsidRPr="00961F66">
        <w:rPr>
          <w:rFonts w:ascii="Times New Roman CYR" w:hAnsi="Times New Roman CYR" w:cs="Times New Roman CYR"/>
          <w:color w:val="auto"/>
        </w:rPr>
        <w:t>инхрониз</w:t>
      </w:r>
      <w:r w:rsidR="00961F66">
        <w:rPr>
          <w:rFonts w:ascii="Times New Roman CYR" w:hAnsi="Times New Roman CYR" w:cs="Times New Roman CYR"/>
          <w:color w:val="auto"/>
        </w:rPr>
        <w:t>ации</w:t>
      </w:r>
      <w:r w:rsidR="00961F66" w:rsidRPr="00961F66">
        <w:rPr>
          <w:rFonts w:ascii="Times New Roman CYR" w:hAnsi="Times New Roman CYR" w:cs="Times New Roman CYR"/>
          <w:color w:val="auto"/>
        </w:rPr>
        <w:t xml:space="preserve"> данны</w:t>
      </w:r>
      <w:r w:rsidR="00961F66">
        <w:rPr>
          <w:rFonts w:ascii="Times New Roman CYR" w:hAnsi="Times New Roman CYR" w:cs="Times New Roman CYR"/>
          <w:color w:val="auto"/>
        </w:rPr>
        <w:t>х</w:t>
      </w:r>
      <w:r w:rsidR="00961F66" w:rsidRPr="00961F66">
        <w:rPr>
          <w:rFonts w:ascii="Times New Roman CYR" w:hAnsi="Times New Roman CYR" w:cs="Times New Roman CYR"/>
          <w:color w:val="auto"/>
        </w:rPr>
        <w:t xml:space="preserve"> из </w:t>
      </w:r>
      <w:r w:rsidR="004F6E81">
        <w:rPr>
          <w:rFonts w:ascii="Times New Roman CYR" w:hAnsi="Times New Roman CYR" w:cs="Times New Roman CYR"/>
          <w:color w:val="auto"/>
        </w:rPr>
        <w:t>п</w:t>
      </w:r>
      <w:r w:rsidR="00961F66" w:rsidRPr="00961F66">
        <w:rPr>
          <w:rFonts w:ascii="Times New Roman CYR" w:hAnsi="Times New Roman CYR" w:cs="Times New Roman CYR"/>
          <w:color w:val="auto"/>
        </w:rPr>
        <w:t xml:space="preserve">одсистемы нормативно-справочной информации в </w:t>
      </w:r>
      <w:r w:rsidR="00961F66">
        <w:rPr>
          <w:rFonts w:ascii="Times New Roman CYR" w:hAnsi="Times New Roman CYR" w:cs="Times New Roman CYR"/>
          <w:color w:val="auto"/>
        </w:rPr>
        <w:t>подсистем</w:t>
      </w:r>
      <w:r w:rsidR="00793CE7">
        <w:rPr>
          <w:rFonts w:ascii="Times New Roman CYR" w:hAnsi="Times New Roman CYR" w:cs="Times New Roman CYR"/>
          <w:color w:val="auto"/>
        </w:rPr>
        <w:t>е</w:t>
      </w:r>
      <w:r w:rsidR="00961F66">
        <w:rPr>
          <w:rFonts w:ascii="Times New Roman CYR" w:hAnsi="Times New Roman CYR" w:cs="Times New Roman CYR"/>
          <w:color w:val="auto"/>
        </w:rPr>
        <w:t xml:space="preserve"> управления расходами (каз</w:t>
      </w:r>
      <w:r w:rsidR="00793CE7">
        <w:rPr>
          <w:rFonts w:ascii="Times New Roman CYR" w:hAnsi="Times New Roman CYR" w:cs="Times New Roman CYR"/>
          <w:color w:val="auto"/>
        </w:rPr>
        <w:t>нач</w:t>
      </w:r>
      <w:r w:rsidR="00961F66">
        <w:rPr>
          <w:rFonts w:ascii="Times New Roman CYR" w:hAnsi="Times New Roman CYR" w:cs="Times New Roman CYR"/>
          <w:color w:val="auto"/>
        </w:rPr>
        <w:t>ей</w:t>
      </w:r>
      <w:r w:rsidR="00793CE7">
        <w:rPr>
          <w:rFonts w:ascii="Times New Roman CYR" w:hAnsi="Times New Roman CYR" w:cs="Times New Roman CYR"/>
          <w:color w:val="auto"/>
        </w:rPr>
        <w:t>с</w:t>
      </w:r>
      <w:r w:rsidR="00961F66">
        <w:rPr>
          <w:rFonts w:ascii="Times New Roman CYR" w:hAnsi="Times New Roman CYR" w:cs="Times New Roman CYR"/>
          <w:color w:val="auto"/>
        </w:rPr>
        <w:t xml:space="preserve">кое сопровождение) в государственную </w:t>
      </w:r>
      <w:r w:rsidR="00961F66" w:rsidRPr="00961F66">
        <w:rPr>
          <w:rFonts w:ascii="Times New Roman CYR" w:hAnsi="Times New Roman CYR" w:cs="Times New Roman CYR"/>
          <w:color w:val="auto"/>
        </w:rPr>
        <w:t>интегрированную информационную систему управления общественными финансами</w:t>
      </w:r>
      <w:r w:rsidR="00961F66">
        <w:rPr>
          <w:rFonts w:ascii="Times New Roman CYR" w:hAnsi="Times New Roman CYR" w:cs="Times New Roman CYR"/>
          <w:color w:val="auto"/>
        </w:rPr>
        <w:t xml:space="preserve"> «</w:t>
      </w:r>
      <w:r w:rsidR="00961F66" w:rsidRPr="00961F66">
        <w:rPr>
          <w:rFonts w:ascii="Times New Roman CYR" w:hAnsi="Times New Roman CYR" w:cs="Times New Roman CYR"/>
          <w:color w:val="auto"/>
        </w:rPr>
        <w:t>Электронный бюджет</w:t>
      </w:r>
      <w:r w:rsidR="00961F66">
        <w:rPr>
          <w:rFonts w:ascii="Times New Roman CYR" w:hAnsi="Times New Roman CYR" w:cs="Times New Roman CYR"/>
          <w:color w:val="auto"/>
        </w:rPr>
        <w:t>».</w:t>
      </w:r>
    </w:p>
    <w:p w14:paraId="090A5AB0" w14:textId="28490E8E" w:rsidR="004F6E81" w:rsidRDefault="00793CE7" w:rsidP="004F6E81">
      <w:pPr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4</w:t>
      </w:r>
      <w:r w:rsidR="00E26504">
        <w:rPr>
          <w:rFonts w:ascii="Times New Roman CYR" w:hAnsi="Times New Roman CYR" w:cs="Times New Roman CYR"/>
          <w:color w:val="auto"/>
        </w:rPr>
        <w:t>4</w:t>
      </w:r>
      <w:r>
        <w:rPr>
          <w:rFonts w:ascii="Times New Roman CYR" w:hAnsi="Times New Roman CYR" w:cs="Times New Roman CYR"/>
          <w:color w:val="auto"/>
        </w:rPr>
        <w:t xml:space="preserve">. </w:t>
      </w:r>
      <w:r w:rsidRPr="00793CE7">
        <w:rPr>
          <w:rFonts w:ascii="Times New Roman CYR" w:hAnsi="Times New Roman CYR" w:cs="Times New Roman CYR"/>
          <w:color w:val="auto"/>
        </w:rPr>
        <w:t xml:space="preserve">Доработка автоматического оповещения Пользователей </w:t>
      </w:r>
      <w:r>
        <w:rPr>
          <w:rFonts w:ascii="Times New Roman CYR" w:hAnsi="Times New Roman CYR" w:cs="Times New Roman CYR"/>
          <w:color w:val="auto"/>
        </w:rPr>
        <w:t xml:space="preserve">на их </w:t>
      </w:r>
      <w:r w:rsidRPr="00793CE7">
        <w:rPr>
          <w:rFonts w:ascii="Times New Roman CYR" w:hAnsi="Times New Roman CYR" w:cs="Times New Roman CYR"/>
          <w:color w:val="auto"/>
        </w:rPr>
        <w:t>электронную почту о произведенных изменениях в справочнике «Пользователи» в системе «АЦК-Финансы»</w:t>
      </w:r>
      <w:r w:rsidR="004F6E81">
        <w:rPr>
          <w:rFonts w:ascii="Times New Roman CYR" w:hAnsi="Times New Roman CYR" w:cs="Times New Roman CYR"/>
          <w:color w:val="auto"/>
        </w:rPr>
        <w:t>.</w:t>
      </w:r>
    </w:p>
    <w:p w14:paraId="1E29935E" w14:textId="5752ED3E" w:rsidR="004F6E81" w:rsidRDefault="004F6E81" w:rsidP="006A29E8">
      <w:pPr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4</w:t>
      </w:r>
      <w:r w:rsidR="00E26504">
        <w:rPr>
          <w:rFonts w:ascii="Times New Roman CYR" w:hAnsi="Times New Roman CYR" w:cs="Times New Roman CYR"/>
          <w:color w:val="auto"/>
        </w:rPr>
        <w:t>5</w:t>
      </w:r>
      <w:r>
        <w:rPr>
          <w:rFonts w:ascii="Times New Roman CYR" w:hAnsi="Times New Roman CYR" w:cs="Times New Roman CYR"/>
          <w:color w:val="auto"/>
        </w:rPr>
        <w:t xml:space="preserve">. </w:t>
      </w:r>
      <w:r w:rsidR="006A29E8" w:rsidRPr="006A29E8">
        <w:rPr>
          <w:rFonts w:ascii="Times New Roman CYR" w:hAnsi="Times New Roman CYR" w:cs="Times New Roman CYR"/>
          <w:color w:val="auto"/>
        </w:rPr>
        <w:t>Настройка взаимодействия (обмен данными) с</w:t>
      </w:r>
      <w:r w:rsidRPr="006A29E8">
        <w:rPr>
          <w:rFonts w:ascii="Times New Roman CYR" w:hAnsi="Times New Roman CYR" w:cs="Times New Roman CYR"/>
          <w:color w:val="auto"/>
        </w:rPr>
        <w:t>истем</w:t>
      </w:r>
      <w:r w:rsidR="006A29E8" w:rsidRPr="006A29E8">
        <w:rPr>
          <w:rFonts w:ascii="Times New Roman CYR" w:hAnsi="Times New Roman CYR" w:cs="Times New Roman CYR"/>
          <w:color w:val="auto"/>
        </w:rPr>
        <w:t>ы</w:t>
      </w:r>
      <w:r w:rsidRPr="006A29E8">
        <w:rPr>
          <w:rFonts w:ascii="Times New Roman CYR" w:hAnsi="Times New Roman CYR" w:cs="Times New Roman CYR"/>
          <w:color w:val="auto"/>
        </w:rPr>
        <w:t xml:space="preserve"> «АЦК-Финансы» </w:t>
      </w:r>
      <w:r w:rsidR="006A29E8" w:rsidRPr="006A29E8">
        <w:rPr>
          <w:rFonts w:ascii="Times New Roman CYR" w:hAnsi="Times New Roman CYR" w:cs="Times New Roman CYR"/>
          <w:color w:val="auto"/>
        </w:rPr>
        <w:t xml:space="preserve">и </w:t>
      </w:r>
      <w:r w:rsidR="006A29E8">
        <w:rPr>
          <w:rFonts w:ascii="Times New Roman CYR" w:hAnsi="Times New Roman CYR" w:cs="Times New Roman CYR"/>
          <w:color w:val="auto"/>
        </w:rPr>
        <w:t xml:space="preserve">государственной </w:t>
      </w:r>
      <w:r w:rsidR="006A29E8" w:rsidRPr="00961F66">
        <w:rPr>
          <w:rFonts w:ascii="Times New Roman CYR" w:hAnsi="Times New Roman CYR" w:cs="Times New Roman CYR"/>
          <w:color w:val="auto"/>
        </w:rPr>
        <w:t>интегрированн</w:t>
      </w:r>
      <w:r w:rsidR="006A29E8">
        <w:rPr>
          <w:rFonts w:ascii="Times New Roman CYR" w:hAnsi="Times New Roman CYR" w:cs="Times New Roman CYR"/>
          <w:color w:val="auto"/>
        </w:rPr>
        <w:t>ой</w:t>
      </w:r>
      <w:r w:rsidR="006A29E8" w:rsidRPr="00961F66">
        <w:rPr>
          <w:rFonts w:ascii="Times New Roman CYR" w:hAnsi="Times New Roman CYR" w:cs="Times New Roman CYR"/>
          <w:color w:val="auto"/>
        </w:rPr>
        <w:t xml:space="preserve"> информационн</w:t>
      </w:r>
      <w:r w:rsidR="006A29E8">
        <w:rPr>
          <w:rFonts w:ascii="Times New Roman CYR" w:hAnsi="Times New Roman CYR" w:cs="Times New Roman CYR"/>
          <w:color w:val="auto"/>
        </w:rPr>
        <w:t>ой</w:t>
      </w:r>
      <w:r w:rsidR="006A29E8" w:rsidRPr="00961F66">
        <w:rPr>
          <w:rFonts w:ascii="Times New Roman CYR" w:hAnsi="Times New Roman CYR" w:cs="Times New Roman CYR"/>
          <w:color w:val="auto"/>
        </w:rPr>
        <w:t xml:space="preserve"> систем</w:t>
      </w:r>
      <w:r w:rsidR="006A29E8">
        <w:rPr>
          <w:rFonts w:ascii="Times New Roman CYR" w:hAnsi="Times New Roman CYR" w:cs="Times New Roman CYR"/>
          <w:color w:val="auto"/>
        </w:rPr>
        <w:t>ы</w:t>
      </w:r>
      <w:r w:rsidR="006A29E8" w:rsidRPr="00961F66">
        <w:rPr>
          <w:rFonts w:ascii="Times New Roman CYR" w:hAnsi="Times New Roman CYR" w:cs="Times New Roman CYR"/>
          <w:color w:val="auto"/>
        </w:rPr>
        <w:t xml:space="preserve"> управления общественными финансами</w:t>
      </w:r>
      <w:r w:rsidR="006A29E8">
        <w:rPr>
          <w:rFonts w:ascii="Times New Roman CYR" w:hAnsi="Times New Roman CYR" w:cs="Times New Roman CYR"/>
          <w:color w:val="auto"/>
        </w:rPr>
        <w:t xml:space="preserve"> «</w:t>
      </w:r>
      <w:r w:rsidR="006A29E8" w:rsidRPr="00961F66">
        <w:rPr>
          <w:rFonts w:ascii="Times New Roman CYR" w:hAnsi="Times New Roman CYR" w:cs="Times New Roman CYR"/>
          <w:color w:val="auto"/>
        </w:rPr>
        <w:t>Электронный бюджет</w:t>
      </w:r>
      <w:r w:rsidR="006A29E8">
        <w:rPr>
          <w:rFonts w:ascii="Times New Roman CYR" w:hAnsi="Times New Roman CYR" w:cs="Times New Roman CYR"/>
          <w:color w:val="auto"/>
        </w:rPr>
        <w:t>».</w:t>
      </w:r>
    </w:p>
    <w:p w14:paraId="4D038843" w14:textId="1CDA8B49" w:rsidR="004F6E81" w:rsidRDefault="004F6E81" w:rsidP="004F6E81">
      <w:pPr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>4</w:t>
      </w:r>
      <w:r w:rsidR="00E26504">
        <w:rPr>
          <w:rFonts w:ascii="Times New Roman CYR" w:hAnsi="Times New Roman CYR" w:cs="Times New Roman CYR"/>
          <w:color w:val="auto"/>
        </w:rPr>
        <w:t>6</w:t>
      </w:r>
      <w:r>
        <w:rPr>
          <w:rFonts w:ascii="Times New Roman CYR" w:hAnsi="Times New Roman CYR" w:cs="Times New Roman CYR"/>
          <w:color w:val="auto"/>
        </w:rPr>
        <w:t xml:space="preserve">. Настройка синхронизации данных из сводного реестра участников и неучастников бюджетного процесса в подсистему «Бюджетное планирование» в государственной </w:t>
      </w:r>
      <w:r w:rsidRPr="00961F66">
        <w:rPr>
          <w:rFonts w:ascii="Times New Roman CYR" w:hAnsi="Times New Roman CYR" w:cs="Times New Roman CYR"/>
          <w:color w:val="auto"/>
        </w:rPr>
        <w:t>интегрированн</w:t>
      </w:r>
      <w:r>
        <w:rPr>
          <w:rFonts w:ascii="Times New Roman CYR" w:hAnsi="Times New Roman CYR" w:cs="Times New Roman CYR"/>
          <w:color w:val="auto"/>
        </w:rPr>
        <w:t>ой</w:t>
      </w:r>
      <w:r w:rsidRPr="00961F66">
        <w:rPr>
          <w:rFonts w:ascii="Times New Roman CYR" w:hAnsi="Times New Roman CYR" w:cs="Times New Roman CYR"/>
          <w:color w:val="auto"/>
        </w:rPr>
        <w:t xml:space="preserve"> информационн</w:t>
      </w:r>
      <w:r>
        <w:rPr>
          <w:rFonts w:ascii="Times New Roman CYR" w:hAnsi="Times New Roman CYR" w:cs="Times New Roman CYR"/>
          <w:color w:val="auto"/>
        </w:rPr>
        <w:t>ой</w:t>
      </w:r>
      <w:r w:rsidRPr="00961F66">
        <w:rPr>
          <w:rFonts w:ascii="Times New Roman CYR" w:hAnsi="Times New Roman CYR" w:cs="Times New Roman CYR"/>
          <w:color w:val="auto"/>
        </w:rPr>
        <w:t xml:space="preserve"> систем</w:t>
      </w:r>
      <w:r>
        <w:rPr>
          <w:rFonts w:ascii="Times New Roman CYR" w:hAnsi="Times New Roman CYR" w:cs="Times New Roman CYR"/>
          <w:color w:val="auto"/>
        </w:rPr>
        <w:t>ы</w:t>
      </w:r>
      <w:r w:rsidRPr="00961F66">
        <w:rPr>
          <w:rFonts w:ascii="Times New Roman CYR" w:hAnsi="Times New Roman CYR" w:cs="Times New Roman CYR"/>
          <w:color w:val="auto"/>
        </w:rPr>
        <w:t xml:space="preserve"> управления общественными финансами</w:t>
      </w:r>
      <w:r>
        <w:rPr>
          <w:rFonts w:ascii="Times New Roman CYR" w:hAnsi="Times New Roman CYR" w:cs="Times New Roman CYR"/>
          <w:color w:val="auto"/>
        </w:rPr>
        <w:t xml:space="preserve"> «</w:t>
      </w:r>
      <w:r w:rsidRPr="00961F66">
        <w:rPr>
          <w:rFonts w:ascii="Times New Roman CYR" w:hAnsi="Times New Roman CYR" w:cs="Times New Roman CYR"/>
          <w:color w:val="auto"/>
        </w:rPr>
        <w:t>Электронный бюджет</w:t>
      </w:r>
      <w:r>
        <w:rPr>
          <w:rFonts w:ascii="Times New Roman CYR" w:hAnsi="Times New Roman CYR" w:cs="Times New Roman CYR"/>
          <w:color w:val="auto"/>
        </w:rPr>
        <w:t>».</w:t>
      </w:r>
    </w:p>
    <w:p w14:paraId="4F760A78" w14:textId="37E3327C" w:rsidR="004473E9" w:rsidRPr="004473E9" w:rsidRDefault="00157218" w:rsidP="004F6E81">
      <w:pPr>
        <w:rPr>
          <w:color w:val="auto"/>
        </w:rPr>
      </w:pPr>
      <w:r>
        <w:rPr>
          <w:color w:val="auto"/>
        </w:rPr>
        <w:t>4</w:t>
      </w:r>
      <w:r w:rsidR="00E26504">
        <w:rPr>
          <w:color w:val="auto"/>
        </w:rPr>
        <w:t>7</w:t>
      </w:r>
      <w:r w:rsidR="00010F8F" w:rsidRPr="004473E9">
        <w:rPr>
          <w:color w:val="auto"/>
        </w:rPr>
        <w:t xml:space="preserve">. </w:t>
      </w:r>
      <w:r w:rsidR="004473E9" w:rsidRPr="004473E9">
        <w:rPr>
          <w:color w:val="auto"/>
        </w:rPr>
        <w:t>Р</w:t>
      </w:r>
      <w:r w:rsidR="004473E9" w:rsidRPr="004473E9">
        <w:rPr>
          <w:color w:val="auto"/>
          <w:shd w:val="clear" w:color="auto" w:fill="FFFFFF"/>
        </w:rPr>
        <w:t>азвертывание</w:t>
      </w:r>
      <w:r w:rsidR="00997CA7">
        <w:rPr>
          <w:color w:val="auto"/>
          <w:shd w:val="clear" w:color="auto" w:fill="FFFFFF"/>
        </w:rPr>
        <w:t xml:space="preserve"> </w:t>
      </w:r>
      <w:r w:rsidR="004473E9" w:rsidRPr="004473E9">
        <w:rPr>
          <w:color w:val="auto"/>
          <w:shd w:val="clear" w:color="auto" w:fill="FFFFFF"/>
        </w:rPr>
        <w:t>сервера администрирования</w:t>
      </w:r>
      <w:r w:rsidR="00997CA7">
        <w:rPr>
          <w:color w:val="auto"/>
          <w:shd w:val="clear" w:color="auto" w:fill="FFFFFF"/>
        </w:rPr>
        <w:t xml:space="preserve"> </w:t>
      </w:r>
      <w:proofErr w:type="spellStart"/>
      <w:r w:rsidR="004473E9" w:rsidRPr="004473E9">
        <w:rPr>
          <w:color w:val="auto"/>
          <w:shd w:val="clear" w:color="auto" w:fill="FFFFFF"/>
        </w:rPr>
        <w:t>Kaspersky</w:t>
      </w:r>
      <w:proofErr w:type="spellEnd"/>
      <w:r w:rsidR="004473E9" w:rsidRPr="004473E9">
        <w:rPr>
          <w:color w:val="auto"/>
          <w:shd w:val="clear" w:color="auto" w:fill="FFFFFF"/>
        </w:rPr>
        <w:t xml:space="preserve"> </w:t>
      </w:r>
      <w:proofErr w:type="spellStart"/>
      <w:r w:rsidR="004473E9" w:rsidRPr="004473E9">
        <w:rPr>
          <w:color w:val="auto"/>
          <w:shd w:val="clear" w:color="auto" w:fill="FFFFFF"/>
        </w:rPr>
        <w:t>Security</w:t>
      </w:r>
      <w:proofErr w:type="spellEnd"/>
      <w:r w:rsidR="004473E9" w:rsidRPr="004473E9">
        <w:rPr>
          <w:color w:val="auto"/>
          <w:shd w:val="clear" w:color="auto" w:fill="FFFFFF"/>
        </w:rPr>
        <w:t xml:space="preserve"> </w:t>
      </w:r>
      <w:proofErr w:type="spellStart"/>
      <w:r w:rsidR="004473E9" w:rsidRPr="004473E9">
        <w:rPr>
          <w:color w:val="auto"/>
          <w:shd w:val="clear" w:color="auto" w:fill="FFFFFF"/>
        </w:rPr>
        <w:t>Cente</w:t>
      </w:r>
      <w:proofErr w:type="spellEnd"/>
      <w:r w:rsidR="004473E9" w:rsidRPr="004473E9">
        <w:rPr>
          <w:color w:val="auto"/>
          <w:shd w:val="clear" w:color="auto" w:fill="FFFFFF"/>
          <w:lang w:val="en-US"/>
        </w:rPr>
        <w:t>r</w:t>
      </w:r>
      <w:r w:rsidR="004473E9" w:rsidRPr="004473E9">
        <w:rPr>
          <w:color w:val="auto"/>
          <w:shd w:val="clear" w:color="auto" w:fill="FFFFFF"/>
        </w:rPr>
        <w:t xml:space="preserve">. </w:t>
      </w:r>
      <w:r w:rsidR="004473E9">
        <w:rPr>
          <w:color w:val="auto"/>
          <w:shd w:val="clear" w:color="auto" w:fill="FFFFFF"/>
        </w:rPr>
        <w:t>Установка</w:t>
      </w:r>
      <w:r w:rsidR="004473E9" w:rsidRPr="004473E9">
        <w:rPr>
          <w:color w:val="auto"/>
          <w:shd w:val="clear" w:color="auto" w:fill="FFFFFF"/>
        </w:rPr>
        <w:t xml:space="preserve"> программ безопасности "Лаборатории Касперского" на клиентских устройствах</w:t>
      </w:r>
      <w:r w:rsidR="004473E9">
        <w:rPr>
          <w:color w:val="auto"/>
        </w:rPr>
        <w:t>.</w:t>
      </w:r>
    </w:p>
    <w:p w14:paraId="7E7C78B4" w14:textId="66D32332" w:rsidR="00BA5ACE" w:rsidRPr="007074CC" w:rsidRDefault="00F31787" w:rsidP="000B3732">
      <w:pPr>
        <w:ind w:firstLine="708"/>
        <w:rPr>
          <w:color w:val="auto"/>
          <w:lang w:eastAsia="ru-RU"/>
        </w:rPr>
      </w:pPr>
      <w:r>
        <w:rPr>
          <w:color w:val="auto"/>
        </w:rPr>
        <w:t>4</w:t>
      </w:r>
      <w:r w:rsidR="00E26504">
        <w:rPr>
          <w:color w:val="auto"/>
        </w:rPr>
        <w:t>8</w:t>
      </w:r>
      <w:r w:rsidR="00BA5ACE" w:rsidRPr="007074CC">
        <w:rPr>
          <w:color w:val="auto"/>
        </w:rPr>
        <w:t xml:space="preserve">. </w:t>
      </w:r>
      <w:r w:rsidR="007074CC" w:rsidRPr="007074CC">
        <w:rPr>
          <w:color w:val="auto"/>
        </w:rPr>
        <w:t>А</w:t>
      </w:r>
      <w:r w:rsidR="00BA5ACE" w:rsidRPr="007074CC">
        <w:rPr>
          <w:color w:val="auto"/>
        </w:rPr>
        <w:t>втоматическое обно</w:t>
      </w:r>
      <w:r w:rsidR="006B6C69">
        <w:rPr>
          <w:color w:val="auto"/>
        </w:rPr>
        <w:t xml:space="preserve">вление Государственного адресного реестра ФНС России для подсистем Учет и отчетность и Управление оплатой труда </w:t>
      </w:r>
      <w:r w:rsidR="00B13A04">
        <w:rPr>
          <w:color w:val="auto"/>
        </w:rPr>
        <w:t>через менеджера</w:t>
      </w:r>
      <w:r w:rsidR="00E70B22">
        <w:rPr>
          <w:color w:val="auto"/>
        </w:rPr>
        <w:t xml:space="preserve"> сервиса</w:t>
      </w:r>
      <w:r w:rsidR="00BA5ACE" w:rsidRPr="007074CC">
        <w:rPr>
          <w:color w:val="auto"/>
        </w:rPr>
        <w:t xml:space="preserve">. </w:t>
      </w:r>
    </w:p>
    <w:p w14:paraId="082F8CCD" w14:textId="5BAAB1B0" w:rsidR="000C1C7B" w:rsidRDefault="00E26504" w:rsidP="006D25F9">
      <w:pPr>
        <w:rPr>
          <w:color w:val="auto"/>
          <w:lang w:eastAsia="ru-RU"/>
        </w:rPr>
      </w:pPr>
      <w:r>
        <w:rPr>
          <w:color w:val="auto"/>
          <w:lang w:eastAsia="ru-RU"/>
        </w:rPr>
        <w:t>49</w:t>
      </w:r>
      <w:r w:rsidR="006B6C69" w:rsidRPr="006B6C69">
        <w:rPr>
          <w:color w:val="auto"/>
          <w:lang w:eastAsia="ru-RU"/>
        </w:rPr>
        <w:t>.</w:t>
      </w:r>
      <w:r w:rsidR="006B6C69">
        <w:rPr>
          <w:color w:val="auto"/>
          <w:lang w:eastAsia="ru-RU"/>
        </w:rPr>
        <w:t xml:space="preserve">  </w:t>
      </w:r>
      <w:r w:rsidR="006D25F9">
        <w:rPr>
          <w:color w:val="auto"/>
          <w:lang w:eastAsia="ru-RU"/>
        </w:rPr>
        <w:t>Развертывание сервера для подсистемы Управление оплатой труда</w:t>
      </w:r>
      <w:r w:rsidR="00AF3400">
        <w:rPr>
          <w:color w:val="auto"/>
          <w:lang w:eastAsia="ru-RU"/>
        </w:rPr>
        <w:t>.</w:t>
      </w:r>
      <w:r w:rsidR="006D25F9">
        <w:rPr>
          <w:color w:val="auto"/>
          <w:lang w:eastAsia="ru-RU"/>
        </w:rPr>
        <w:t xml:space="preserve"> </w:t>
      </w:r>
    </w:p>
    <w:p w14:paraId="208D55A9" w14:textId="521DBC55" w:rsidR="00356162" w:rsidRPr="00356162" w:rsidRDefault="00356162" w:rsidP="00356162">
      <w:pPr>
        <w:rPr>
          <w:color w:val="auto"/>
          <w:lang w:eastAsia="ru-RU"/>
        </w:rPr>
      </w:pPr>
      <w:r>
        <w:rPr>
          <w:color w:val="auto"/>
          <w:lang w:eastAsia="ru-RU"/>
        </w:rPr>
        <w:t>5</w:t>
      </w:r>
      <w:r w:rsidR="00E26504">
        <w:rPr>
          <w:color w:val="auto"/>
          <w:lang w:eastAsia="ru-RU"/>
        </w:rPr>
        <w:t>0</w:t>
      </w:r>
      <w:r>
        <w:rPr>
          <w:color w:val="auto"/>
          <w:lang w:eastAsia="ru-RU"/>
        </w:rPr>
        <w:t xml:space="preserve">. </w:t>
      </w:r>
      <w:r w:rsidRPr="00356162">
        <w:rPr>
          <w:color w:val="auto"/>
          <w:lang w:eastAsia="ru-RU"/>
        </w:rPr>
        <w:t>В рамках требования законодательства, связанных с движением товаров, подлежащих обязательной маркировке, реализация интеграции Больничная аптека с Государственной информационной систем</w:t>
      </w:r>
      <w:r>
        <w:rPr>
          <w:color w:val="auto"/>
          <w:lang w:eastAsia="ru-RU"/>
        </w:rPr>
        <w:t>ой</w:t>
      </w:r>
      <w:r w:rsidRPr="00356162">
        <w:rPr>
          <w:color w:val="auto"/>
          <w:lang w:eastAsia="ru-RU"/>
        </w:rPr>
        <w:t xml:space="preserve"> маркировки товаров (ГИС МТ)</w:t>
      </w:r>
      <w:r>
        <w:rPr>
          <w:color w:val="auto"/>
          <w:lang w:eastAsia="ru-RU"/>
        </w:rPr>
        <w:t>.</w:t>
      </w:r>
    </w:p>
    <w:p w14:paraId="06735915" w14:textId="374A20DC" w:rsidR="00356162" w:rsidRPr="00356162" w:rsidRDefault="00356162" w:rsidP="006D25F9">
      <w:pPr>
        <w:rPr>
          <w:color w:val="auto"/>
          <w:lang w:eastAsia="ru-RU"/>
        </w:rPr>
      </w:pPr>
    </w:p>
    <w:p w14:paraId="23394E3F" w14:textId="77777777" w:rsidR="005540F5" w:rsidRPr="00356162" w:rsidRDefault="005540F5" w:rsidP="00356162">
      <w:pPr>
        <w:rPr>
          <w:color w:val="auto"/>
          <w:lang w:eastAsia="ru-RU"/>
        </w:rPr>
      </w:pPr>
    </w:p>
    <w:sectPr w:rsidR="005540F5" w:rsidRPr="00356162" w:rsidSect="00717083">
      <w:type w:val="continuous"/>
      <w:pgSz w:w="11906" w:h="16838"/>
      <w:pgMar w:top="1134" w:right="851" w:bottom="1134" w:left="1134" w:header="708" w:footer="708" w:gutter="0"/>
      <w:pgBorders w:offsetFrom="page">
        <w:top w:val="thickThinMediumGap" w:sz="24" w:space="24" w:color="568D11" w:themeColor="accent3" w:themeShade="80"/>
        <w:left w:val="thickThinMediumGap" w:sz="24" w:space="24" w:color="568D11" w:themeColor="accent3" w:themeShade="80"/>
        <w:bottom w:val="thickThinMediumGap" w:sz="24" w:space="24" w:color="568D11" w:themeColor="accent3" w:themeShade="80"/>
        <w:right w:val="thickThinMediumGap" w:sz="24" w:space="24" w:color="568D11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99B1D" w14:textId="77777777" w:rsidR="00AF524E" w:rsidRDefault="00AF524E">
      <w:r>
        <w:separator/>
      </w:r>
    </w:p>
  </w:endnote>
  <w:endnote w:type="continuationSeparator" w:id="0">
    <w:p w14:paraId="25E9655A" w14:textId="77777777" w:rsidR="00AF524E" w:rsidRDefault="00AF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505AA" w14:textId="77777777" w:rsidR="00AF524E" w:rsidRDefault="00AF524E">
      <w:r>
        <w:separator/>
      </w:r>
    </w:p>
  </w:footnote>
  <w:footnote w:type="continuationSeparator" w:id="0">
    <w:p w14:paraId="02BBE559" w14:textId="77777777" w:rsidR="00AF524E" w:rsidRDefault="00AF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192312"/>
    </w:sdtPr>
    <w:sdtContent>
      <w:p w14:paraId="48F7BF15" w14:textId="743BE75B" w:rsidR="00AF524E" w:rsidRDefault="00AF52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011">
          <w:rPr>
            <w:noProof/>
          </w:rPr>
          <w:t>61</w:t>
        </w:r>
        <w:r>
          <w:fldChar w:fldCharType="end"/>
        </w:r>
      </w:p>
    </w:sdtContent>
  </w:sdt>
  <w:p w14:paraId="636A66F6" w14:textId="77777777" w:rsidR="00AF524E" w:rsidRDefault="00AF52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D"/>
    <w:multiLevelType w:val="hybridMultilevel"/>
    <w:tmpl w:val="64767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C36DE4"/>
    <w:multiLevelType w:val="hybridMultilevel"/>
    <w:tmpl w:val="1E3C39FA"/>
    <w:lvl w:ilvl="0" w:tplc="679E86E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473D"/>
    <w:multiLevelType w:val="hybridMultilevel"/>
    <w:tmpl w:val="AFE4526A"/>
    <w:lvl w:ilvl="0" w:tplc="13B208C4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492D43"/>
    <w:multiLevelType w:val="hybridMultilevel"/>
    <w:tmpl w:val="5CE0980C"/>
    <w:lvl w:ilvl="0" w:tplc="3C9480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37C31ED"/>
    <w:multiLevelType w:val="hybridMultilevel"/>
    <w:tmpl w:val="DDB64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670E28"/>
    <w:multiLevelType w:val="multilevel"/>
    <w:tmpl w:val="18D4F55A"/>
    <w:lvl w:ilvl="0">
      <w:start w:val="1"/>
      <w:numFmt w:val="decimal"/>
      <w:pStyle w:val="10"/>
      <w:lvlText w:val="%1."/>
      <w:lvlJc w:val="left"/>
      <w:pPr>
        <w:ind w:left="1284" w:hanging="432"/>
      </w:pPr>
      <w:rPr>
        <w:rFonts w:hint="default"/>
        <w:color w:val="568D11" w:themeColor="accent3" w:themeShade="80"/>
      </w:rPr>
    </w:lvl>
    <w:lvl w:ilvl="1">
      <w:start w:val="1"/>
      <w:numFmt w:val="decimal"/>
      <w:lvlRestart w:val="0"/>
      <w:pStyle w:val="2"/>
      <w:lvlText w:val="%2."/>
      <w:lvlJc w:val="left"/>
      <w:pPr>
        <w:ind w:left="-3392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-3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1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84" w:hanging="1584"/>
      </w:pPr>
      <w:rPr>
        <w:rFonts w:hint="default"/>
      </w:rPr>
    </w:lvl>
  </w:abstractNum>
  <w:abstractNum w:abstractNumId="6" w15:restartNumberingAfterBreak="0">
    <w:nsid w:val="67365A67"/>
    <w:multiLevelType w:val="hybridMultilevel"/>
    <w:tmpl w:val="C57C97F2"/>
    <w:lvl w:ilvl="0" w:tplc="A1C0A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3853DB"/>
    <w:multiLevelType w:val="hybridMultilevel"/>
    <w:tmpl w:val="D2C6A000"/>
    <w:lvl w:ilvl="0" w:tplc="441A1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0B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4E8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84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889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324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308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A8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8D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9D25AF6"/>
    <w:multiLevelType w:val="multilevel"/>
    <w:tmpl w:val="B71E7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98244D"/>
    <w:multiLevelType w:val="hybridMultilevel"/>
    <w:tmpl w:val="4D32D7D8"/>
    <w:lvl w:ilvl="0" w:tplc="18640D5E">
      <w:start w:val="1"/>
      <w:numFmt w:val="bullet"/>
      <w:pStyle w:val="a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F9D37A3"/>
    <w:multiLevelType w:val="hybridMultilevel"/>
    <w:tmpl w:val="F53A5282"/>
    <w:lvl w:ilvl="0" w:tplc="679E8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CE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766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8C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40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20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22A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64E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64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55C1356"/>
    <w:multiLevelType w:val="hybridMultilevel"/>
    <w:tmpl w:val="20082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2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  <w:num w:numId="13">
    <w:abstractNumId w:val="6"/>
  </w:num>
  <w:num w:numId="14">
    <w:abstractNumId w:val="9"/>
  </w:num>
  <w:num w:numId="15">
    <w:abstractNumId w:val="4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9"/>
  </w:num>
  <w:num w:numId="31">
    <w:abstractNumId w:val="8"/>
  </w:num>
  <w:num w:numId="32">
    <w:abstractNumId w:val="9"/>
  </w:num>
  <w:num w:numId="33">
    <w:abstractNumId w:val="9"/>
  </w:num>
  <w:num w:numId="3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61"/>
    <w:rsid w:val="000024E6"/>
    <w:rsid w:val="00003B69"/>
    <w:rsid w:val="000061E8"/>
    <w:rsid w:val="00007F93"/>
    <w:rsid w:val="00010F8F"/>
    <w:rsid w:val="00011253"/>
    <w:rsid w:val="000118A0"/>
    <w:rsid w:val="00013565"/>
    <w:rsid w:val="00013BDE"/>
    <w:rsid w:val="00014125"/>
    <w:rsid w:val="0001480D"/>
    <w:rsid w:val="00021A4D"/>
    <w:rsid w:val="00021AD6"/>
    <w:rsid w:val="0002307F"/>
    <w:rsid w:val="000252C1"/>
    <w:rsid w:val="0002532A"/>
    <w:rsid w:val="00030385"/>
    <w:rsid w:val="00030F2D"/>
    <w:rsid w:val="00032019"/>
    <w:rsid w:val="00034CD9"/>
    <w:rsid w:val="0003664C"/>
    <w:rsid w:val="00036662"/>
    <w:rsid w:val="0003797D"/>
    <w:rsid w:val="0004000B"/>
    <w:rsid w:val="000405CC"/>
    <w:rsid w:val="000409D4"/>
    <w:rsid w:val="00040E96"/>
    <w:rsid w:val="00041A85"/>
    <w:rsid w:val="00044858"/>
    <w:rsid w:val="00055DF8"/>
    <w:rsid w:val="000602B5"/>
    <w:rsid w:val="000603C4"/>
    <w:rsid w:val="0006050A"/>
    <w:rsid w:val="00062F19"/>
    <w:rsid w:val="00064E4F"/>
    <w:rsid w:val="00064EF0"/>
    <w:rsid w:val="000652E7"/>
    <w:rsid w:val="000703AC"/>
    <w:rsid w:val="00070DE1"/>
    <w:rsid w:val="000734D9"/>
    <w:rsid w:val="000755B0"/>
    <w:rsid w:val="00075E2D"/>
    <w:rsid w:val="000766D9"/>
    <w:rsid w:val="00076B0E"/>
    <w:rsid w:val="0008072D"/>
    <w:rsid w:val="000817C2"/>
    <w:rsid w:val="0008218C"/>
    <w:rsid w:val="00084D6E"/>
    <w:rsid w:val="0008799B"/>
    <w:rsid w:val="00087D52"/>
    <w:rsid w:val="00090CEC"/>
    <w:rsid w:val="00093297"/>
    <w:rsid w:val="00094215"/>
    <w:rsid w:val="00096ED8"/>
    <w:rsid w:val="000A1F44"/>
    <w:rsid w:val="000A2162"/>
    <w:rsid w:val="000A5338"/>
    <w:rsid w:val="000A5415"/>
    <w:rsid w:val="000A7B9D"/>
    <w:rsid w:val="000B0406"/>
    <w:rsid w:val="000B0844"/>
    <w:rsid w:val="000B3732"/>
    <w:rsid w:val="000B3EF2"/>
    <w:rsid w:val="000B4D71"/>
    <w:rsid w:val="000B6ED4"/>
    <w:rsid w:val="000C03D2"/>
    <w:rsid w:val="000C0DCC"/>
    <w:rsid w:val="000C1C7B"/>
    <w:rsid w:val="000C2C42"/>
    <w:rsid w:val="000C70FC"/>
    <w:rsid w:val="000C726A"/>
    <w:rsid w:val="000C770D"/>
    <w:rsid w:val="000D00DD"/>
    <w:rsid w:val="000D2467"/>
    <w:rsid w:val="000D2C7B"/>
    <w:rsid w:val="000D5D02"/>
    <w:rsid w:val="000D6F25"/>
    <w:rsid w:val="000D7822"/>
    <w:rsid w:val="000D7D68"/>
    <w:rsid w:val="000E0705"/>
    <w:rsid w:val="000E1A87"/>
    <w:rsid w:val="000E38E3"/>
    <w:rsid w:val="000E3F31"/>
    <w:rsid w:val="000E43AF"/>
    <w:rsid w:val="000E7FB8"/>
    <w:rsid w:val="000F1834"/>
    <w:rsid w:val="000F1DB0"/>
    <w:rsid w:val="000F3548"/>
    <w:rsid w:val="000F3760"/>
    <w:rsid w:val="000F5201"/>
    <w:rsid w:val="000F6980"/>
    <w:rsid w:val="000F72A7"/>
    <w:rsid w:val="000F7D97"/>
    <w:rsid w:val="000F7EBE"/>
    <w:rsid w:val="00100A1E"/>
    <w:rsid w:val="00103E7C"/>
    <w:rsid w:val="00105602"/>
    <w:rsid w:val="00105AB1"/>
    <w:rsid w:val="00105C4A"/>
    <w:rsid w:val="0010667A"/>
    <w:rsid w:val="001076A9"/>
    <w:rsid w:val="00107A4E"/>
    <w:rsid w:val="00107F0F"/>
    <w:rsid w:val="00111AA1"/>
    <w:rsid w:val="00111CE8"/>
    <w:rsid w:val="00113BFA"/>
    <w:rsid w:val="00114FA2"/>
    <w:rsid w:val="00115041"/>
    <w:rsid w:val="00116DCB"/>
    <w:rsid w:val="0012006B"/>
    <w:rsid w:val="001209FE"/>
    <w:rsid w:val="001246E0"/>
    <w:rsid w:val="001269EC"/>
    <w:rsid w:val="00126A2A"/>
    <w:rsid w:val="00127A77"/>
    <w:rsid w:val="001313F5"/>
    <w:rsid w:val="0013140B"/>
    <w:rsid w:val="001327A7"/>
    <w:rsid w:val="00133195"/>
    <w:rsid w:val="001332E9"/>
    <w:rsid w:val="00133486"/>
    <w:rsid w:val="00133E0F"/>
    <w:rsid w:val="00134C4E"/>
    <w:rsid w:val="00140050"/>
    <w:rsid w:val="00142900"/>
    <w:rsid w:val="001433DE"/>
    <w:rsid w:val="00143E70"/>
    <w:rsid w:val="00144A85"/>
    <w:rsid w:val="00144BCF"/>
    <w:rsid w:val="00145ECE"/>
    <w:rsid w:val="00146CC5"/>
    <w:rsid w:val="00150757"/>
    <w:rsid w:val="0015079A"/>
    <w:rsid w:val="00152983"/>
    <w:rsid w:val="00154379"/>
    <w:rsid w:val="00156881"/>
    <w:rsid w:val="00157218"/>
    <w:rsid w:val="001621EF"/>
    <w:rsid w:val="00162A16"/>
    <w:rsid w:val="00163BF0"/>
    <w:rsid w:val="001662C3"/>
    <w:rsid w:val="00167B91"/>
    <w:rsid w:val="00172432"/>
    <w:rsid w:val="00172986"/>
    <w:rsid w:val="00174822"/>
    <w:rsid w:val="00174A39"/>
    <w:rsid w:val="00181C7F"/>
    <w:rsid w:val="001829C1"/>
    <w:rsid w:val="001851BE"/>
    <w:rsid w:val="001923FE"/>
    <w:rsid w:val="00194BC0"/>
    <w:rsid w:val="00195317"/>
    <w:rsid w:val="00195E61"/>
    <w:rsid w:val="001979D0"/>
    <w:rsid w:val="001A560D"/>
    <w:rsid w:val="001A56F8"/>
    <w:rsid w:val="001A7139"/>
    <w:rsid w:val="001B0886"/>
    <w:rsid w:val="001B1534"/>
    <w:rsid w:val="001B1CDB"/>
    <w:rsid w:val="001B2BA1"/>
    <w:rsid w:val="001B49AF"/>
    <w:rsid w:val="001B69A7"/>
    <w:rsid w:val="001B73D6"/>
    <w:rsid w:val="001B7B52"/>
    <w:rsid w:val="001C25E0"/>
    <w:rsid w:val="001C6791"/>
    <w:rsid w:val="001C68BF"/>
    <w:rsid w:val="001D2580"/>
    <w:rsid w:val="001D2950"/>
    <w:rsid w:val="001D41BF"/>
    <w:rsid w:val="001D5813"/>
    <w:rsid w:val="001D6D53"/>
    <w:rsid w:val="001D7C0B"/>
    <w:rsid w:val="001E062E"/>
    <w:rsid w:val="001E2242"/>
    <w:rsid w:val="001E2EB3"/>
    <w:rsid w:val="001E40F3"/>
    <w:rsid w:val="001F14BB"/>
    <w:rsid w:val="001F1BE9"/>
    <w:rsid w:val="001F1DD2"/>
    <w:rsid w:val="001F51D4"/>
    <w:rsid w:val="001F5C29"/>
    <w:rsid w:val="00200178"/>
    <w:rsid w:val="0020074C"/>
    <w:rsid w:val="00201379"/>
    <w:rsid w:val="00201E00"/>
    <w:rsid w:val="00201EF8"/>
    <w:rsid w:val="002032B4"/>
    <w:rsid w:val="00203429"/>
    <w:rsid w:val="002064F9"/>
    <w:rsid w:val="002114AB"/>
    <w:rsid w:val="002134BF"/>
    <w:rsid w:val="00214508"/>
    <w:rsid w:val="00214752"/>
    <w:rsid w:val="00214A8F"/>
    <w:rsid w:val="00214E51"/>
    <w:rsid w:val="00216892"/>
    <w:rsid w:val="00216D72"/>
    <w:rsid w:val="0022093A"/>
    <w:rsid w:val="00221640"/>
    <w:rsid w:val="002225FA"/>
    <w:rsid w:val="0022270D"/>
    <w:rsid w:val="002252F1"/>
    <w:rsid w:val="00227775"/>
    <w:rsid w:val="0023125A"/>
    <w:rsid w:val="00232561"/>
    <w:rsid w:val="002344F5"/>
    <w:rsid w:val="00235783"/>
    <w:rsid w:val="00235E90"/>
    <w:rsid w:val="002363D5"/>
    <w:rsid w:val="00237A48"/>
    <w:rsid w:val="00241148"/>
    <w:rsid w:val="0024139C"/>
    <w:rsid w:val="00241606"/>
    <w:rsid w:val="002433B4"/>
    <w:rsid w:val="002436ED"/>
    <w:rsid w:val="00244952"/>
    <w:rsid w:val="00246ADC"/>
    <w:rsid w:val="00252587"/>
    <w:rsid w:val="00252BEE"/>
    <w:rsid w:val="002566E0"/>
    <w:rsid w:val="0026055D"/>
    <w:rsid w:val="0026167E"/>
    <w:rsid w:val="002649A8"/>
    <w:rsid w:val="00270616"/>
    <w:rsid w:val="00270890"/>
    <w:rsid w:val="002711B6"/>
    <w:rsid w:val="00271A01"/>
    <w:rsid w:val="002724E6"/>
    <w:rsid w:val="00272DF6"/>
    <w:rsid w:val="00274422"/>
    <w:rsid w:val="0027553F"/>
    <w:rsid w:val="00283AA7"/>
    <w:rsid w:val="00286BD6"/>
    <w:rsid w:val="00291D21"/>
    <w:rsid w:val="002922CE"/>
    <w:rsid w:val="002927DB"/>
    <w:rsid w:val="00292C48"/>
    <w:rsid w:val="00294442"/>
    <w:rsid w:val="00295C4D"/>
    <w:rsid w:val="0029748A"/>
    <w:rsid w:val="002A20EC"/>
    <w:rsid w:val="002A2289"/>
    <w:rsid w:val="002A2AA5"/>
    <w:rsid w:val="002A709E"/>
    <w:rsid w:val="002A71D5"/>
    <w:rsid w:val="002A725A"/>
    <w:rsid w:val="002B01B7"/>
    <w:rsid w:val="002B3ABD"/>
    <w:rsid w:val="002B449F"/>
    <w:rsid w:val="002B4B98"/>
    <w:rsid w:val="002B5BB5"/>
    <w:rsid w:val="002C0947"/>
    <w:rsid w:val="002C1D47"/>
    <w:rsid w:val="002C24EA"/>
    <w:rsid w:val="002C30EB"/>
    <w:rsid w:val="002C5489"/>
    <w:rsid w:val="002C664E"/>
    <w:rsid w:val="002D1A9E"/>
    <w:rsid w:val="002D3C28"/>
    <w:rsid w:val="002D576D"/>
    <w:rsid w:val="002D6041"/>
    <w:rsid w:val="002D72B4"/>
    <w:rsid w:val="002D7DB3"/>
    <w:rsid w:val="002E0D37"/>
    <w:rsid w:val="002E2883"/>
    <w:rsid w:val="002E4211"/>
    <w:rsid w:val="002E4CF1"/>
    <w:rsid w:val="002E58C6"/>
    <w:rsid w:val="002E6A75"/>
    <w:rsid w:val="002F00C2"/>
    <w:rsid w:val="002F0CD8"/>
    <w:rsid w:val="002F2B74"/>
    <w:rsid w:val="002F4887"/>
    <w:rsid w:val="002F6426"/>
    <w:rsid w:val="00300294"/>
    <w:rsid w:val="0030193C"/>
    <w:rsid w:val="00301C07"/>
    <w:rsid w:val="00302DFE"/>
    <w:rsid w:val="003069E7"/>
    <w:rsid w:val="00307372"/>
    <w:rsid w:val="00307DF7"/>
    <w:rsid w:val="00310142"/>
    <w:rsid w:val="003109FF"/>
    <w:rsid w:val="003120DC"/>
    <w:rsid w:val="00312D50"/>
    <w:rsid w:val="00315313"/>
    <w:rsid w:val="00315A57"/>
    <w:rsid w:val="003160D0"/>
    <w:rsid w:val="00316127"/>
    <w:rsid w:val="00316216"/>
    <w:rsid w:val="00317822"/>
    <w:rsid w:val="00323EBA"/>
    <w:rsid w:val="003261B0"/>
    <w:rsid w:val="003270E8"/>
    <w:rsid w:val="00327D0F"/>
    <w:rsid w:val="003314AD"/>
    <w:rsid w:val="0033161C"/>
    <w:rsid w:val="00333C74"/>
    <w:rsid w:val="0033602F"/>
    <w:rsid w:val="00336714"/>
    <w:rsid w:val="003400BF"/>
    <w:rsid w:val="00340ECF"/>
    <w:rsid w:val="00342013"/>
    <w:rsid w:val="00342389"/>
    <w:rsid w:val="0034248E"/>
    <w:rsid w:val="00342AB3"/>
    <w:rsid w:val="0034315A"/>
    <w:rsid w:val="00344769"/>
    <w:rsid w:val="003450AF"/>
    <w:rsid w:val="00350057"/>
    <w:rsid w:val="003548E6"/>
    <w:rsid w:val="00354FA9"/>
    <w:rsid w:val="00356162"/>
    <w:rsid w:val="00360493"/>
    <w:rsid w:val="00365BD2"/>
    <w:rsid w:val="00366ABF"/>
    <w:rsid w:val="00370B39"/>
    <w:rsid w:val="003715B1"/>
    <w:rsid w:val="00371C1E"/>
    <w:rsid w:val="00373717"/>
    <w:rsid w:val="00374A42"/>
    <w:rsid w:val="00374ED4"/>
    <w:rsid w:val="00376128"/>
    <w:rsid w:val="00380B5A"/>
    <w:rsid w:val="00381B3F"/>
    <w:rsid w:val="003837A7"/>
    <w:rsid w:val="00383A9E"/>
    <w:rsid w:val="00384885"/>
    <w:rsid w:val="003867CE"/>
    <w:rsid w:val="00386ED6"/>
    <w:rsid w:val="00386FDE"/>
    <w:rsid w:val="0039088E"/>
    <w:rsid w:val="00392482"/>
    <w:rsid w:val="0039575E"/>
    <w:rsid w:val="0039587E"/>
    <w:rsid w:val="00395FC1"/>
    <w:rsid w:val="003A0F61"/>
    <w:rsid w:val="003A6F72"/>
    <w:rsid w:val="003A78A2"/>
    <w:rsid w:val="003B1881"/>
    <w:rsid w:val="003B2097"/>
    <w:rsid w:val="003B3138"/>
    <w:rsid w:val="003B4C11"/>
    <w:rsid w:val="003B5D8D"/>
    <w:rsid w:val="003B6A76"/>
    <w:rsid w:val="003B6F5E"/>
    <w:rsid w:val="003B7FC1"/>
    <w:rsid w:val="003C556D"/>
    <w:rsid w:val="003C62FD"/>
    <w:rsid w:val="003D034B"/>
    <w:rsid w:val="003D0604"/>
    <w:rsid w:val="003D2257"/>
    <w:rsid w:val="003D33F7"/>
    <w:rsid w:val="003D3B16"/>
    <w:rsid w:val="003D7BE4"/>
    <w:rsid w:val="003E0D11"/>
    <w:rsid w:val="003E2D6A"/>
    <w:rsid w:val="003E5EF4"/>
    <w:rsid w:val="003F1141"/>
    <w:rsid w:val="003F1193"/>
    <w:rsid w:val="003F360A"/>
    <w:rsid w:val="003F3CFB"/>
    <w:rsid w:val="003F54B6"/>
    <w:rsid w:val="003F6F78"/>
    <w:rsid w:val="003F79D7"/>
    <w:rsid w:val="00400665"/>
    <w:rsid w:val="00402F39"/>
    <w:rsid w:val="00403272"/>
    <w:rsid w:val="00403DE5"/>
    <w:rsid w:val="00403EB7"/>
    <w:rsid w:val="0040590A"/>
    <w:rsid w:val="00410FD3"/>
    <w:rsid w:val="00415B14"/>
    <w:rsid w:val="00421B32"/>
    <w:rsid w:val="0042290C"/>
    <w:rsid w:val="00423699"/>
    <w:rsid w:val="00426210"/>
    <w:rsid w:val="00426BBD"/>
    <w:rsid w:val="00431180"/>
    <w:rsid w:val="00431D2F"/>
    <w:rsid w:val="00432755"/>
    <w:rsid w:val="00432CF5"/>
    <w:rsid w:val="004346C1"/>
    <w:rsid w:val="00435FDC"/>
    <w:rsid w:val="004372CA"/>
    <w:rsid w:val="004415A0"/>
    <w:rsid w:val="00443364"/>
    <w:rsid w:val="00445CC7"/>
    <w:rsid w:val="00446A84"/>
    <w:rsid w:val="004473E9"/>
    <w:rsid w:val="00447BE5"/>
    <w:rsid w:val="00447C9F"/>
    <w:rsid w:val="00450132"/>
    <w:rsid w:val="00451C31"/>
    <w:rsid w:val="004533C4"/>
    <w:rsid w:val="00454A9D"/>
    <w:rsid w:val="004550AD"/>
    <w:rsid w:val="00456709"/>
    <w:rsid w:val="0045677B"/>
    <w:rsid w:val="00456AA6"/>
    <w:rsid w:val="00456B2A"/>
    <w:rsid w:val="00456F67"/>
    <w:rsid w:val="0045726E"/>
    <w:rsid w:val="004572F8"/>
    <w:rsid w:val="00465EE0"/>
    <w:rsid w:val="00465F94"/>
    <w:rsid w:val="00466B8C"/>
    <w:rsid w:val="00467671"/>
    <w:rsid w:val="00470DEF"/>
    <w:rsid w:val="004718CF"/>
    <w:rsid w:val="00472E50"/>
    <w:rsid w:val="004749EE"/>
    <w:rsid w:val="00475B06"/>
    <w:rsid w:val="00475FC0"/>
    <w:rsid w:val="004761B3"/>
    <w:rsid w:val="00483C19"/>
    <w:rsid w:val="00493184"/>
    <w:rsid w:val="00495B66"/>
    <w:rsid w:val="004967BD"/>
    <w:rsid w:val="004A37E2"/>
    <w:rsid w:val="004A3D2A"/>
    <w:rsid w:val="004A5495"/>
    <w:rsid w:val="004A6B74"/>
    <w:rsid w:val="004A7347"/>
    <w:rsid w:val="004B13FE"/>
    <w:rsid w:val="004B5082"/>
    <w:rsid w:val="004C0A24"/>
    <w:rsid w:val="004C1333"/>
    <w:rsid w:val="004C3600"/>
    <w:rsid w:val="004C3927"/>
    <w:rsid w:val="004C4B16"/>
    <w:rsid w:val="004C5AF2"/>
    <w:rsid w:val="004C7541"/>
    <w:rsid w:val="004C7CD6"/>
    <w:rsid w:val="004D4377"/>
    <w:rsid w:val="004D4CC4"/>
    <w:rsid w:val="004D59AE"/>
    <w:rsid w:val="004D6A62"/>
    <w:rsid w:val="004E1553"/>
    <w:rsid w:val="004E1E5D"/>
    <w:rsid w:val="004E228F"/>
    <w:rsid w:val="004E3D1B"/>
    <w:rsid w:val="004E6CF2"/>
    <w:rsid w:val="004E7696"/>
    <w:rsid w:val="004E772B"/>
    <w:rsid w:val="004F0B44"/>
    <w:rsid w:val="004F1AAC"/>
    <w:rsid w:val="004F2163"/>
    <w:rsid w:val="004F58D2"/>
    <w:rsid w:val="004F62F7"/>
    <w:rsid w:val="004F67CE"/>
    <w:rsid w:val="004F6E81"/>
    <w:rsid w:val="004F75DC"/>
    <w:rsid w:val="0050063D"/>
    <w:rsid w:val="00500769"/>
    <w:rsid w:val="0050220F"/>
    <w:rsid w:val="00503766"/>
    <w:rsid w:val="0050397C"/>
    <w:rsid w:val="005043B2"/>
    <w:rsid w:val="005050C3"/>
    <w:rsid w:val="00507556"/>
    <w:rsid w:val="005103FE"/>
    <w:rsid w:val="00510708"/>
    <w:rsid w:val="005126AE"/>
    <w:rsid w:val="0051447E"/>
    <w:rsid w:val="0051479F"/>
    <w:rsid w:val="00514A1D"/>
    <w:rsid w:val="00515643"/>
    <w:rsid w:val="005163B9"/>
    <w:rsid w:val="00520BB2"/>
    <w:rsid w:val="00521D36"/>
    <w:rsid w:val="0052263B"/>
    <w:rsid w:val="00522C27"/>
    <w:rsid w:val="0052335B"/>
    <w:rsid w:val="0052511A"/>
    <w:rsid w:val="005259DC"/>
    <w:rsid w:val="00525B52"/>
    <w:rsid w:val="00525C64"/>
    <w:rsid w:val="0052712F"/>
    <w:rsid w:val="00533A71"/>
    <w:rsid w:val="00534004"/>
    <w:rsid w:val="005358EB"/>
    <w:rsid w:val="00535C6C"/>
    <w:rsid w:val="00540F64"/>
    <w:rsid w:val="005438DF"/>
    <w:rsid w:val="00544A9D"/>
    <w:rsid w:val="0054583A"/>
    <w:rsid w:val="005458CA"/>
    <w:rsid w:val="00545990"/>
    <w:rsid w:val="0054625F"/>
    <w:rsid w:val="005476CB"/>
    <w:rsid w:val="00547D71"/>
    <w:rsid w:val="00550DA2"/>
    <w:rsid w:val="005524F6"/>
    <w:rsid w:val="005540F5"/>
    <w:rsid w:val="005555AD"/>
    <w:rsid w:val="00556164"/>
    <w:rsid w:val="00556A52"/>
    <w:rsid w:val="005616CC"/>
    <w:rsid w:val="00561BF5"/>
    <w:rsid w:val="0056225B"/>
    <w:rsid w:val="0056229D"/>
    <w:rsid w:val="00564292"/>
    <w:rsid w:val="00564ECB"/>
    <w:rsid w:val="00566BD5"/>
    <w:rsid w:val="00572CF7"/>
    <w:rsid w:val="0057344D"/>
    <w:rsid w:val="00573C97"/>
    <w:rsid w:val="00576335"/>
    <w:rsid w:val="0058453A"/>
    <w:rsid w:val="00585092"/>
    <w:rsid w:val="00587AA1"/>
    <w:rsid w:val="00587B66"/>
    <w:rsid w:val="00594959"/>
    <w:rsid w:val="00594FA4"/>
    <w:rsid w:val="00597721"/>
    <w:rsid w:val="005A01BF"/>
    <w:rsid w:val="005A10B7"/>
    <w:rsid w:val="005A29EB"/>
    <w:rsid w:val="005A3BFA"/>
    <w:rsid w:val="005A3E1D"/>
    <w:rsid w:val="005A3FCE"/>
    <w:rsid w:val="005A4001"/>
    <w:rsid w:val="005A633C"/>
    <w:rsid w:val="005B0829"/>
    <w:rsid w:val="005B121F"/>
    <w:rsid w:val="005B1E83"/>
    <w:rsid w:val="005B226F"/>
    <w:rsid w:val="005B66DF"/>
    <w:rsid w:val="005B6B26"/>
    <w:rsid w:val="005C17C9"/>
    <w:rsid w:val="005C27A8"/>
    <w:rsid w:val="005C4ED5"/>
    <w:rsid w:val="005C7397"/>
    <w:rsid w:val="005D00C6"/>
    <w:rsid w:val="005D4A64"/>
    <w:rsid w:val="005D5513"/>
    <w:rsid w:val="005D6088"/>
    <w:rsid w:val="005E01B1"/>
    <w:rsid w:val="005E11DB"/>
    <w:rsid w:val="005E1E95"/>
    <w:rsid w:val="005E2D2E"/>
    <w:rsid w:val="005E3C9B"/>
    <w:rsid w:val="005E5622"/>
    <w:rsid w:val="005E66BA"/>
    <w:rsid w:val="005E6A03"/>
    <w:rsid w:val="005F02E3"/>
    <w:rsid w:val="005F082D"/>
    <w:rsid w:val="005F0B91"/>
    <w:rsid w:val="005F1CD3"/>
    <w:rsid w:val="005F3104"/>
    <w:rsid w:val="005F39C7"/>
    <w:rsid w:val="005F5619"/>
    <w:rsid w:val="005F66BB"/>
    <w:rsid w:val="00602FC9"/>
    <w:rsid w:val="00604587"/>
    <w:rsid w:val="00604F31"/>
    <w:rsid w:val="006055E5"/>
    <w:rsid w:val="00606498"/>
    <w:rsid w:val="006066E5"/>
    <w:rsid w:val="00606E72"/>
    <w:rsid w:val="0061119C"/>
    <w:rsid w:val="006111F6"/>
    <w:rsid w:val="00611587"/>
    <w:rsid w:val="006119F5"/>
    <w:rsid w:val="00611D59"/>
    <w:rsid w:val="006122C9"/>
    <w:rsid w:val="00613F47"/>
    <w:rsid w:val="00613F9A"/>
    <w:rsid w:val="00616B7E"/>
    <w:rsid w:val="00616FCC"/>
    <w:rsid w:val="00617228"/>
    <w:rsid w:val="00617CC7"/>
    <w:rsid w:val="00621FB5"/>
    <w:rsid w:val="00623F23"/>
    <w:rsid w:val="00625A7C"/>
    <w:rsid w:val="00627FC7"/>
    <w:rsid w:val="006315C7"/>
    <w:rsid w:val="00631AA2"/>
    <w:rsid w:val="00631ECB"/>
    <w:rsid w:val="006321D5"/>
    <w:rsid w:val="00634F1B"/>
    <w:rsid w:val="006404CC"/>
    <w:rsid w:val="00642A89"/>
    <w:rsid w:val="006440A5"/>
    <w:rsid w:val="006457C7"/>
    <w:rsid w:val="00645E0D"/>
    <w:rsid w:val="00651D69"/>
    <w:rsid w:val="006534E9"/>
    <w:rsid w:val="0065503E"/>
    <w:rsid w:val="00655059"/>
    <w:rsid w:val="0065510E"/>
    <w:rsid w:val="006554B8"/>
    <w:rsid w:val="00656872"/>
    <w:rsid w:val="00657C0C"/>
    <w:rsid w:val="006620B4"/>
    <w:rsid w:val="0066296F"/>
    <w:rsid w:val="00662D90"/>
    <w:rsid w:val="00663017"/>
    <w:rsid w:val="00664438"/>
    <w:rsid w:val="00665125"/>
    <w:rsid w:val="0066515D"/>
    <w:rsid w:val="00665FF8"/>
    <w:rsid w:val="006669FE"/>
    <w:rsid w:val="00666B83"/>
    <w:rsid w:val="00670F0F"/>
    <w:rsid w:val="0067315C"/>
    <w:rsid w:val="0067388E"/>
    <w:rsid w:val="00673F51"/>
    <w:rsid w:val="00676189"/>
    <w:rsid w:val="0068365E"/>
    <w:rsid w:val="00683969"/>
    <w:rsid w:val="00686AE2"/>
    <w:rsid w:val="00687402"/>
    <w:rsid w:val="006949CF"/>
    <w:rsid w:val="00695DF0"/>
    <w:rsid w:val="00696197"/>
    <w:rsid w:val="00696C58"/>
    <w:rsid w:val="006A0C4C"/>
    <w:rsid w:val="006A1370"/>
    <w:rsid w:val="006A29E8"/>
    <w:rsid w:val="006A4604"/>
    <w:rsid w:val="006B0A80"/>
    <w:rsid w:val="006B187A"/>
    <w:rsid w:val="006B50B1"/>
    <w:rsid w:val="006B59AF"/>
    <w:rsid w:val="006B6C69"/>
    <w:rsid w:val="006C4BFC"/>
    <w:rsid w:val="006C56AE"/>
    <w:rsid w:val="006C7407"/>
    <w:rsid w:val="006D072C"/>
    <w:rsid w:val="006D0A4E"/>
    <w:rsid w:val="006D10B6"/>
    <w:rsid w:val="006D25F9"/>
    <w:rsid w:val="006D31B1"/>
    <w:rsid w:val="006D38A1"/>
    <w:rsid w:val="006D3D5A"/>
    <w:rsid w:val="006D3F19"/>
    <w:rsid w:val="006D5AE5"/>
    <w:rsid w:val="006D5EE0"/>
    <w:rsid w:val="006E042B"/>
    <w:rsid w:val="006E113B"/>
    <w:rsid w:val="006E3F8C"/>
    <w:rsid w:val="006E4BDF"/>
    <w:rsid w:val="006E4FE3"/>
    <w:rsid w:val="006E5CF1"/>
    <w:rsid w:val="006E631B"/>
    <w:rsid w:val="006F197F"/>
    <w:rsid w:val="006F3AED"/>
    <w:rsid w:val="006F556F"/>
    <w:rsid w:val="006F5FEF"/>
    <w:rsid w:val="00703EBE"/>
    <w:rsid w:val="00705CBC"/>
    <w:rsid w:val="00706082"/>
    <w:rsid w:val="007074CC"/>
    <w:rsid w:val="007078FA"/>
    <w:rsid w:val="00707A62"/>
    <w:rsid w:val="007111DF"/>
    <w:rsid w:val="00711E7A"/>
    <w:rsid w:val="00712A1F"/>
    <w:rsid w:val="0071549A"/>
    <w:rsid w:val="007161F2"/>
    <w:rsid w:val="007162BE"/>
    <w:rsid w:val="0071631A"/>
    <w:rsid w:val="00717083"/>
    <w:rsid w:val="007212E0"/>
    <w:rsid w:val="00723344"/>
    <w:rsid w:val="00725A75"/>
    <w:rsid w:val="00726F5B"/>
    <w:rsid w:val="00732011"/>
    <w:rsid w:val="00732BEC"/>
    <w:rsid w:val="00734A49"/>
    <w:rsid w:val="00734C65"/>
    <w:rsid w:val="007377A2"/>
    <w:rsid w:val="00741FEE"/>
    <w:rsid w:val="00743088"/>
    <w:rsid w:val="00746FF7"/>
    <w:rsid w:val="007472CC"/>
    <w:rsid w:val="00747361"/>
    <w:rsid w:val="00747CA3"/>
    <w:rsid w:val="00747DF5"/>
    <w:rsid w:val="00750091"/>
    <w:rsid w:val="0075089A"/>
    <w:rsid w:val="00753386"/>
    <w:rsid w:val="00755222"/>
    <w:rsid w:val="00755988"/>
    <w:rsid w:val="00756B2F"/>
    <w:rsid w:val="007571C2"/>
    <w:rsid w:val="0075795F"/>
    <w:rsid w:val="00757B64"/>
    <w:rsid w:val="007609AB"/>
    <w:rsid w:val="00765023"/>
    <w:rsid w:val="0077318E"/>
    <w:rsid w:val="00773DAC"/>
    <w:rsid w:val="00774860"/>
    <w:rsid w:val="0077688C"/>
    <w:rsid w:val="007779DE"/>
    <w:rsid w:val="00784FEF"/>
    <w:rsid w:val="007854F3"/>
    <w:rsid w:val="00786ECC"/>
    <w:rsid w:val="0078706D"/>
    <w:rsid w:val="00791E69"/>
    <w:rsid w:val="007930AF"/>
    <w:rsid w:val="00793168"/>
    <w:rsid w:val="00793CE7"/>
    <w:rsid w:val="007945AA"/>
    <w:rsid w:val="00795B40"/>
    <w:rsid w:val="007A0467"/>
    <w:rsid w:val="007A0573"/>
    <w:rsid w:val="007A1F8E"/>
    <w:rsid w:val="007A2CD5"/>
    <w:rsid w:val="007A66B6"/>
    <w:rsid w:val="007A6A83"/>
    <w:rsid w:val="007B06D9"/>
    <w:rsid w:val="007B0ED5"/>
    <w:rsid w:val="007B134C"/>
    <w:rsid w:val="007B16D1"/>
    <w:rsid w:val="007B2B35"/>
    <w:rsid w:val="007B4A23"/>
    <w:rsid w:val="007B5380"/>
    <w:rsid w:val="007B68CF"/>
    <w:rsid w:val="007C034D"/>
    <w:rsid w:val="007C331C"/>
    <w:rsid w:val="007C4014"/>
    <w:rsid w:val="007C627F"/>
    <w:rsid w:val="007C62F8"/>
    <w:rsid w:val="007D104C"/>
    <w:rsid w:val="007D3CD3"/>
    <w:rsid w:val="007E1089"/>
    <w:rsid w:val="007E1AE4"/>
    <w:rsid w:val="007E1D68"/>
    <w:rsid w:val="007E2C2A"/>
    <w:rsid w:val="007E3743"/>
    <w:rsid w:val="007E4D2F"/>
    <w:rsid w:val="007E4DC4"/>
    <w:rsid w:val="007E660C"/>
    <w:rsid w:val="007F1E42"/>
    <w:rsid w:val="007F1F06"/>
    <w:rsid w:val="007F2A28"/>
    <w:rsid w:val="007F306F"/>
    <w:rsid w:val="007F34FD"/>
    <w:rsid w:val="007F47EE"/>
    <w:rsid w:val="007F56B8"/>
    <w:rsid w:val="007F56E4"/>
    <w:rsid w:val="007F6CB8"/>
    <w:rsid w:val="007F6F64"/>
    <w:rsid w:val="007F7B52"/>
    <w:rsid w:val="008015A2"/>
    <w:rsid w:val="0080206D"/>
    <w:rsid w:val="008025CF"/>
    <w:rsid w:val="008027C9"/>
    <w:rsid w:val="008030C0"/>
    <w:rsid w:val="0080394C"/>
    <w:rsid w:val="008042A0"/>
    <w:rsid w:val="00806403"/>
    <w:rsid w:val="00806624"/>
    <w:rsid w:val="00807E41"/>
    <w:rsid w:val="008101BD"/>
    <w:rsid w:val="008105CB"/>
    <w:rsid w:val="00812A46"/>
    <w:rsid w:val="0081516C"/>
    <w:rsid w:val="0081539F"/>
    <w:rsid w:val="00815EF8"/>
    <w:rsid w:val="00816B5A"/>
    <w:rsid w:val="00817BF2"/>
    <w:rsid w:val="00823EFB"/>
    <w:rsid w:val="0082617E"/>
    <w:rsid w:val="008264A0"/>
    <w:rsid w:val="00826EF6"/>
    <w:rsid w:val="008276EF"/>
    <w:rsid w:val="008313C4"/>
    <w:rsid w:val="0083351F"/>
    <w:rsid w:val="0083430B"/>
    <w:rsid w:val="00834C70"/>
    <w:rsid w:val="008368DE"/>
    <w:rsid w:val="0084072B"/>
    <w:rsid w:val="00841B76"/>
    <w:rsid w:val="00846F0E"/>
    <w:rsid w:val="00847980"/>
    <w:rsid w:val="0085036B"/>
    <w:rsid w:val="00855A5A"/>
    <w:rsid w:val="00860D45"/>
    <w:rsid w:val="00862E99"/>
    <w:rsid w:val="0086490D"/>
    <w:rsid w:val="008652CA"/>
    <w:rsid w:val="00865805"/>
    <w:rsid w:val="00870204"/>
    <w:rsid w:val="008715D3"/>
    <w:rsid w:val="008729C0"/>
    <w:rsid w:val="00873B0E"/>
    <w:rsid w:val="008748A1"/>
    <w:rsid w:val="00874FDD"/>
    <w:rsid w:val="008750B3"/>
    <w:rsid w:val="00875DE4"/>
    <w:rsid w:val="008800E0"/>
    <w:rsid w:val="008815A7"/>
    <w:rsid w:val="00881D86"/>
    <w:rsid w:val="00885F27"/>
    <w:rsid w:val="008860FC"/>
    <w:rsid w:val="00886F03"/>
    <w:rsid w:val="0089113C"/>
    <w:rsid w:val="00892826"/>
    <w:rsid w:val="00893750"/>
    <w:rsid w:val="00894602"/>
    <w:rsid w:val="00894620"/>
    <w:rsid w:val="00894B42"/>
    <w:rsid w:val="00895693"/>
    <w:rsid w:val="008A44F3"/>
    <w:rsid w:val="008A685E"/>
    <w:rsid w:val="008A6C7B"/>
    <w:rsid w:val="008A7AF9"/>
    <w:rsid w:val="008B0068"/>
    <w:rsid w:val="008B0508"/>
    <w:rsid w:val="008B0C90"/>
    <w:rsid w:val="008B2EFA"/>
    <w:rsid w:val="008B4869"/>
    <w:rsid w:val="008B4A04"/>
    <w:rsid w:val="008B52DD"/>
    <w:rsid w:val="008B5AE0"/>
    <w:rsid w:val="008B5AFC"/>
    <w:rsid w:val="008B72CB"/>
    <w:rsid w:val="008B7505"/>
    <w:rsid w:val="008C0B91"/>
    <w:rsid w:val="008C3D56"/>
    <w:rsid w:val="008C6718"/>
    <w:rsid w:val="008C751C"/>
    <w:rsid w:val="008D06E3"/>
    <w:rsid w:val="008D0B19"/>
    <w:rsid w:val="008D108B"/>
    <w:rsid w:val="008D1244"/>
    <w:rsid w:val="008D3586"/>
    <w:rsid w:val="008D689C"/>
    <w:rsid w:val="008D7E9A"/>
    <w:rsid w:val="008E25D9"/>
    <w:rsid w:val="008E319F"/>
    <w:rsid w:val="008E782A"/>
    <w:rsid w:val="008F0B93"/>
    <w:rsid w:val="008F1568"/>
    <w:rsid w:val="008F4D79"/>
    <w:rsid w:val="008F565E"/>
    <w:rsid w:val="008F5AEA"/>
    <w:rsid w:val="008F6EA3"/>
    <w:rsid w:val="008F7442"/>
    <w:rsid w:val="008F7898"/>
    <w:rsid w:val="009007F9"/>
    <w:rsid w:val="00901158"/>
    <w:rsid w:val="00902F56"/>
    <w:rsid w:val="00903180"/>
    <w:rsid w:val="0090591A"/>
    <w:rsid w:val="00906390"/>
    <w:rsid w:val="009113F2"/>
    <w:rsid w:val="00912D8C"/>
    <w:rsid w:val="00912EEE"/>
    <w:rsid w:val="00914B95"/>
    <w:rsid w:val="00916939"/>
    <w:rsid w:val="00922F70"/>
    <w:rsid w:val="009242B2"/>
    <w:rsid w:val="00927083"/>
    <w:rsid w:val="009279B7"/>
    <w:rsid w:val="00930BC0"/>
    <w:rsid w:val="00931D7B"/>
    <w:rsid w:val="00933AD4"/>
    <w:rsid w:val="009355B3"/>
    <w:rsid w:val="00935907"/>
    <w:rsid w:val="009376BD"/>
    <w:rsid w:val="009377CF"/>
    <w:rsid w:val="00940E56"/>
    <w:rsid w:val="00940EE4"/>
    <w:rsid w:val="00941006"/>
    <w:rsid w:val="0094227E"/>
    <w:rsid w:val="009438EF"/>
    <w:rsid w:val="00944F5F"/>
    <w:rsid w:val="00945144"/>
    <w:rsid w:val="00946BD4"/>
    <w:rsid w:val="00950A44"/>
    <w:rsid w:val="00950FA1"/>
    <w:rsid w:val="00951247"/>
    <w:rsid w:val="009527F0"/>
    <w:rsid w:val="00952BA8"/>
    <w:rsid w:val="00954F59"/>
    <w:rsid w:val="00955AD4"/>
    <w:rsid w:val="00957C56"/>
    <w:rsid w:val="00961557"/>
    <w:rsid w:val="00961F66"/>
    <w:rsid w:val="009635C3"/>
    <w:rsid w:val="009643DA"/>
    <w:rsid w:val="00965378"/>
    <w:rsid w:val="00965519"/>
    <w:rsid w:val="00965E3A"/>
    <w:rsid w:val="009702F7"/>
    <w:rsid w:val="009707B1"/>
    <w:rsid w:val="009709AE"/>
    <w:rsid w:val="009709C3"/>
    <w:rsid w:val="00974177"/>
    <w:rsid w:val="009744D4"/>
    <w:rsid w:val="00980BE8"/>
    <w:rsid w:val="00983745"/>
    <w:rsid w:val="00983F2E"/>
    <w:rsid w:val="00983F7D"/>
    <w:rsid w:val="00984BA9"/>
    <w:rsid w:val="00984BB3"/>
    <w:rsid w:val="00986274"/>
    <w:rsid w:val="00987159"/>
    <w:rsid w:val="0099149E"/>
    <w:rsid w:val="00991B5B"/>
    <w:rsid w:val="009933E0"/>
    <w:rsid w:val="00994E61"/>
    <w:rsid w:val="00994FE7"/>
    <w:rsid w:val="009951A3"/>
    <w:rsid w:val="009968E8"/>
    <w:rsid w:val="00996A7C"/>
    <w:rsid w:val="00997693"/>
    <w:rsid w:val="0099789F"/>
    <w:rsid w:val="00997CA7"/>
    <w:rsid w:val="00997F56"/>
    <w:rsid w:val="009A26BC"/>
    <w:rsid w:val="009A3C64"/>
    <w:rsid w:val="009A56C1"/>
    <w:rsid w:val="009B0E97"/>
    <w:rsid w:val="009B1A69"/>
    <w:rsid w:val="009B2788"/>
    <w:rsid w:val="009B299D"/>
    <w:rsid w:val="009B3196"/>
    <w:rsid w:val="009B3DF4"/>
    <w:rsid w:val="009C3FC8"/>
    <w:rsid w:val="009C425D"/>
    <w:rsid w:val="009C5055"/>
    <w:rsid w:val="009C6B8E"/>
    <w:rsid w:val="009C6DD2"/>
    <w:rsid w:val="009C73E9"/>
    <w:rsid w:val="009C74A5"/>
    <w:rsid w:val="009C7631"/>
    <w:rsid w:val="009D0E66"/>
    <w:rsid w:val="009D3036"/>
    <w:rsid w:val="009D331D"/>
    <w:rsid w:val="009D6332"/>
    <w:rsid w:val="009D6422"/>
    <w:rsid w:val="009D65BF"/>
    <w:rsid w:val="009D6A20"/>
    <w:rsid w:val="009D6C25"/>
    <w:rsid w:val="009E0AB8"/>
    <w:rsid w:val="009E13A4"/>
    <w:rsid w:val="009E2B83"/>
    <w:rsid w:val="009E3056"/>
    <w:rsid w:val="009E583B"/>
    <w:rsid w:val="009E6222"/>
    <w:rsid w:val="009E6C8F"/>
    <w:rsid w:val="009E6EAE"/>
    <w:rsid w:val="009E70C6"/>
    <w:rsid w:val="009F184F"/>
    <w:rsid w:val="009F2265"/>
    <w:rsid w:val="009F3E30"/>
    <w:rsid w:val="009F45BF"/>
    <w:rsid w:val="009F78EE"/>
    <w:rsid w:val="00A00169"/>
    <w:rsid w:val="00A0055B"/>
    <w:rsid w:val="00A03E34"/>
    <w:rsid w:val="00A04645"/>
    <w:rsid w:val="00A048FA"/>
    <w:rsid w:val="00A07993"/>
    <w:rsid w:val="00A1047C"/>
    <w:rsid w:val="00A12FFA"/>
    <w:rsid w:val="00A1338A"/>
    <w:rsid w:val="00A1430D"/>
    <w:rsid w:val="00A14B86"/>
    <w:rsid w:val="00A15158"/>
    <w:rsid w:val="00A2245F"/>
    <w:rsid w:val="00A22BAD"/>
    <w:rsid w:val="00A23C5D"/>
    <w:rsid w:val="00A24332"/>
    <w:rsid w:val="00A27F29"/>
    <w:rsid w:val="00A30A30"/>
    <w:rsid w:val="00A31729"/>
    <w:rsid w:val="00A32071"/>
    <w:rsid w:val="00A35B91"/>
    <w:rsid w:val="00A35CE5"/>
    <w:rsid w:val="00A36921"/>
    <w:rsid w:val="00A43F70"/>
    <w:rsid w:val="00A452AA"/>
    <w:rsid w:val="00A46795"/>
    <w:rsid w:val="00A46D27"/>
    <w:rsid w:val="00A522A5"/>
    <w:rsid w:val="00A52728"/>
    <w:rsid w:val="00A54A55"/>
    <w:rsid w:val="00A54F4E"/>
    <w:rsid w:val="00A6373F"/>
    <w:rsid w:val="00A63BD2"/>
    <w:rsid w:val="00A64D92"/>
    <w:rsid w:val="00A66E3D"/>
    <w:rsid w:val="00A7058C"/>
    <w:rsid w:val="00A723DD"/>
    <w:rsid w:val="00A73495"/>
    <w:rsid w:val="00A74BF9"/>
    <w:rsid w:val="00A755AD"/>
    <w:rsid w:val="00A82C6D"/>
    <w:rsid w:val="00A8608F"/>
    <w:rsid w:val="00A861AE"/>
    <w:rsid w:val="00A87635"/>
    <w:rsid w:val="00A900FC"/>
    <w:rsid w:val="00A92C4C"/>
    <w:rsid w:val="00A93DF2"/>
    <w:rsid w:val="00A94788"/>
    <w:rsid w:val="00A97698"/>
    <w:rsid w:val="00AA1B9F"/>
    <w:rsid w:val="00AA2FAC"/>
    <w:rsid w:val="00AA41DA"/>
    <w:rsid w:val="00AA47BC"/>
    <w:rsid w:val="00AB37A9"/>
    <w:rsid w:val="00AB3C14"/>
    <w:rsid w:val="00AB5CB6"/>
    <w:rsid w:val="00AB65CF"/>
    <w:rsid w:val="00AB79CA"/>
    <w:rsid w:val="00AC06FC"/>
    <w:rsid w:val="00AC075D"/>
    <w:rsid w:val="00AC1A19"/>
    <w:rsid w:val="00AC1D87"/>
    <w:rsid w:val="00AC33BE"/>
    <w:rsid w:val="00AC3800"/>
    <w:rsid w:val="00AC4FD9"/>
    <w:rsid w:val="00AC54E2"/>
    <w:rsid w:val="00AC627F"/>
    <w:rsid w:val="00AC78F2"/>
    <w:rsid w:val="00AD23E1"/>
    <w:rsid w:val="00AD4EB0"/>
    <w:rsid w:val="00AD65F3"/>
    <w:rsid w:val="00AD7D00"/>
    <w:rsid w:val="00AD7FC2"/>
    <w:rsid w:val="00AE1B17"/>
    <w:rsid w:val="00AE1D94"/>
    <w:rsid w:val="00AE2D72"/>
    <w:rsid w:val="00AE2DB7"/>
    <w:rsid w:val="00AE43B3"/>
    <w:rsid w:val="00AE4E53"/>
    <w:rsid w:val="00AE56CB"/>
    <w:rsid w:val="00AF0925"/>
    <w:rsid w:val="00AF15CE"/>
    <w:rsid w:val="00AF22A1"/>
    <w:rsid w:val="00AF3022"/>
    <w:rsid w:val="00AF3130"/>
    <w:rsid w:val="00AF3400"/>
    <w:rsid w:val="00AF3AA4"/>
    <w:rsid w:val="00AF524E"/>
    <w:rsid w:val="00AF6AF0"/>
    <w:rsid w:val="00B00B57"/>
    <w:rsid w:val="00B029F5"/>
    <w:rsid w:val="00B03C62"/>
    <w:rsid w:val="00B04D25"/>
    <w:rsid w:val="00B05CD0"/>
    <w:rsid w:val="00B05E5D"/>
    <w:rsid w:val="00B104A6"/>
    <w:rsid w:val="00B1176E"/>
    <w:rsid w:val="00B11DB7"/>
    <w:rsid w:val="00B126C5"/>
    <w:rsid w:val="00B12D6C"/>
    <w:rsid w:val="00B12F63"/>
    <w:rsid w:val="00B13A04"/>
    <w:rsid w:val="00B148E2"/>
    <w:rsid w:val="00B16032"/>
    <w:rsid w:val="00B16B06"/>
    <w:rsid w:val="00B16FC5"/>
    <w:rsid w:val="00B17745"/>
    <w:rsid w:val="00B2021D"/>
    <w:rsid w:val="00B209F8"/>
    <w:rsid w:val="00B21573"/>
    <w:rsid w:val="00B21FF9"/>
    <w:rsid w:val="00B224C3"/>
    <w:rsid w:val="00B23EBE"/>
    <w:rsid w:val="00B267F5"/>
    <w:rsid w:val="00B31270"/>
    <w:rsid w:val="00B32A1F"/>
    <w:rsid w:val="00B33DFC"/>
    <w:rsid w:val="00B34F5F"/>
    <w:rsid w:val="00B35CCF"/>
    <w:rsid w:val="00B41008"/>
    <w:rsid w:val="00B44689"/>
    <w:rsid w:val="00B44865"/>
    <w:rsid w:val="00B449FF"/>
    <w:rsid w:val="00B4638C"/>
    <w:rsid w:val="00B50A62"/>
    <w:rsid w:val="00B50BE1"/>
    <w:rsid w:val="00B5190B"/>
    <w:rsid w:val="00B51985"/>
    <w:rsid w:val="00B526CB"/>
    <w:rsid w:val="00B54578"/>
    <w:rsid w:val="00B55159"/>
    <w:rsid w:val="00B56A5F"/>
    <w:rsid w:val="00B57180"/>
    <w:rsid w:val="00B57542"/>
    <w:rsid w:val="00B57CC0"/>
    <w:rsid w:val="00B61689"/>
    <w:rsid w:val="00B623CD"/>
    <w:rsid w:val="00B64217"/>
    <w:rsid w:val="00B65A0D"/>
    <w:rsid w:val="00B66FEF"/>
    <w:rsid w:val="00B67943"/>
    <w:rsid w:val="00B73D29"/>
    <w:rsid w:val="00B74050"/>
    <w:rsid w:val="00B749B3"/>
    <w:rsid w:val="00B75510"/>
    <w:rsid w:val="00B76F2F"/>
    <w:rsid w:val="00B77980"/>
    <w:rsid w:val="00B80158"/>
    <w:rsid w:val="00B801C2"/>
    <w:rsid w:val="00B80A90"/>
    <w:rsid w:val="00B831F0"/>
    <w:rsid w:val="00B839F1"/>
    <w:rsid w:val="00B854E5"/>
    <w:rsid w:val="00B86390"/>
    <w:rsid w:val="00B91522"/>
    <w:rsid w:val="00B923E1"/>
    <w:rsid w:val="00B94000"/>
    <w:rsid w:val="00B943B5"/>
    <w:rsid w:val="00B955E5"/>
    <w:rsid w:val="00B95671"/>
    <w:rsid w:val="00B96A95"/>
    <w:rsid w:val="00BA0635"/>
    <w:rsid w:val="00BA0A5C"/>
    <w:rsid w:val="00BA1135"/>
    <w:rsid w:val="00BA20E7"/>
    <w:rsid w:val="00BA3DBB"/>
    <w:rsid w:val="00BA400E"/>
    <w:rsid w:val="00BA5ACE"/>
    <w:rsid w:val="00BA6E03"/>
    <w:rsid w:val="00BB17A2"/>
    <w:rsid w:val="00BB2445"/>
    <w:rsid w:val="00BB329B"/>
    <w:rsid w:val="00BB60D6"/>
    <w:rsid w:val="00BB6AC0"/>
    <w:rsid w:val="00BB6D35"/>
    <w:rsid w:val="00BC01AE"/>
    <w:rsid w:val="00BC17C5"/>
    <w:rsid w:val="00BC1BC5"/>
    <w:rsid w:val="00BC1FBE"/>
    <w:rsid w:val="00BC260C"/>
    <w:rsid w:val="00BC2EA4"/>
    <w:rsid w:val="00BC66EB"/>
    <w:rsid w:val="00BC694D"/>
    <w:rsid w:val="00BC70EC"/>
    <w:rsid w:val="00BC75DB"/>
    <w:rsid w:val="00BD0018"/>
    <w:rsid w:val="00BD0B4B"/>
    <w:rsid w:val="00BD2537"/>
    <w:rsid w:val="00BD6461"/>
    <w:rsid w:val="00BD72DC"/>
    <w:rsid w:val="00BE0644"/>
    <w:rsid w:val="00BE0FC6"/>
    <w:rsid w:val="00BF31DC"/>
    <w:rsid w:val="00BF3E78"/>
    <w:rsid w:val="00BF6DD0"/>
    <w:rsid w:val="00C032E6"/>
    <w:rsid w:val="00C03520"/>
    <w:rsid w:val="00C04632"/>
    <w:rsid w:val="00C0601D"/>
    <w:rsid w:val="00C07938"/>
    <w:rsid w:val="00C1159C"/>
    <w:rsid w:val="00C116E6"/>
    <w:rsid w:val="00C11918"/>
    <w:rsid w:val="00C123F7"/>
    <w:rsid w:val="00C13E32"/>
    <w:rsid w:val="00C1579D"/>
    <w:rsid w:val="00C15841"/>
    <w:rsid w:val="00C15A84"/>
    <w:rsid w:val="00C174FE"/>
    <w:rsid w:val="00C20335"/>
    <w:rsid w:val="00C22CE2"/>
    <w:rsid w:val="00C2650D"/>
    <w:rsid w:val="00C2740C"/>
    <w:rsid w:val="00C314E4"/>
    <w:rsid w:val="00C323DC"/>
    <w:rsid w:val="00C32F32"/>
    <w:rsid w:val="00C33D95"/>
    <w:rsid w:val="00C35B4B"/>
    <w:rsid w:val="00C365DD"/>
    <w:rsid w:val="00C3664F"/>
    <w:rsid w:val="00C37D4F"/>
    <w:rsid w:val="00C40FDF"/>
    <w:rsid w:val="00C4209F"/>
    <w:rsid w:val="00C42BA9"/>
    <w:rsid w:val="00C433A5"/>
    <w:rsid w:val="00C43F18"/>
    <w:rsid w:val="00C45F14"/>
    <w:rsid w:val="00C47C18"/>
    <w:rsid w:val="00C50BD5"/>
    <w:rsid w:val="00C518BD"/>
    <w:rsid w:val="00C51E4B"/>
    <w:rsid w:val="00C52300"/>
    <w:rsid w:val="00C52EBA"/>
    <w:rsid w:val="00C53EF7"/>
    <w:rsid w:val="00C55CE0"/>
    <w:rsid w:val="00C56E61"/>
    <w:rsid w:val="00C60922"/>
    <w:rsid w:val="00C639A9"/>
    <w:rsid w:val="00C63A4A"/>
    <w:rsid w:val="00C65150"/>
    <w:rsid w:val="00C66219"/>
    <w:rsid w:val="00C6695D"/>
    <w:rsid w:val="00C6779E"/>
    <w:rsid w:val="00C70F41"/>
    <w:rsid w:val="00C718F9"/>
    <w:rsid w:val="00C74294"/>
    <w:rsid w:val="00C74B20"/>
    <w:rsid w:val="00C7597B"/>
    <w:rsid w:val="00C75D89"/>
    <w:rsid w:val="00C766B7"/>
    <w:rsid w:val="00C80C58"/>
    <w:rsid w:val="00C81E0A"/>
    <w:rsid w:val="00C86221"/>
    <w:rsid w:val="00C86F3B"/>
    <w:rsid w:val="00C87B19"/>
    <w:rsid w:val="00C9074B"/>
    <w:rsid w:val="00C91351"/>
    <w:rsid w:val="00C94803"/>
    <w:rsid w:val="00C94A46"/>
    <w:rsid w:val="00C94DEE"/>
    <w:rsid w:val="00C95889"/>
    <w:rsid w:val="00CA0B2B"/>
    <w:rsid w:val="00CA5453"/>
    <w:rsid w:val="00CA553A"/>
    <w:rsid w:val="00CB25D6"/>
    <w:rsid w:val="00CB2D2E"/>
    <w:rsid w:val="00CB2E75"/>
    <w:rsid w:val="00CB432D"/>
    <w:rsid w:val="00CB4A25"/>
    <w:rsid w:val="00CB5ED9"/>
    <w:rsid w:val="00CB7225"/>
    <w:rsid w:val="00CB72C5"/>
    <w:rsid w:val="00CB7862"/>
    <w:rsid w:val="00CB7F08"/>
    <w:rsid w:val="00CC0B04"/>
    <w:rsid w:val="00CC12D3"/>
    <w:rsid w:val="00CC1CDD"/>
    <w:rsid w:val="00CC1E80"/>
    <w:rsid w:val="00CC32EA"/>
    <w:rsid w:val="00CC3D53"/>
    <w:rsid w:val="00CC4824"/>
    <w:rsid w:val="00CC6D1A"/>
    <w:rsid w:val="00CC7CE6"/>
    <w:rsid w:val="00CD03A6"/>
    <w:rsid w:val="00CD0645"/>
    <w:rsid w:val="00CD0836"/>
    <w:rsid w:val="00CD115F"/>
    <w:rsid w:val="00CD25F1"/>
    <w:rsid w:val="00CD2941"/>
    <w:rsid w:val="00CD41A8"/>
    <w:rsid w:val="00CD5859"/>
    <w:rsid w:val="00CD5A1B"/>
    <w:rsid w:val="00CD757F"/>
    <w:rsid w:val="00CE0038"/>
    <w:rsid w:val="00CE26DE"/>
    <w:rsid w:val="00CE3425"/>
    <w:rsid w:val="00CE41E1"/>
    <w:rsid w:val="00CE53E3"/>
    <w:rsid w:val="00CE5B9E"/>
    <w:rsid w:val="00CF02A4"/>
    <w:rsid w:val="00CF1154"/>
    <w:rsid w:val="00CF1D4B"/>
    <w:rsid w:val="00CF282E"/>
    <w:rsid w:val="00CF36A4"/>
    <w:rsid w:val="00CF42A9"/>
    <w:rsid w:val="00CF47A2"/>
    <w:rsid w:val="00CF50B9"/>
    <w:rsid w:val="00CF651C"/>
    <w:rsid w:val="00D01076"/>
    <w:rsid w:val="00D0143E"/>
    <w:rsid w:val="00D03212"/>
    <w:rsid w:val="00D03FC9"/>
    <w:rsid w:val="00D05A3D"/>
    <w:rsid w:val="00D05DA2"/>
    <w:rsid w:val="00D05E60"/>
    <w:rsid w:val="00D10704"/>
    <w:rsid w:val="00D10ADB"/>
    <w:rsid w:val="00D1295D"/>
    <w:rsid w:val="00D13D4C"/>
    <w:rsid w:val="00D16819"/>
    <w:rsid w:val="00D172AE"/>
    <w:rsid w:val="00D20468"/>
    <w:rsid w:val="00D216DB"/>
    <w:rsid w:val="00D22E5A"/>
    <w:rsid w:val="00D27498"/>
    <w:rsid w:val="00D30D6B"/>
    <w:rsid w:val="00D31BDB"/>
    <w:rsid w:val="00D3598D"/>
    <w:rsid w:val="00D37F7E"/>
    <w:rsid w:val="00D41088"/>
    <w:rsid w:val="00D4307B"/>
    <w:rsid w:val="00D43454"/>
    <w:rsid w:val="00D4627A"/>
    <w:rsid w:val="00D5167C"/>
    <w:rsid w:val="00D51C8B"/>
    <w:rsid w:val="00D51CF4"/>
    <w:rsid w:val="00D52075"/>
    <w:rsid w:val="00D54826"/>
    <w:rsid w:val="00D54BB6"/>
    <w:rsid w:val="00D6112B"/>
    <w:rsid w:val="00D6208C"/>
    <w:rsid w:val="00D62DEE"/>
    <w:rsid w:val="00D70405"/>
    <w:rsid w:val="00D726A2"/>
    <w:rsid w:val="00D73306"/>
    <w:rsid w:val="00D73D2B"/>
    <w:rsid w:val="00D766F2"/>
    <w:rsid w:val="00D76C33"/>
    <w:rsid w:val="00D772D3"/>
    <w:rsid w:val="00D77CF2"/>
    <w:rsid w:val="00D812A1"/>
    <w:rsid w:val="00D8213D"/>
    <w:rsid w:val="00D833AD"/>
    <w:rsid w:val="00D86054"/>
    <w:rsid w:val="00D90CE1"/>
    <w:rsid w:val="00D942A1"/>
    <w:rsid w:val="00D946A4"/>
    <w:rsid w:val="00D94D8B"/>
    <w:rsid w:val="00D950B0"/>
    <w:rsid w:val="00D95A1B"/>
    <w:rsid w:val="00D9608E"/>
    <w:rsid w:val="00D97BE2"/>
    <w:rsid w:val="00DA02DF"/>
    <w:rsid w:val="00DA1B84"/>
    <w:rsid w:val="00DA5C6A"/>
    <w:rsid w:val="00DA66D8"/>
    <w:rsid w:val="00DA68E1"/>
    <w:rsid w:val="00DB0B8B"/>
    <w:rsid w:val="00DB2052"/>
    <w:rsid w:val="00DB299D"/>
    <w:rsid w:val="00DB3153"/>
    <w:rsid w:val="00DB3FBB"/>
    <w:rsid w:val="00DC1280"/>
    <w:rsid w:val="00DC1388"/>
    <w:rsid w:val="00DC1415"/>
    <w:rsid w:val="00DC1F00"/>
    <w:rsid w:val="00DC2A3C"/>
    <w:rsid w:val="00DC30E3"/>
    <w:rsid w:val="00DC47C3"/>
    <w:rsid w:val="00DD02D9"/>
    <w:rsid w:val="00DD1595"/>
    <w:rsid w:val="00DD4AA5"/>
    <w:rsid w:val="00DD788A"/>
    <w:rsid w:val="00DE0600"/>
    <w:rsid w:val="00DE313D"/>
    <w:rsid w:val="00DE349C"/>
    <w:rsid w:val="00DE4060"/>
    <w:rsid w:val="00DE40FD"/>
    <w:rsid w:val="00DE5A42"/>
    <w:rsid w:val="00DE7C89"/>
    <w:rsid w:val="00DF030F"/>
    <w:rsid w:val="00DF05D6"/>
    <w:rsid w:val="00DF1D3A"/>
    <w:rsid w:val="00DF5C46"/>
    <w:rsid w:val="00E015B1"/>
    <w:rsid w:val="00E02F78"/>
    <w:rsid w:val="00E03B6D"/>
    <w:rsid w:val="00E03CD6"/>
    <w:rsid w:val="00E05A27"/>
    <w:rsid w:val="00E07002"/>
    <w:rsid w:val="00E10F22"/>
    <w:rsid w:val="00E1160C"/>
    <w:rsid w:val="00E1243C"/>
    <w:rsid w:val="00E14031"/>
    <w:rsid w:val="00E146F0"/>
    <w:rsid w:val="00E155DD"/>
    <w:rsid w:val="00E16D83"/>
    <w:rsid w:val="00E17F8A"/>
    <w:rsid w:val="00E20D04"/>
    <w:rsid w:val="00E22763"/>
    <w:rsid w:val="00E23011"/>
    <w:rsid w:val="00E24888"/>
    <w:rsid w:val="00E25030"/>
    <w:rsid w:val="00E25449"/>
    <w:rsid w:val="00E26504"/>
    <w:rsid w:val="00E26801"/>
    <w:rsid w:val="00E318CB"/>
    <w:rsid w:val="00E32F1F"/>
    <w:rsid w:val="00E33B9D"/>
    <w:rsid w:val="00E34A72"/>
    <w:rsid w:val="00E35DC3"/>
    <w:rsid w:val="00E3689C"/>
    <w:rsid w:val="00E36A15"/>
    <w:rsid w:val="00E41CCE"/>
    <w:rsid w:val="00E42E7A"/>
    <w:rsid w:val="00E4713B"/>
    <w:rsid w:val="00E51D28"/>
    <w:rsid w:val="00E56767"/>
    <w:rsid w:val="00E601CC"/>
    <w:rsid w:val="00E602F5"/>
    <w:rsid w:val="00E6115D"/>
    <w:rsid w:val="00E61C10"/>
    <w:rsid w:val="00E61EC7"/>
    <w:rsid w:val="00E61FF2"/>
    <w:rsid w:val="00E62A72"/>
    <w:rsid w:val="00E62B93"/>
    <w:rsid w:val="00E634E0"/>
    <w:rsid w:val="00E64F24"/>
    <w:rsid w:val="00E66CF6"/>
    <w:rsid w:val="00E70B22"/>
    <w:rsid w:val="00E722DA"/>
    <w:rsid w:val="00E728AC"/>
    <w:rsid w:val="00E73C8C"/>
    <w:rsid w:val="00E83865"/>
    <w:rsid w:val="00E83B48"/>
    <w:rsid w:val="00E83F05"/>
    <w:rsid w:val="00E84DC3"/>
    <w:rsid w:val="00E851C6"/>
    <w:rsid w:val="00E8679C"/>
    <w:rsid w:val="00E869A7"/>
    <w:rsid w:val="00E90E97"/>
    <w:rsid w:val="00E91961"/>
    <w:rsid w:val="00E92894"/>
    <w:rsid w:val="00E92E9B"/>
    <w:rsid w:val="00E92FBB"/>
    <w:rsid w:val="00E94E60"/>
    <w:rsid w:val="00E975FC"/>
    <w:rsid w:val="00EA492D"/>
    <w:rsid w:val="00EA4BE7"/>
    <w:rsid w:val="00EA6296"/>
    <w:rsid w:val="00EB2CE0"/>
    <w:rsid w:val="00EB2F94"/>
    <w:rsid w:val="00EB3511"/>
    <w:rsid w:val="00EB5A46"/>
    <w:rsid w:val="00EB6629"/>
    <w:rsid w:val="00EB66E6"/>
    <w:rsid w:val="00EB6B64"/>
    <w:rsid w:val="00EC032D"/>
    <w:rsid w:val="00EC0E82"/>
    <w:rsid w:val="00EC1E7D"/>
    <w:rsid w:val="00EC24AE"/>
    <w:rsid w:val="00EC2828"/>
    <w:rsid w:val="00EC40E1"/>
    <w:rsid w:val="00EC45DE"/>
    <w:rsid w:val="00EC55D7"/>
    <w:rsid w:val="00EC5FD7"/>
    <w:rsid w:val="00EC6EFC"/>
    <w:rsid w:val="00EC7BF0"/>
    <w:rsid w:val="00ED0862"/>
    <w:rsid w:val="00ED3A3F"/>
    <w:rsid w:val="00ED3AF4"/>
    <w:rsid w:val="00ED49E2"/>
    <w:rsid w:val="00EE00B8"/>
    <w:rsid w:val="00EE3846"/>
    <w:rsid w:val="00EE3BA1"/>
    <w:rsid w:val="00EE6840"/>
    <w:rsid w:val="00EE74C1"/>
    <w:rsid w:val="00EF03F6"/>
    <w:rsid w:val="00EF1387"/>
    <w:rsid w:val="00EF278A"/>
    <w:rsid w:val="00EF2A0C"/>
    <w:rsid w:val="00EF2D5B"/>
    <w:rsid w:val="00EF35A2"/>
    <w:rsid w:val="00EF3EF0"/>
    <w:rsid w:val="00EF6067"/>
    <w:rsid w:val="00EF635E"/>
    <w:rsid w:val="00F00940"/>
    <w:rsid w:val="00F01978"/>
    <w:rsid w:val="00F0268C"/>
    <w:rsid w:val="00F02BF0"/>
    <w:rsid w:val="00F0795C"/>
    <w:rsid w:val="00F11271"/>
    <w:rsid w:val="00F1221F"/>
    <w:rsid w:val="00F148D8"/>
    <w:rsid w:val="00F171CB"/>
    <w:rsid w:val="00F174DB"/>
    <w:rsid w:val="00F2013F"/>
    <w:rsid w:val="00F2054D"/>
    <w:rsid w:val="00F21B03"/>
    <w:rsid w:val="00F22DD3"/>
    <w:rsid w:val="00F23CDE"/>
    <w:rsid w:val="00F2577E"/>
    <w:rsid w:val="00F26502"/>
    <w:rsid w:val="00F26742"/>
    <w:rsid w:val="00F26961"/>
    <w:rsid w:val="00F31787"/>
    <w:rsid w:val="00F336AD"/>
    <w:rsid w:val="00F34477"/>
    <w:rsid w:val="00F349CC"/>
    <w:rsid w:val="00F34E79"/>
    <w:rsid w:val="00F36373"/>
    <w:rsid w:val="00F40A58"/>
    <w:rsid w:val="00F44D7C"/>
    <w:rsid w:val="00F463A0"/>
    <w:rsid w:val="00F46464"/>
    <w:rsid w:val="00F47A08"/>
    <w:rsid w:val="00F47CE4"/>
    <w:rsid w:val="00F50920"/>
    <w:rsid w:val="00F530C9"/>
    <w:rsid w:val="00F5329C"/>
    <w:rsid w:val="00F565F5"/>
    <w:rsid w:val="00F64435"/>
    <w:rsid w:val="00F667D5"/>
    <w:rsid w:val="00F67747"/>
    <w:rsid w:val="00F71B71"/>
    <w:rsid w:val="00F7409F"/>
    <w:rsid w:val="00F74D64"/>
    <w:rsid w:val="00F7569C"/>
    <w:rsid w:val="00F811F4"/>
    <w:rsid w:val="00F81EA3"/>
    <w:rsid w:val="00F8254E"/>
    <w:rsid w:val="00F834B3"/>
    <w:rsid w:val="00F85D06"/>
    <w:rsid w:val="00F92B91"/>
    <w:rsid w:val="00F93BBC"/>
    <w:rsid w:val="00F93D88"/>
    <w:rsid w:val="00F943A2"/>
    <w:rsid w:val="00F94EEB"/>
    <w:rsid w:val="00F959CF"/>
    <w:rsid w:val="00FA0443"/>
    <w:rsid w:val="00FA3FC9"/>
    <w:rsid w:val="00FA75CA"/>
    <w:rsid w:val="00FB0473"/>
    <w:rsid w:val="00FB0C4F"/>
    <w:rsid w:val="00FB284D"/>
    <w:rsid w:val="00FB414B"/>
    <w:rsid w:val="00FB56AC"/>
    <w:rsid w:val="00FB75D1"/>
    <w:rsid w:val="00FB760E"/>
    <w:rsid w:val="00FB79EA"/>
    <w:rsid w:val="00FC30B3"/>
    <w:rsid w:val="00FC3331"/>
    <w:rsid w:val="00FC5592"/>
    <w:rsid w:val="00FC56C6"/>
    <w:rsid w:val="00FC6BF7"/>
    <w:rsid w:val="00FD047D"/>
    <w:rsid w:val="00FD2436"/>
    <w:rsid w:val="00FD4D1F"/>
    <w:rsid w:val="00FD5A42"/>
    <w:rsid w:val="00FE3197"/>
    <w:rsid w:val="00FE51F8"/>
    <w:rsid w:val="00FE75F0"/>
    <w:rsid w:val="00FF0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178BA36C"/>
  <w15:docId w15:val="{F094683E-9C7E-4864-9C39-5C157D42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D31BD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10">
    <w:name w:val="heading 1"/>
    <w:basedOn w:val="a0"/>
    <w:next w:val="a0"/>
    <w:link w:val="11"/>
    <w:uiPriority w:val="9"/>
    <w:qFormat/>
    <w:rsid w:val="00F811F4"/>
    <w:pPr>
      <w:keepNext/>
      <w:keepLines/>
      <w:numPr>
        <w:numId w:val="4"/>
      </w:numPr>
      <w:spacing w:before="240" w:after="240"/>
      <w:ind w:left="2701"/>
      <w:outlineLvl w:val="0"/>
    </w:pPr>
    <w:rPr>
      <w:b/>
      <w:bCs/>
      <w:color w:val="auto"/>
      <w:sz w:val="32"/>
      <w:szCs w:val="32"/>
    </w:rPr>
  </w:style>
  <w:style w:type="paragraph" w:styleId="20">
    <w:name w:val="heading 2"/>
    <w:basedOn w:val="10"/>
    <w:next w:val="a0"/>
    <w:link w:val="21"/>
    <w:unhideWhenUsed/>
    <w:qFormat/>
    <w:rsid w:val="00F811F4"/>
    <w:pPr>
      <w:numPr>
        <w:numId w:val="0"/>
      </w:numPr>
      <w:jc w:val="center"/>
      <w:outlineLvl w:val="1"/>
    </w:pPr>
  </w:style>
  <w:style w:type="paragraph" w:styleId="3">
    <w:name w:val="heading 3"/>
    <w:basedOn w:val="a0"/>
    <w:next w:val="a0"/>
    <w:link w:val="30"/>
    <w:uiPriority w:val="9"/>
    <w:unhideWhenUsed/>
    <w:qFormat/>
    <w:rsid w:val="00F81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F811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811F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1">
    <w:name w:val="Заголовок 2 Знак"/>
    <w:basedOn w:val="a1"/>
    <w:link w:val="20"/>
    <w:rsid w:val="00F811F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F811F4"/>
    <w:rPr>
      <w:rFonts w:asciiTheme="majorHAnsi" w:eastAsiaTheme="majorEastAsia" w:hAnsiTheme="majorHAnsi" w:cstheme="majorBidi"/>
      <w:b/>
      <w:bCs/>
      <w:color w:val="4E67C8" w:themeColor="accent1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F811F4"/>
    <w:rPr>
      <w:rFonts w:asciiTheme="majorHAnsi" w:eastAsiaTheme="majorEastAsia" w:hAnsiTheme="majorHAnsi" w:cstheme="majorBidi"/>
      <w:i/>
      <w:iCs/>
      <w:color w:val="31479E" w:themeColor="accent1" w:themeShade="BF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F811F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F811F4"/>
    <w:rPr>
      <w:rFonts w:ascii="Times New Roman" w:eastAsia="Times New Roman" w:hAnsi="Times New Roman" w:cs="Times New Roman"/>
      <w:color w:val="000000" w:themeColor="text1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F811F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F811F4"/>
    <w:rPr>
      <w:rFonts w:ascii="Times New Roman" w:eastAsia="Times New Roman" w:hAnsi="Times New Roman" w:cs="Times New Roman"/>
      <w:color w:val="000000" w:themeColor="text1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F811F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811F4"/>
    <w:rPr>
      <w:rFonts w:ascii="Tahoma" w:eastAsia="Times New Roman" w:hAnsi="Tahoma" w:cs="Times New Roman"/>
      <w:color w:val="000000" w:themeColor="text1"/>
      <w:sz w:val="16"/>
      <w:szCs w:val="16"/>
    </w:rPr>
  </w:style>
  <w:style w:type="paragraph" w:styleId="a">
    <w:name w:val="List Paragraph"/>
    <w:aliases w:val="текст документа,ПАРАГРАФ,Bullet List,FooterText,numbered,Подпись рисунка,Маркированный список_уровень1,Абзац списка3,Цветной список - Акцент 11,СПИСОК,Второй абзац списка,Абзац списка11,Абзац списка для документа,Нумерация,lp1"/>
    <w:link w:val="aa"/>
    <w:uiPriority w:val="34"/>
    <w:qFormat/>
    <w:rsid w:val="00F811F4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character" w:customStyle="1" w:styleId="aa">
    <w:name w:val="Абзац списка Знак"/>
    <w:aliases w:val="текст документа Знак,ПАРАГРАФ Знак,Bullet List Знак,FooterText Знак,numbered Знак,Подпись рисунка Знак,Маркированный список_уровень1 Знак,Абзац списка3 Знак,Цветной список - Акцент 11 Знак,СПИСОК Знак,Второй абзац списка Знак,lp1 Знак"/>
    <w:link w:val="a"/>
    <w:uiPriority w:val="34"/>
    <w:qFormat/>
    <w:locked/>
    <w:rsid w:val="00F811F4"/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ab">
    <w:name w:val="Body Text"/>
    <w:basedOn w:val="a0"/>
    <w:link w:val="ac"/>
    <w:uiPriority w:val="1"/>
    <w:unhideWhenUsed/>
    <w:qFormat/>
    <w:rsid w:val="00F811F4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1"/>
    <w:link w:val="ab"/>
    <w:uiPriority w:val="1"/>
    <w:rsid w:val="00F811F4"/>
    <w:rPr>
      <w:rFonts w:ascii="Times New Roman" w:eastAsia="Times New Roman" w:hAnsi="Times New Roman" w:cs="Times New Roman"/>
      <w:color w:val="000000" w:themeColor="text1"/>
      <w:sz w:val="20"/>
      <w:szCs w:val="20"/>
    </w:rPr>
  </w:style>
  <w:style w:type="table" w:styleId="ad">
    <w:name w:val="Table Grid"/>
    <w:basedOn w:val="a2"/>
    <w:uiPriority w:val="59"/>
    <w:rsid w:val="00F811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10"/>
    <w:uiPriority w:val="1"/>
    <w:qFormat/>
    <w:rsid w:val="00F811F4"/>
    <w:pPr>
      <w:ind w:firstLine="0"/>
    </w:pPr>
    <w:rPr>
      <w:b w:val="0"/>
      <w:bCs w:val="0"/>
    </w:rPr>
  </w:style>
  <w:style w:type="paragraph" w:customStyle="1" w:styleId="TableParagraph">
    <w:name w:val="Table Paragraph"/>
    <w:basedOn w:val="a0"/>
    <w:uiPriority w:val="1"/>
    <w:qFormat/>
    <w:rsid w:val="00F811F4"/>
  </w:style>
  <w:style w:type="table" w:customStyle="1" w:styleId="TableNormal">
    <w:name w:val="Table Normal"/>
    <w:uiPriority w:val="2"/>
    <w:semiHidden/>
    <w:unhideWhenUsed/>
    <w:qFormat/>
    <w:rsid w:val="00F811F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ght List Accent 5"/>
    <w:basedOn w:val="a2"/>
    <w:uiPriority w:val="61"/>
    <w:rsid w:val="00F811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ae">
    <w:name w:val="Hyperlink"/>
    <w:uiPriority w:val="99"/>
    <w:unhideWhenUsed/>
    <w:rsid w:val="00F811F4"/>
    <w:rPr>
      <w:color w:val="0000FF"/>
      <w:u w:val="single"/>
    </w:rPr>
  </w:style>
  <w:style w:type="paragraph" w:customStyle="1" w:styleId="ConsPlusNormal">
    <w:name w:val="ConsPlusNormal"/>
    <w:link w:val="ConsPlusNormal0"/>
    <w:rsid w:val="00F811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F811F4"/>
    <w:rPr>
      <w:rFonts w:ascii="Times New Roman" w:eastAsia="Calibri" w:hAnsi="Times New Roman" w:cs="Times New Roman"/>
      <w:sz w:val="24"/>
      <w:szCs w:val="24"/>
    </w:rPr>
  </w:style>
  <w:style w:type="paragraph" w:styleId="af">
    <w:name w:val="Body Text Indent"/>
    <w:basedOn w:val="a0"/>
    <w:link w:val="af0"/>
    <w:rsid w:val="00F811F4"/>
    <w:pPr>
      <w:widowControl/>
      <w:spacing w:after="120"/>
      <w:ind w:left="283"/>
    </w:pPr>
    <w:rPr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F811F4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CharStyle5">
    <w:name w:val="Char Style 5"/>
    <w:link w:val="Style4"/>
    <w:uiPriority w:val="99"/>
    <w:locked/>
    <w:rsid w:val="00F811F4"/>
    <w:rPr>
      <w:sz w:val="30"/>
      <w:szCs w:val="30"/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F811F4"/>
    <w:pPr>
      <w:shd w:val="clear" w:color="auto" w:fill="FFFFFF"/>
      <w:spacing w:before="840" w:line="552" w:lineRule="exact"/>
    </w:pPr>
    <w:rPr>
      <w:rFonts w:asciiTheme="minorHAnsi" w:eastAsiaTheme="minorHAnsi" w:hAnsiTheme="minorHAnsi" w:cstheme="minorBidi"/>
      <w:color w:val="auto"/>
      <w:sz w:val="30"/>
      <w:szCs w:val="30"/>
    </w:rPr>
  </w:style>
  <w:style w:type="paragraph" w:customStyle="1" w:styleId="ConsPlusTitle">
    <w:name w:val="ConsPlusTitle"/>
    <w:uiPriority w:val="99"/>
    <w:rsid w:val="00F811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f1">
    <w:name w:val="Normal (Web)"/>
    <w:basedOn w:val="a0"/>
    <w:uiPriority w:val="99"/>
    <w:unhideWhenUsed/>
    <w:rsid w:val="00F811F4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F811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rsid w:val="00F811F4"/>
    <w:rPr>
      <w:rFonts w:ascii="Calibri" w:eastAsia="Times New Roman" w:hAnsi="Calibri" w:cs="Times New Roman"/>
    </w:rPr>
  </w:style>
  <w:style w:type="paragraph" w:styleId="af4">
    <w:name w:val="TOC Heading"/>
    <w:basedOn w:val="10"/>
    <w:next w:val="a0"/>
    <w:uiPriority w:val="39"/>
    <w:unhideWhenUsed/>
    <w:qFormat/>
    <w:rsid w:val="00F811F4"/>
    <w:pPr>
      <w:widowControl/>
      <w:spacing w:line="259" w:lineRule="auto"/>
      <w:outlineLvl w:val="9"/>
    </w:pPr>
    <w:rPr>
      <w:rFonts w:ascii="Calibri Light" w:hAnsi="Calibri Light"/>
      <w:color w:val="2E74B5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811F4"/>
  </w:style>
  <w:style w:type="paragraph" w:styleId="22">
    <w:name w:val="toc 2"/>
    <w:basedOn w:val="a0"/>
    <w:next w:val="a0"/>
    <w:autoRedefine/>
    <w:uiPriority w:val="39"/>
    <w:unhideWhenUsed/>
    <w:rsid w:val="00F811F4"/>
    <w:pPr>
      <w:ind w:left="220"/>
    </w:pPr>
  </w:style>
  <w:style w:type="character" w:styleId="af5">
    <w:name w:val="footnote reference"/>
    <w:uiPriority w:val="99"/>
    <w:unhideWhenUsed/>
    <w:rsid w:val="00F811F4"/>
    <w:rPr>
      <w:vertAlign w:val="superscript"/>
    </w:rPr>
  </w:style>
  <w:style w:type="paragraph" w:styleId="af6">
    <w:name w:val="footnote text"/>
    <w:basedOn w:val="a0"/>
    <w:link w:val="af7"/>
    <w:uiPriority w:val="99"/>
    <w:unhideWhenUsed/>
    <w:rsid w:val="00F811F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F811F4"/>
    <w:rPr>
      <w:rFonts w:ascii="Times New Roman" w:eastAsia="Times New Roman" w:hAnsi="Times New Roman" w:cs="Times New Roman"/>
      <w:color w:val="000000" w:themeColor="text1"/>
      <w:sz w:val="20"/>
      <w:szCs w:val="20"/>
    </w:rPr>
  </w:style>
  <w:style w:type="table" w:customStyle="1" w:styleId="-411">
    <w:name w:val="Таблица-сетка 4 — акцент 11"/>
    <w:basedOn w:val="a2"/>
    <w:uiPriority w:val="49"/>
    <w:rsid w:val="00F811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customStyle="1" w:styleId="-61">
    <w:name w:val="Таблица-сетка 6 цветная1"/>
    <w:basedOn w:val="a2"/>
    <w:uiPriority w:val="51"/>
    <w:rsid w:val="00F811F4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2"/>
    <w:uiPriority w:val="51"/>
    <w:rsid w:val="00F811F4"/>
    <w:pPr>
      <w:spacing w:after="0" w:line="240" w:lineRule="auto"/>
    </w:pPr>
    <w:rPr>
      <w:rFonts w:ascii="Calibri" w:eastAsia="Calibri" w:hAnsi="Calibri" w:cs="Times New Roman"/>
      <w:color w:val="31479E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character" w:customStyle="1" w:styleId="pt-a0">
    <w:name w:val="pt-a0"/>
    <w:basedOn w:val="a1"/>
    <w:rsid w:val="00F811F4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F811F4"/>
    <w:pPr>
      <w:spacing w:after="100"/>
      <w:ind w:left="440"/>
    </w:pPr>
  </w:style>
  <w:style w:type="paragraph" w:customStyle="1" w:styleId="1">
    <w:name w:val="Абзац списка 1"/>
    <w:basedOn w:val="a0"/>
    <w:link w:val="13"/>
    <w:uiPriority w:val="1"/>
    <w:qFormat/>
    <w:rsid w:val="00F811F4"/>
    <w:pPr>
      <w:numPr>
        <w:numId w:val="6"/>
      </w:numPr>
      <w:spacing w:before="120" w:after="120"/>
      <w:ind w:left="0" w:firstLine="0"/>
      <w:contextualSpacing/>
    </w:pPr>
  </w:style>
  <w:style w:type="character" w:customStyle="1" w:styleId="13">
    <w:name w:val="Абзац списка 1 Знак"/>
    <w:basedOn w:val="aa"/>
    <w:link w:val="1"/>
    <w:uiPriority w:val="1"/>
    <w:rsid w:val="00F811F4"/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2">
    <w:name w:val="Абзац списка 2"/>
    <w:basedOn w:val="a0"/>
    <w:link w:val="23"/>
    <w:uiPriority w:val="1"/>
    <w:qFormat/>
    <w:rsid w:val="00F811F4"/>
    <w:pPr>
      <w:numPr>
        <w:ilvl w:val="1"/>
        <w:numId w:val="4"/>
      </w:numPr>
      <w:contextualSpacing/>
    </w:pPr>
  </w:style>
  <w:style w:type="character" w:customStyle="1" w:styleId="23">
    <w:name w:val="Абзац списка 2 Знак"/>
    <w:basedOn w:val="aa"/>
    <w:link w:val="2"/>
    <w:uiPriority w:val="1"/>
    <w:rsid w:val="00F811F4"/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14">
    <w:name w:val="Стиль1"/>
    <w:basedOn w:val="10"/>
    <w:link w:val="15"/>
    <w:uiPriority w:val="1"/>
    <w:qFormat/>
    <w:rsid w:val="00F811F4"/>
    <w:rPr>
      <w:color w:val="D75C00" w:themeColor="accent5" w:themeShade="BF"/>
    </w:rPr>
  </w:style>
  <w:style w:type="character" w:customStyle="1" w:styleId="15">
    <w:name w:val="Стиль1 Знак"/>
    <w:basedOn w:val="11"/>
    <w:link w:val="14"/>
    <w:uiPriority w:val="1"/>
    <w:rsid w:val="00F811F4"/>
    <w:rPr>
      <w:rFonts w:ascii="Times New Roman" w:eastAsia="Times New Roman" w:hAnsi="Times New Roman" w:cs="Times New Roman"/>
      <w:b/>
      <w:bCs/>
      <w:color w:val="D75C00" w:themeColor="accent5" w:themeShade="BF"/>
      <w:sz w:val="32"/>
      <w:szCs w:val="32"/>
    </w:rPr>
  </w:style>
  <w:style w:type="paragraph" w:customStyle="1" w:styleId="24">
    <w:name w:val="Стиль2"/>
    <w:basedOn w:val="14"/>
    <w:link w:val="25"/>
    <w:uiPriority w:val="1"/>
    <w:qFormat/>
    <w:rsid w:val="00F811F4"/>
    <w:pPr>
      <w:ind w:left="1284"/>
      <w:jc w:val="center"/>
    </w:pPr>
  </w:style>
  <w:style w:type="character" w:customStyle="1" w:styleId="25">
    <w:name w:val="Стиль2 Знак"/>
    <w:basedOn w:val="15"/>
    <w:link w:val="24"/>
    <w:uiPriority w:val="1"/>
    <w:rsid w:val="00F811F4"/>
    <w:rPr>
      <w:rFonts w:ascii="Times New Roman" w:eastAsia="Times New Roman" w:hAnsi="Times New Roman" w:cs="Times New Roman"/>
      <w:b/>
      <w:bCs/>
      <w:color w:val="D75C00" w:themeColor="accent5" w:themeShade="BF"/>
      <w:sz w:val="32"/>
      <w:szCs w:val="32"/>
    </w:rPr>
  </w:style>
  <w:style w:type="paragraph" w:styleId="41">
    <w:name w:val="toc 4"/>
    <w:basedOn w:val="a0"/>
    <w:next w:val="a0"/>
    <w:autoRedefine/>
    <w:uiPriority w:val="39"/>
    <w:unhideWhenUsed/>
    <w:rsid w:val="004B13FE"/>
    <w:pPr>
      <w:widowControl/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4B13FE"/>
    <w:pPr>
      <w:widowControl/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4B13FE"/>
    <w:pPr>
      <w:widowControl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4B13FE"/>
    <w:pPr>
      <w:widowControl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4B13FE"/>
    <w:pPr>
      <w:widowControl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4B13FE"/>
    <w:pPr>
      <w:widowControl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f8">
    <w:name w:val="Document Map"/>
    <w:basedOn w:val="a0"/>
    <w:link w:val="af9"/>
    <w:semiHidden/>
    <w:rsid w:val="00795B40"/>
    <w:pPr>
      <w:widowControl/>
      <w:shd w:val="clear" w:color="auto" w:fill="000080"/>
      <w:ind w:firstLine="0"/>
      <w:jc w:val="left"/>
    </w:pPr>
    <w:rPr>
      <w:rFonts w:ascii="Tahoma" w:hAnsi="Tahoma" w:cs="Tahoma"/>
      <w:color w:val="auto"/>
      <w:sz w:val="20"/>
      <w:szCs w:val="20"/>
      <w:lang w:eastAsia="ru-RU"/>
    </w:rPr>
  </w:style>
  <w:style w:type="character" w:customStyle="1" w:styleId="af9">
    <w:name w:val="Схема документа Знак"/>
    <w:basedOn w:val="a1"/>
    <w:link w:val="af8"/>
    <w:semiHidden/>
    <w:rsid w:val="00795B4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-161">
    <w:name w:val="Таблица-сетка 1 светлая — акцент 61"/>
    <w:basedOn w:val="a2"/>
    <w:uiPriority w:val="46"/>
    <w:rsid w:val="00BA400E"/>
    <w:pPr>
      <w:spacing w:after="0" w:line="240" w:lineRule="auto"/>
    </w:pPr>
    <w:tblPr>
      <w:tblStyleRowBandSize w:val="1"/>
      <w:tblStyleColBandSize w:val="1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61">
    <w:name w:val="Таблица-сетка 2 — акцент 61"/>
    <w:basedOn w:val="a2"/>
    <w:uiPriority w:val="47"/>
    <w:rsid w:val="00DB3153"/>
    <w:pPr>
      <w:spacing w:after="0" w:line="240" w:lineRule="auto"/>
    </w:pPr>
    <w:tblPr>
      <w:tblStyleRowBandSize w:val="1"/>
      <w:tblStyleColBandSize w:val="1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character" w:customStyle="1" w:styleId="ListLabel25">
    <w:name w:val="ListLabel 25"/>
    <w:qFormat/>
    <w:rsid w:val="002724E6"/>
    <w:rPr>
      <w:rFonts w:cs="Courier New"/>
    </w:rPr>
  </w:style>
  <w:style w:type="paragraph" w:customStyle="1" w:styleId="Default">
    <w:name w:val="Default"/>
    <w:rsid w:val="00DB0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a">
    <w:name w:val="Strong"/>
    <w:basedOn w:val="a1"/>
    <w:uiPriority w:val="22"/>
    <w:qFormat/>
    <w:rsid w:val="004F6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login.consultant.ru/link/?req=doc&amp;base=LAW&amp;n=467434&amp;dst=382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BFA042F4046A6E760AEB257DEAF9B2B0999C63FDB6F1AC25E398518F43EDFCB44683EB167393F7078997D8279BAED1216900993A14F7CEDBE2C83i4M1P" TargetMode="Externa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http://www.pravitelstvokbr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https://login.consultant.ru/link/?req=doc&amp;base=LAW&amp;n=467434&amp;dst=86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Relationship Id="rId22" Type="http://schemas.openxmlformats.org/officeDocument/2006/relationships/hyperlink" Target="http://www.bftcom.com/products/budget/1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</a:rPr>
              <a:t>Структура налоговых доходов</a:t>
            </a:r>
          </a:p>
        </c:rich>
      </c:tx>
      <c:layout>
        <c:manualLayout>
          <c:xMode val="edge"/>
          <c:yMode val="edge"/>
          <c:x val="0.25968533961853429"/>
          <c:y val="7.285974499089253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0744916418336198E-2"/>
          <c:y val="0.18718043223320488"/>
          <c:w val="0.34639743098015324"/>
          <c:h val="0.7349100511372248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shade val="47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C25-450D-B80F-A82D7A822305}"/>
              </c:ext>
            </c:extLst>
          </c:dPt>
          <c:dPt>
            <c:idx val="1"/>
            <c:bubble3D val="0"/>
            <c:spPr>
              <a:pattFill prst="wdDnDiag">
                <a:fgClr>
                  <a:schemeClr val="accent4">
                    <a:lumMod val="75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C25-450D-B80F-A82D7A822305}"/>
              </c:ext>
            </c:extLst>
          </c:dPt>
          <c:dPt>
            <c:idx val="2"/>
            <c:bubble3D val="0"/>
            <c:spPr>
              <a:solidFill>
                <a:schemeClr val="accent4">
                  <a:lumMod val="5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C25-450D-B80F-A82D7A822305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C25-450D-B80F-A82D7A822305}"/>
              </c:ext>
            </c:extLst>
          </c:dPt>
          <c:dPt>
            <c:idx val="4"/>
            <c:bubble3D val="0"/>
            <c:spPr>
              <a:pattFill prst="lgCheck">
                <a:fgClr>
                  <a:schemeClr val="accent3">
                    <a:lumMod val="50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C25-450D-B80F-A82D7A822305}"/>
              </c:ext>
            </c:extLst>
          </c:dPt>
          <c:dPt>
            <c:idx val="5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C25-450D-B80F-A82D7A822305}"/>
              </c:ext>
            </c:extLst>
          </c:dPt>
          <c:dPt>
            <c:idx val="6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C25-450D-B80F-A82D7A822305}"/>
              </c:ext>
            </c:extLst>
          </c:dPt>
          <c:dLbls>
            <c:dLbl>
              <c:idx val="0"/>
              <c:layout>
                <c:manualLayout>
                  <c:x val="6.8767908309455589E-2"/>
                  <c:y val="-6.079027355623100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C25-450D-B80F-A82D7A822305}"/>
                </c:ext>
              </c:extLst>
            </c:dLbl>
            <c:dLbl>
              <c:idx val="1"/>
              <c:layout>
                <c:manualLayout>
                  <c:x val="5.1575931232091692E-2"/>
                  <c:y val="0.1621073961499493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C25-450D-B80F-A82D7A822305}"/>
                </c:ext>
              </c:extLst>
            </c:dLbl>
            <c:dLbl>
              <c:idx val="2"/>
              <c:layout>
                <c:manualLayout>
                  <c:x val="-4.9665711556829049E-2"/>
                  <c:y val="8.51063829787232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C25-450D-B80F-A82D7A822305}"/>
                </c:ext>
              </c:extLst>
            </c:dLbl>
            <c:dLbl>
              <c:idx val="3"/>
              <c:layout>
                <c:manualLayout>
                  <c:x val="-4.7755491881566386E-2"/>
                  <c:y val="-0.1094224924012158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C25-450D-B80F-A82D7A822305}"/>
                </c:ext>
              </c:extLst>
            </c:dLbl>
            <c:dLbl>
              <c:idx val="4"/>
              <c:layout>
                <c:manualLayout>
                  <c:x val="-3.8204393505253106E-2"/>
                  <c:y val="-8.917183224437372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0C25-450D-B80F-A82D7A822305}"/>
                </c:ext>
              </c:extLst>
            </c:dLbl>
            <c:dLbl>
              <c:idx val="5"/>
              <c:layout>
                <c:manualLayout>
                  <c:x val="5.1517797381344523E-2"/>
                  <c:y val="-0.10849228952763883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97612225405921E-2"/>
                      <c:h val="7.55624695849189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0C25-450D-B80F-A82D7A822305}"/>
                </c:ext>
              </c:extLst>
            </c:dLbl>
            <c:dLbl>
              <c:idx val="6"/>
              <c:layout>
                <c:manualLayout>
                  <c:x val="-4.193383420195685E-2"/>
                  <c:y val="-0.144988791294705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0C25-450D-B80F-A82D7A8223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Лист1!$A$1:$A$7</c:f>
              <c:strCache>
                <c:ptCount val="7"/>
                <c:pt idx="0">
                  <c:v>налог на прибыль организаций</c:v>
                </c:pt>
                <c:pt idx="1">
                  <c:v>акцизы</c:v>
                </c:pt>
                <c:pt idx="2">
                  <c:v>налог на доходы физических лиц</c:v>
                </c:pt>
                <c:pt idx="3">
                  <c:v>налоги на совокупный доход</c:v>
                </c:pt>
                <c:pt idx="4">
                  <c:v>налоги на имущество</c:v>
                </c:pt>
                <c:pt idx="5">
                  <c:v>государственная пошлина</c:v>
                </c:pt>
                <c:pt idx="6">
                  <c:v>налоги, сборы и регулярные платежи за пользование природными ресурсами</c:v>
                </c:pt>
              </c:strCache>
            </c:strRef>
          </c:cat>
          <c:val>
            <c:numRef>
              <c:f>Лист1!$B$1:$B$7</c:f>
              <c:numCache>
                <c:formatCode>General</c:formatCode>
                <c:ptCount val="7"/>
                <c:pt idx="0">
                  <c:v>2713.9</c:v>
                </c:pt>
                <c:pt idx="1">
                  <c:v>4693.3</c:v>
                </c:pt>
                <c:pt idx="2">
                  <c:v>5754.3</c:v>
                </c:pt>
                <c:pt idx="3">
                  <c:v>1972.3</c:v>
                </c:pt>
                <c:pt idx="4">
                  <c:v>2224</c:v>
                </c:pt>
                <c:pt idx="5">
                  <c:v>88.9</c:v>
                </c:pt>
                <c:pt idx="6">
                  <c:v>23.3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C25-450D-B80F-A82D7A82230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6719260187805439"/>
          <c:y val="0.11505270857536248"/>
          <c:w val="0.53272633103893452"/>
          <c:h val="0.83758845718055763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2354055669595488"/>
          <c:y val="0.14202313114835946"/>
          <c:w val="0.35387119264125932"/>
          <c:h val="0.80409683026621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spPr>
            <a:ln w="34925">
              <a:solidFill>
                <a:schemeClr val="accent3">
                  <a:lumMod val="50000"/>
                </a:schemeClr>
              </a:solidFill>
            </a:ln>
          </c:spPr>
          <c:dPt>
            <c:idx val="0"/>
            <c:bubble3D val="0"/>
            <c:spPr>
              <a:solidFill>
                <a:schemeClr val="accent3">
                  <a:lumMod val="75000"/>
                </a:schemeClr>
              </a:solidFill>
              <a:ln w="34925">
                <a:solidFill>
                  <a:schemeClr val="accent3">
                    <a:lumMod val="50000"/>
                  </a:schemeClr>
                </a:solidFill>
              </a:ln>
              <a:effectLst/>
              <a:sp3d contourW="34925">
                <a:contourClr>
                  <a:schemeClr val="accent3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359-4EE1-8C77-63E2E12F858F}"/>
              </c:ext>
            </c:extLst>
          </c:dPt>
          <c:dPt>
            <c:idx val="1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34925">
                <a:solidFill>
                  <a:schemeClr val="accent3">
                    <a:lumMod val="50000"/>
                  </a:schemeClr>
                </a:solidFill>
              </a:ln>
              <a:effectLst/>
              <a:sp3d contourW="34925">
                <a:contourClr>
                  <a:schemeClr val="accent3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359-4EE1-8C77-63E2E12F858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tint val="1000"/>
                      <a:satMod val="100000"/>
                    </a:schemeClr>
                  </a:gs>
                  <a:gs pos="68000">
                    <a:schemeClr val="accent5">
                      <a:tint val="77000"/>
                      <a:satMod val="100000"/>
                    </a:schemeClr>
                  </a:gs>
                  <a:gs pos="81000">
                    <a:schemeClr val="accent5">
                      <a:tint val="79000"/>
                      <a:satMod val="100000"/>
                    </a:schemeClr>
                  </a:gs>
                  <a:gs pos="86000">
                    <a:schemeClr val="accent5">
                      <a:tint val="73000"/>
                      <a:satMod val="100000"/>
                    </a:schemeClr>
                  </a:gs>
                  <a:gs pos="100000">
                    <a:schemeClr val="accent5">
                      <a:tint val="35000"/>
                      <a:satMod val="100000"/>
                    </a:schemeClr>
                  </a:gs>
                </a:gsLst>
                <a:lin ang="5400000" scaled="0"/>
              </a:gradFill>
              <a:ln w="34925">
                <a:solidFill>
                  <a:schemeClr val="accent3">
                    <a:lumMod val="50000"/>
                  </a:schemeClr>
                </a:solidFill>
              </a:ln>
              <a:effectLst/>
              <a:sp3d contourW="34925">
                <a:contourClr>
                  <a:schemeClr val="accent3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359-4EE1-8C77-63E2E12F858F}"/>
              </c:ext>
            </c:extLst>
          </c:dPt>
          <c:dPt>
            <c:idx val="3"/>
            <c:bubble3D val="0"/>
            <c:spPr>
              <a:solidFill>
                <a:schemeClr val="accent4">
                  <a:lumMod val="50000"/>
                </a:schemeClr>
              </a:solidFill>
              <a:ln w="34925">
                <a:solidFill>
                  <a:schemeClr val="accent3">
                    <a:lumMod val="50000"/>
                  </a:schemeClr>
                </a:solidFill>
              </a:ln>
              <a:effectLst/>
              <a:sp3d contourW="34925">
                <a:contourClr>
                  <a:schemeClr val="accent3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359-4EE1-8C77-63E2E12F858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34925">
                <a:solidFill>
                  <a:schemeClr val="accent3">
                    <a:lumMod val="50000"/>
                  </a:schemeClr>
                </a:solidFill>
              </a:ln>
              <a:effectLst/>
              <a:sp3d contourW="34925">
                <a:contourClr>
                  <a:schemeClr val="accent3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359-4EE1-8C77-63E2E12F858F}"/>
              </c:ext>
            </c:extLst>
          </c:dPt>
          <c:dPt>
            <c:idx val="5"/>
            <c:bubble3D val="0"/>
            <c:spPr>
              <a:solidFill>
                <a:srgbClr val="FFFF00"/>
              </a:solidFill>
              <a:ln w="34925">
                <a:solidFill>
                  <a:schemeClr val="accent3">
                    <a:lumMod val="50000"/>
                  </a:schemeClr>
                </a:solidFill>
              </a:ln>
              <a:effectLst/>
              <a:sp3d contourW="34925">
                <a:contourClr>
                  <a:schemeClr val="accent3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359-4EE1-8C77-63E2E12F858F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tint val="1000"/>
                      <a:satMod val="100000"/>
                    </a:schemeClr>
                  </a:gs>
                  <a:gs pos="68000">
                    <a:schemeClr val="accent1">
                      <a:lumMod val="80000"/>
                      <a:lumOff val="20000"/>
                      <a:tint val="77000"/>
                      <a:satMod val="100000"/>
                    </a:schemeClr>
                  </a:gs>
                  <a:gs pos="81000">
                    <a:schemeClr val="accent1">
                      <a:lumMod val="80000"/>
                      <a:lumOff val="20000"/>
                      <a:tint val="79000"/>
                      <a:satMod val="100000"/>
                    </a:schemeClr>
                  </a:gs>
                  <a:gs pos="86000">
                    <a:schemeClr val="accent1">
                      <a:lumMod val="80000"/>
                      <a:lumOff val="20000"/>
                      <a:tint val="73000"/>
                      <a:satMod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tint val="35000"/>
                      <a:satMod val="100000"/>
                    </a:schemeClr>
                  </a:gs>
                </a:gsLst>
                <a:lin ang="5400000" scaled="0"/>
              </a:gradFill>
              <a:ln w="34925">
                <a:solidFill>
                  <a:schemeClr val="accent3">
                    <a:lumMod val="50000"/>
                  </a:schemeClr>
                </a:solidFill>
              </a:ln>
              <a:effectLst/>
              <a:sp3d contourW="34925">
                <a:contourClr>
                  <a:schemeClr val="accent3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359-4EE1-8C77-63E2E12F858F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tint val="1000"/>
                      <a:satMod val="100000"/>
                    </a:schemeClr>
                  </a:gs>
                  <a:gs pos="68000">
                    <a:schemeClr val="accent3">
                      <a:lumMod val="80000"/>
                      <a:lumOff val="20000"/>
                      <a:tint val="77000"/>
                      <a:satMod val="100000"/>
                    </a:schemeClr>
                  </a:gs>
                  <a:gs pos="81000">
                    <a:schemeClr val="accent3">
                      <a:lumMod val="80000"/>
                      <a:lumOff val="20000"/>
                      <a:tint val="79000"/>
                      <a:satMod val="100000"/>
                    </a:schemeClr>
                  </a:gs>
                  <a:gs pos="86000">
                    <a:schemeClr val="accent3">
                      <a:lumMod val="80000"/>
                      <a:lumOff val="20000"/>
                      <a:tint val="73000"/>
                      <a:satMod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tint val="35000"/>
                      <a:satMod val="100000"/>
                    </a:schemeClr>
                  </a:gs>
                </a:gsLst>
                <a:lin ang="5400000" scaled="0"/>
              </a:gradFill>
              <a:ln w="34925">
                <a:solidFill>
                  <a:schemeClr val="accent3">
                    <a:lumMod val="50000"/>
                  </a:schemeClr>
                </a:solidFill>
              </a:ln>
              <a:effectLst/>
              <a:sp3d contourW="34925">
                <a:contourClr>
                  <a:schemeClr val="accent3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359-4EE1-8C77-63E2E12F858F}"/>
              </c:ext>
            </c:extLst>
          </c:dPt>
          <c:dLbls>
            <c:dLbl>
              <c:idx val="0"/>
              <c:layout>
                <c:manualLayout>
                  <c:x val="7.1629166012368073E-2"/>
                  <c:y val="0.15778323887857978"/>
                </c:manualLayout>
              </c:layout>
              <c:tx>
                <c:rich>
                  <a:bodyPr/>
                  <a:lstStyle/>
                  <a:p>
                    <a:fld id="{7161C97B-700C-40A1-8ABA-CCB5003BD69B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 </a:t>
                    </a:r>
                    <a:br>
                      <a:rPr lang="ru-RU"/>
                    </a:br>
                    <a:fld id="{E4F64385-05E6-489B-9109-FC53329D7E79}" type="VALUE">
                      <a:rPr lang="ru-RU"/>
                      <a:pPr/>
                      <a:t>[ЗНАЧЕНИЕ]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4BD60434-1F6E-4DBD-91B4-B475388D0971}" type="PERCENTAGE">
                      <a:rPr lang="ru-RU"/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359-4EE1-8C77-63E2E12F858F}"/>
                </c:ext>
              </c:extLst>
            </c:dLbl>
            <c:dLbl>
              <c:idx val="1"/>
              <c:layout>
                <c:manualLayout>
                  <c:x val="0.17878098571011958"/>
                  <c:y val="5.7099709670049105E-2"/>
                </c:manualLayout>
              </c:layout>
              <c:tx>
                <c:rich>
                  <a:bodyPr/>
                  <a:lstStyle/>
                  <a:p>
                    <a:fld id="{B4358DBB-1553-4F96-96B0-D02AF34E59FD}" type="CATEGORYNAME">
                      <a:rPr lang="ru-RU"/>
                      <a:pPr/>
                      <a:t>[ИМЯ КАТЕГОРИИ]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87147AC3-51C7-460F-AAB6-5F2E150E1856}" type="VALUE">
                      <a:rPr lang="ru-RU"/>
                      <a:pPr/>
                      <a:t>[ЗНАЧЕНИЕ]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57D7A4FA-FEFF-41FE-B2FB-6A6AB357C9B3}" type="PERCENTAGE">
                      <a:rPr lang="ru-RU"/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359-4EE1-8C77-63E2E12F858F}"/>
                </c:ext>
              </c:extLst>
            </c:dLbl>
            <c:dLbl>
              <c:idx val="2"/>
              <c:layout>
                <c:manualLayout>
                  <c:x val="-4.1959007260844568E-2"/>
                  <c:y val="0.15316916595616631"/>
                </c:manualLayout>
              </c:layout>
              <c:tx>
                <c:rich>
                  <a:bodyPr/>
                  <a:lstStyle/>
                  <a:p>
                    <a:fld id="{ED40EAC2-6375-4696-8CA1-84E38257B91F}" type="CATEGORYNAME">
                      <a:rPr lang="ru-RU"/>
                      <a:pPr/>
                      <a:t>[ИМЯ КАТЕГОРИИ]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907FDC20-9814-43CC-9C03-33DB7362102B}" type="VALUE">
                      <a:rPr lang="ru-RU"/>
                      <a:pPr/>
                      <a:t>[ЗНАЧЕНИЕ]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337D6CAA-6A0A-478C-B2D8-21A5893A44FC}" type="PERCENTAGE">
                      <a:rPr lang="ru-RU"/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359-4EE1-8C77-63E2E12F858F}"/>
                </c:ext>
              </c:extLst>
            </c:dLbl>
            <c:dLbl>
              <c:idx val="3"/>
              <c:layout>
                <c:manualLayout>
                  <c:x val="-0.138700077020287"/>
                  <c:y val="9.437138828983957E-2"/>
                </c:manualLayout>
              </c:layout>
              <c:tx>
                <c:rich>
                  <a:bodyPr/>
                  <a:lstStyle/>
                  <a:p>
                    <a:fld id="{9C31FD6A-F0AB-41A5-AA73-0C56E6E6D6A5}" type="CATEGORYNAME">
                      <a:rPr lang="ru-RU"/>
                      <a:pPr/>
                      <a:t>[ИМЯ КАТЕГОРИИ]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A3C32397-22F5-47BB-BB21-F53C7B5A9939}" type="VALUE">
                      <a:rPr lang="ru-RU"/>
                      <a:pPr/>
                      <a:t>[ЗНАЧЕНИЕ]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B1095DF1-9753-454D-B253-0DCFEB079041}" type="PERCENTAGE">
                      <a:rPr lang="ru-RU"/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359-4EE1-8C77-63E2E12F858F}"/>
                </c:ext>
              </c:extLst>
            </c:dLbl>
            <c:dLbl>
              <c:idx val="4"/>
              <c:layout>
                <c:manualLayout>
                  <c:x val="-0.16727699635836121"/>
                  <c:y val="-3.1920468540158592E-2"/>
                </c:manualLayout>
              </c:layout>
              <c:tx>
                <c:rich>
                  <a:bodyPr/>
                  <a:lstStyle/>
                  <a:p>
                    <a:fld id="{11AF6F54-CD28-4581-95E8-2BEAF2D379A3}" type="CATEGORYNAME">
                      <a:rPr lang="ru-RU"/>
                      <a:pPr/>
                      <a:t>[ИМЯ КАТЕГОРИИ]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80A8D217-5FCB-48D6-8367-815DCB092AA5}" type="VALUE">
                      <a:rPr lang="ru-RU"/>
                      <a:pPr/>
                      <a:t>[ЗНАЧЕНИЕ]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48EBB7C4-9756-49C3-8689-B16DF8036E0A}" type="PERCENTAGE">
                      <a:rPr lang="ru-RU"/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359-4EE1-8C77-63E2E12F858F}"/>
                </c:ext>
              </c:extLst>
            </c:dLbl>
            <c:dLbl>
              <c:idx val="5"/>
              <c:layout>
                <c:manualLayout>
                  <c:x val="-8.7202967150473709E-2"/>
                  <c:y val="-0.13996511582548998"/>
                </c:manualLayout>
              </c:layout>
              <c:tx>
                <c:rich>
                  <a:bodyPr/>
                  <a:lstStyle/>
                  <a:p>
                    <a:fld id="{4A564973-F4A7-45F0-9A9A-6F56184BCB75}" type="CATEGORYNAME">
                      <a:rPr lang="ru-RU"/>
                      <a:pPr/>
                      <a:t>[ИМЯ КАТЕГОРИИ]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5A27F0D4-ED0B-4113-9180-DC128238A1FF}" type="VALUE">
                      <a:rPr lang="ru-RU"/>
                      <a:pPr/>
                      <a:t>[ЗНАЧЕНИЕ]</a:t>
                    </a:fld>
                    <a:endParaRPr lang="ru-RU"/>
                  </a:p>
                  <a:p>
                    <a:fld id="{D50F7CC6-8975-4A26-8537-684B2692D66A}" type="PERCENTAGE">
                      <a:rPr lang="ru-RU"/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359-4EE1-8C77-63E2E12F858F}"/>
                </c:ext>
              </c:extLst>
            </c:dLbl>
            <c:dLbl>
              <c:idx val="6"/>
              <c:layout>
                <c:manualLayout>
                  <c:x val="0.18546978636217473"/>
                  <c:y val="-2.3643668745228514E-2"/>
                </c:manualLayout>
              </c:layout>
              <c:tx>
                <c:rich>
                  <a:bodyPr/>
                  <a:lstStyle/>
                  <a:p>
                    <a:fld id="{2D96EA7B-17EA-40F9-B9EF-C82E8896E9D3}" type="CATEGORYNAME">
                      <a:rPr lang="ru-RU"/>
                      <a:pPr/>
                      <a:t>[ИМЯ КАТЕГОРИИ]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517B1056-22C1-4D5C-AF82-1B2B38B81EAE}" type="VALUE">
                      <a:rPr lang="ru-RU"/>
                      <a:pPr/>
                      <a:t>[ЗНАЧЕНИЕ]</a:t>
                    </a:fld>
                    <a:endParaRPr lang="ru-RU"/>
                  </a:p>
                  <a:p>
                    <a:r>
                      <a:rPr lang="ru-RU"/>
                      <a:t> 0,1%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359-4EE1-8C77-63E2E12F858F}"/>
                </c:ext>
              </c:extLst>
            </c:dLbl>
            <c:dLbl>
              <c:idx val="7"/>
              <c:layout>
                <c:manualLayout>
                  <c:x val="0.28384440998380966"/>
                  <c:y val="6.178622558543824E-2"/>
                </c:manualLayout>
              </c:layout>
              <c:tx>
                <c:rich>
                  <a:bodyPr/>
                  <a:lstStyle/>
                  <a:p>
                    <a:fld id="{BB432BD0-0CA2-47A7-86BE-7BFCA06499D4}" type="CATEGORYNAME">
                      <a:rPr lang="ru-RU"/>
                      <a:pPr/>
                      <a:t>[ИМЯ КАТЕГОРИИ]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2E23E391-DD12-4A53-8BAA-60534429300F}" type="VALUE">
                      <a:rPr lang="ru-RU"/>
                      <a:pPr/>
                      <a:t>[ЗНАЧЕНИЕ]</a:t>
                    </a:fld>
                    <a:endParaRPr lang="ru-RU"/>
                  </a:p>
                  <a:p>
                    <a:r>
                      <a:rPr lang="ru-RU"/>
                      <a:t> </a:t>
                    </a:r>
                    <a:fld id="{ED9A25A2-E1A8-4423-920C-0B1BE1D8CA96}" type="PERCENTAGE">
                      <a:rPr lang="ru-RU"/>
                      <a:pPr/>
                      <a:t>[ПРОЦЕНТ]</a:t>
                    </a:fld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1359-4EE1-8C77-63E2E12F858F}"/>
                </c:ext>
              </c:extLst>
            </c:dLbl>
            <c:spPr>
              <a:solidFill>
                <a:schemeClr val="accent3">
                  <a:lumMod val="20000"/>
                  <a:lumOff val="80000"/>
                </a:schemeClr>
              </a:solidFill>
              <a:ln>
                <a:solidFill>
                  <a:schemeClr val="accent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межбюджетные трансферты</c:v>
                </c:pt>
                <c:pt idx="1">
                  <c:v>выплата заработной платы</c:v>
                </c:pt>
                <c:pt idx="2">
                  <c:v>социальные выплаты населению </c:v>
                </c:pt>
                <c:pt idx="3">
                  <c:v>ОМС</c:v>
                </c:pt>
                <c:pt idx="4">
                  <c:v>медикаменты</c:v>
                </c:pt>
                <c:pt idx="5">
                  <c:v>питание</c:v>
                </c:pt>
                <c:pt idx="6">
                  <c:v>оплата коммунальных услуг и услуг связи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17586.5</c:v>
                </c:pt>
                <c:pt idx="1">
                  <c:v>9539.5</c:v>
                </c:pt>
                <c:pt idx="2">
                  <c:v>9365.6</c:v>
                </c:pt>
                <c:pt idx="3">
                  <c:v>4661.6000000000004</c:v>
                </c:pt>
                <c:pt idx="4">
                  <c:v>1542.6</c:v>
                </c:pt>
                <c:pt idx="5">
                  <c:v>305.8</c:v>
                </c:pt>
                <c:pt idx="6">
                  <c:v>607.5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359-4EE1-8C77-63E2E12F858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1FE545-41C1-4886-888F-26FDEC904DE7}" type="doc">
      <dgm:prSet loTypeId="urn:microsoft.com/office/officeart/2005/8/layout/radial4" loCatId="relationship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D928B62D-76CC-4650-96E5-79AFBBAAFE0C}">
      <dgm:prSet phldrT="[Текст]" custT="1"/>
      <dgm:spPr/>
      <dgm:t>
        <a:bodyPr/>
        <a:lstStyle/>
        <a:p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БЕЗВОЗМЕЗДНЫЕ</a:t>
          </a:r>
        </a:p>
        <a:p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ПОСТУПЛЕНИЯ </a:t>
          </a:r>
        </a:p>
        <a:p>
          <a:r>
            <a:rPr lang="ru-RU" sz="1500" b="1">
              <a:latin typeface="Times New Roman" panose="02020603050405020304" pitchFamily="18" charset="0"/>
              <a:cs typeface="Times New Roman" panose="02020603050405020304" pitchFamily="18" charset="0"/>
            </a:rPr>
            <a:t>41 288,5</a:t>
          </a:r>
          <a:endParaRPr lang="ru-RU" sz="1500"/>
        </a:p>
      </dgm:t>
    </dgm:pt>
    <dgm:pt modelId="{C4641B4F-0E1E-4040-A9CC-465A6FF243BB}" type="parTrans" cxnId="{C9E35874-5010-4ADC-8C09-695615830C4E}">
      <dgm:prSet/>
      <dgm:spPr/>
      <dgm:t>
        <a:bodyPr/>
        <a:lstStyle/>
        <a:p>
          <a:endParaRPr lang="ru-RU"/>
        </a:p>
      </dgm:t>
    </dgm:pt>
    <dgm:pt modelId="{E4A5554B-E9F8-4DFA-A368-367E70EB38CD}" type="sibTrans" cxnId="{C9E35874-5010-4ADC-8C09-695615830C4E}">
      <dgm:prSet/>
      <dgm:spPr/>
      <dgm:t>
        <a:bodyPr/>
        <a:lstStyle/>
        <a:p>
          <a:endParaRPr lang="ru-RU"/>
        </a:p>
      </dgm:t>
    </dgm:pt>
    <dgm:pt modelId="{C5428DC7-7BB1-47C7-B047-DA924A302F2E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ДОТАЦИИ</a:t>
          </a:r>
        </a:p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21 748,9</a:t>
          </a:r>
          <a:endParaRPr lang="ru-RU"/>
        </a:p>
      </dgm:t>
    </dgm:pt>
    <dgm:pt modelId="{F4ABABEF-7A32-4F85-B2A4-0B81F777C168}" type="parTrans" cxnId="{31B419AC-8A22-4A4D-AEF7-C6246D29C2A6}">
      <dgm:prSet/>
      <dgm:spPr/>
      <dgm:t>
        <a:bodyPr/>
        <a:lstStyle/>
        <a:p>
          <a:endParaRPr lang="ru-RU"/>
        </a:p>
      </dgm:t>
    </dgm:pt>
    <dgm:pt modelId="{81AB332A-605F-4332-A6EC-8A55BF604551}" type="sibTrans" cxnId="{31B419AC-8A22-4A4D-AEF7-C6246D29C2A6}">
      <dgm:prSet/>
      <dgm:spPr/>
      <dgm:t>
        <a:bodyPr/>
        <a:lstStyle/>
        <a:p>
          <a:endParaRPr lang="ru-RU"/>
        </a:p>
      </dgm:t>
    </dgm:pt>
    <dgm:pt modelId="{EFE4ACEB-8A2D-48A5-AFDC-180C04AE07C1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СУБСИДИИ</a:t>
          </a:r>
        </a:p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17 326,0</a:t>
          </a:r>
          <a:endParaRPr lang="ru-RU"/>
        </a:p>
      </dgm:t>
    </dgm:pt>
    <dgm:pt modelId="{3DA18B77-5EDE-420E-B9FD-7C0573154054}" type="parTrans" cxnId="{296FB506-320E-4F5A-90F1-F921791FFBA8}">
      <dgm:prSet/>
      <dgm:spPr/>
      <dgm:t>
        <a:bodyPr/>
        <a:lstStyle/>
        <a:p>
          <a:endParaRPr lang="ru-RU"/>
        </a:p>
      </dgm:t>
    </dgm:pt>
    <dgm:pt modelId="{9E0D1E27-0D9C-4371-8D80-63DCB2F760E2}" type="sibTrans" cxnId="{296FB506-320E-4F5A-90F1-F921791FFBA8}">
      <dgm:prSet/>
      <dgm:spPr/>
      <dgm:t>
        <a:bodyPr/>
        <a:lstStyle/>
        <a:p>
          <a:endParaRPr lang="ru-RU"/>
        </a:p>
      </dgm:t>
    </dgm:pt>
    <dgm:pt modelId="{D7023D95-43A4-4007-B990-F7CDD9E3BCA5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СУБВЕНЦИИ</a:t>
          </a:r>
        </a:p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1 247,1</a:t>
          </a:r>
          <a:endParaRPr lang="ru-RU"/>
        </a:p>
      </dgm:t>
    </dgm:pt>
    <dgm:pt modelId="{39029DF9-C4AB-4D2A-90BE-58579A5E6038}" type="parTrans" cxnId="{987DAF4B-4D3C-4311-A07B-F6243B304D3B}">
      <dgm:prSet/>
      <dgm:spPr/>
      <dgm:t>
        <a:bodyPr/>
        <a:lstStyle/>
        <a:p>
          <a:endParaRPr lang="ru-RU"/>
        </a:p>
      </dgm:t>
    </dgm:pt>
    <dgm:pt modelId="{6E50C470-A58F-4A43-8306-050327FACFB1}" type="sibTrans" cxnId="{987DAF4B-4D3C-4311-A07B-F6243B304D3B}">
      <dgm:prSet/>
      <dgm:spPr/>
      <dgm:t>
        <a:bodyPr/>
        <a:lstStyle/>
        <a:p>
          <a:endParaRPr lang="ru-RU"/>
        </a:p>
      </dgm:t>
    </dgm:pt>
    <dgm:pt modelId="{5B9750D7-349D-4EA8-8871-0010CC080677}">
      <dgm:prSet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ИНЫЕ МБТ </a:t>
          </a:r>
          <a:b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828,2</a:t>
          </a:r>
          <a:endParaRPr lang="ru-RU"/>
        </a:p>
      </dgm:t>
    </dgm:pt>
    <dgm:pt modelId="{59E02930-1F16-45F7-AFB9-F54A2BCD99E8}" type="parTrans" cxnId="{0798B6DF-06F9-4645-B742-82E6AB66A01A}">
      <dgm:prSet/>
      <dgm:spPr/>
      <dgm:t>
        <a:bodyPr/>
        <a:lstStyle/>
        <a:p>
          <a:endParaRPr lang="ru-RU"/>
        </a:p>
      </dgm:t>
    </dgm:pt>
    <dgm:pt modelId="{698468EC-D31E-4E17-9297-567C18CACD60}" type="sibTrans" cxnId="{0798B6DF-06F9-4645-B742-82E6AB66A01A}">
      <dgm:prSet/>
      <dgm:spPr/>
      <dgm:t>
        <a:bodyPr/>
        <a:lstStyle/>
        <a:p>
          <a:endParaRPr lang="ru-RU"/>
        </a:p>
      </dgm:t>
    </dgm:pt>
    <dgm:pt modelId="{CE0629D2-81AF-4445-8115-F929F496778F}">
      <dgm:prSet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Другие безвозмездные поступления 138,3</a:t>
          </a:r>
        </a:p>
      </dgm:t>
    </dgm:pt>
    <dgm:pt modelId="{388FC0BA-DABB-4D5B-AA86-2FA0BC3A1F1F}" type="parTrans" cxnId="{74C67A4A-D308-4D16-AB7C-BA468F1F2744}">
      <dgm:prSet/>
      <dgm:spPr/>
      <dgm:t>
        <a:bodyPr/>
        <a:lstStyle/>
        <a:p>
          <a:endParaRPr lang="ru-RU"/>
        </a:p>
      </dgm:t>
    </dgm:pt>
    <dgm:pt modelId="{8DF11364-E49A-4D88-8E85-10DEB73BBD02}" type="sibTrans" cxnId="{74C67A4A-D308-4D16-AB7C-BA468F1F2744}">
      <dgm:prSet/>
      <dgm:spPr/>
      <dgm:t>
        <a:bodyPr/>
        <a:lstStyle/>
        <a:p>
          <a:endParaRPr lang="ru-RU"/>
        </a:p>
      </dgm:t>
    </dgm:pt>
    <dgm:pt modelId="{53C44DD3-AB11-439C-B90E-D784834122CF}" type="pres">
      <dgm:prSet presAssocID="{F91FE545-41C1-4886-888F-26FDEC904DE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E972B4F-1ACA-49FB-9633-3B1B38DA999E}" type="pres">
      <dgm:prSet presAssocID="{D928B62D-76CC-4650-96E5-79AFBBAAFE0C}" presName="centerShape" presStyleLbl="node0" presStyleIdx="0" presStyleCnt="1" custScaleX="102942" custScaleY="100398"/>
      <dgm:spPr/>
      <dgm:t>
        <a:bodyPr/>
        <a:lstStyle/>
        <a:p>
          <a:endParaRPr lang="ru-RU"/>
        </a:p>
      </dgm:t>
    </dgm:pt>
    <dgm:pt modelId="{B42141DB-0D45-4A7D-95D8-3267C7E1F57D}" type="pres">
      <dgm:prSet presAssocID="{F4ABABEF-7A32-4F85-B2A4-0B81F777C168}" presName="parTrans" presStyleLbl="bgSibTrans2D1" presStyleIdx="0" presStyleCnt="5"/>
      <dgm:spPr/>
      <dgm:t>
        <a:bodyPr/>
        <a:lstStyle/>
        <a:p>
          <a:endParaRPr lang="ru-RU"/>
        </a:p>
      </dgm:t>
    </dgm:pt>
    <dgm:pt modelId="{FFE45161-7E00-467D-B8D1-ED3CFD60D144}" type="pres">
      <dgm:prSet presAssocID="{C5428DC7-7BB1-47C7-B047-DA924A302F2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D9B047-98DB-4941-BA05-88E6B9F67AA6}" type="pres">
      <dgm:prSet presAssocID="{3DA18B77-5EDE-420E-B9FD-7C0573154054}" presName="parTrans" presStyleLbl="bgSibTrans2D1" presStyleIdx="1" presStyleCnt="5"/>
      <dgm:spPr/>
      <dgm:t>
        <a:bodyPr/>
        <a:lstStyle/>
        <a:p>
          <a:endParaRPr lang="ru-RU"/>
        </a:p>
      </dgm:t>
    </dgm:pt>
    <dgm:pt modelId="{E698333E-CFC3-41B3-99F4-94D127DB924A}" type="pres">
      <dgm:prSet presAssocID="{EFE4ACEB-8A2D-48A5-AFDC-180C04AE07C1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A653CD-67EB-4ED6-A3CE-B6E20FF2D836}" type="pres">
      <dgm:prSet presAssocID="{39029DF9-C4AB-4D2A-90BE-58579A5E6038}" presName="parTrans" presStyleLbl="bgSibTrans2D1" presStyleIdx="2" presStyleCnt="5"/>
      <dgm:spPr/>
      <dgm:t>
        <a:bodyPr/>
        <a:lstStyle/>
        <a:p>
          <a:endParaRPr lang="ru-RU"/>
        </a:p>
      </dgm:t>
    </dgm:pt>
    <dgm:pt modelId="{F7429BD1-CE1D-4DEB-B7C5-8F9454A5EA4D}" type="pres">
      <dgm:prSet presAssocID="{D7023D95-43A4-4007-B990-F7CDD9E3BCA5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A2A9A3-3FC2-4764-94E5-C110B6C9345E}" type="pres">
      <dgm:prSet presAssocID="{59E02930-1F16-45F7-AFB9-F54A2BCD99E8}" presName="parTrans" presStyleLbl="bgSibTrans2D1" presStyleIdx="3" presStyleCnt="5"/>
      <dgm:spPr/>
      <dgm:t>
        <a:bodyPr/>
        <a:lstStyle/>
        <a:p>
          <a:endParaRPr lang="ru-RU"/>
        </a:p>
      </dgm:t>
    </dgm:pt>
    <dgm:pt modelId="{194FEFDE-88DB-4B46-BEAB-B440C9100127}" type="pres">
      <dgm:prSet presAssocID="{5B9750D7-349D-4EA8-8871-0010CC080677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EAED61-1A40-42EE-BA12-916875F236B7}" type="pres">
      <dgm:prSet presAssocID="{388FC0BA-DABB-4D5B-AA86-2FA0BC3A1F1F}" presName="parTrans" presStyleLbl="bgSibTrans2D1" presStyleIdx="4" presStyleCnt="5"/>
      <dgm:spPr/>
      <dgm:t>
        <a:bodyPr/>
        <a:lstStyle/>
        <a:p>
          <a:endParaRPr lang="ru-RU"/>
        </a:p>
      </dgm:t>
    </dgm:pt>
    <dgm:pt modelId="{EF02C322-F256-4230-BD01-09992CC9E397}" type="pres">
      <dgm:prSet presAssocID="{CE0629D2-81AF-4445-8115-F929F496778F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E8E135F-A7DE-40EE-8BE2-C2323F65488A}" type="presOf" srcId="{D928B62D-76CC-4650-96E5-79AFBBAAFE0C}" destId="{3E972B4F-1ACA-49FB-9633-3B1B38DA999E}" srcOrd="0" destOrd="0" presId="urn:microsoft.com/office/officeart/2005/8/layout/radial4"/>
    <dgm:cxn modelId="{8D9DCEBB-9A6A-4903-882D-0D8338EB5104}" type="presOf" srcId="{D7023D95-43A4-4007-B990-F7CDD9E3BCA5}" destId="{F7429BD1-CE1D-4DEB-B7C5-8F9454A5EA4D}" srcOrd="0" destOrd="0" presId="urn:microsoft.com/office/officeart/2005/8/layout/radial4"/>
    <dgm:cxn modelId="{FA289D62-41D2-4E27-844F-63B3D817E950}" type="presOf" srcId="{F4ABABEF-7A32-4F85-B2A4-0B81F777C168}" destId="{B42141DB-0D45-4A7D-95D8-3267C7E1F57D}" srcOrd="0" destOrd="0" presId="urn:microsoft.com/office/officeart/2005/8/layout/radial4"/>
    <dgm:cxn modelId="{73198E25-58EF-4309-AC7B-E2EC9FC9850A}" type="presOf" srcId="{5B9750D7-349D-4EA8-8871-0010CC080677}" destId="{194FEFDE-88DB-4B46-BEAB-B440C9100127}" srcOrd="0" destOrd="0" presId="urn:microsoft.com/office/officeart/2005/8/layout/radial4"/>
    <dgm:cxn modelId="{C9E35874-5010-4ADC-8C09-695615830C4E}" srcId="{F91FE545-41C1-4886-888F-26FDEC904DE7}" destId="{D928B62D-76CC-4650-96E5-79AFBBAAFE0C}" srcOrd="0" destOrd="0" parTransId="{C4641B4F-0E1E-4040-A9CC-465A6FF243BB}" sibTransId="{E4A5554B-E9F8-4DFA-A368-367E70EB38CD}"/>
    <dgm:cxn modelId="{296FB506-320E-4F5A-90F1-F921791FFBA8}" srcId="{D928B62D-76CC-4650-96E5-79AFBBAAFE0C}" destId="{EFE4ACEB-8A2D-48A5-AFDC-180C04AE07C1}" srcOrd="1" destOrd="0" parTransId="{3DA18B77-5EDE-420E-B9FD-7C0573154054}" sibTransId="{9E0D1E27-0D9C-4371-8D80-63DCB2F760E2}"/>
    <dgm:cxn modelId="{E4112806-9073-4A82-9A12-6212365A8F35}" type="presOf" srcId="{59E02930-1F16-45F7-AFB9-F54A2BCD99E8}" destId="{35A2A9A3-3FC2-4764-94E5-C110B6C9345E}" srcOrd="0" destOrd="0" presId="urn:microsoft.com/office/officeart/2005/8/layout/radial4"/>
    <dgm:cxn modelId="{31B419AC-8A22-4A4D-AEF7-C6246D29C2A6}" srcId="{D928B62D-76CC-4650-96E5-79AFBBAAFE0C}" destId="{C5428DC7-7BB1-47C7-B047-DA924A302F2E}" srcOrd="0" destOrd="0" parTransId="{F4ABABEF-7A32-4F85-B2A4-0B81F777C168}" sibTransId="{81AB332A-605F-4332-A6EC-8A55BF604551}"/>
    <dgm:cxn modelId="{084F1DD8-41D1-4E5F-B4B8-BFC34F8F7538}" type="presOf" srcId="{388FC0BA-DABB-4D5B-AA86-2FA0BC3A1F1F}" destId="{2BEAED61-1A40-42EE-BA12-916875F236B7}" srcOrd="0" destOrd="0" presId="urn:microsoft.com/office/officeart/2005/8/layout/radial4"/>
    <dgm:cxn modelId="{0798B6DF-06F9-4645-B742-82E6AB66A01A}" srcId="{D928B62D-76CC-4650-96E5-79AFBBAAFE0C}" destId="{5B9750D7-349D-4EA8-8871-0010CC080677}" srcOrd="3" destOrd="0" parTransId="{59E02930-1F16-45F7-AFB9-F54A2BCD99E8}" sibTransId="{698468EC-D31E-4E17-9297-567C18CACD60}"/>
    <dgm:cxn modelId="{BA7E0FDE-2C22-4106-B846-8F85E57F9C5C}" type="presOf" srcId="{3DA18B77-5EDE-420E-B9FD-7C0573154054}" destId="{2ED9B047-98DB-4941-BA05-88E6B9F67AA6}" srcOrd="0" destOrd="0" presId="urn:microsoft.com/office/officeart/2005/8/layout/radial4"/>
    <dgm:cxn modelId="{9D6EB050-A87A-40F3-B8CB-83404FFB22F4}" type="presOf" srcId="{39029DF9-C4AB-4D2A-90BE-58579A5E6038}" destId="{6AA653CD-67EB-4ED6-A3CE-B6E20FF2D836}" srcOrd="0" destOrd="0" presId="urn:microsoft.com/office/officeart/2005/8/layout/radial4"/>
    <dgm:cxn modelId="{25BA5B44-76EF-4DDD-ADA1-0A9F9BCB904A}" type="presOf" srcId="{C5428DC7-7BB1-47C7-B047-DA924A302F2E}" destId="{FFE45161-7E00-467D-B8D1-ED3CFD60D144}" srcOrd="0" destOrd="0" presId="urn:microsoft.com/office/officeart/2005/8/layout/radial4"/>
    <dgm:cxn modelId="{F165CFA9-2BE2-49BD-9848-D66AC3FE4658}" type="presOf" srcId="{F91FE545-41C1-4886-888F-26FDEC904DE7}" destId="{53C44DD3-AB11-439C-B90E-D784834122CF}" srcOrd="0" destOrd="0" presId="urn:microsoft.com/office/officeart/2005/8/layout/radial4"/>
    <dgm:cxn modelId="{74C67A4A-D308-4D16-AB7C-BA468F1F2744}" srcId="{D928B62D-76CC-4650-96E5-79AFBBAAFE0C}" destId="{CE0629D2-81AF-4445-8115-F929F496778F}" srcOrd="4" destOrd="0" parTransId="{388FC0BA-DABB-4D5B-AA86-2FA0BC3A1F1F}" sibTransId="{8DF11364-E49A-4D88-8E85-10DEB73BBD02}"/>
    <dgm:cxn modelId="{D9EEC334-F1DA-4867-A5F0-2C4CAC762EBE}" type="presOf" srcId="{CE0629D2-81AF-4445-8115-F929F496778F}" destId="{EF02C322-F256-4230-BD01-09992CC9E397}" srcOrd="0" destOrd="0" presId="urn:microsoft.com/office/officeart/2005/8/layout/radial4"/>
    <dgm:cxn modelId="{7BCAFA72-E9A6-4CFA-A250-2EAD99E3BD5D}" type="presOf" srcId="{EFE4ACEB-8A2D-48A5-AFDC-180C04AE07C1}" destId="{E698333E-CFC3-41B3-99F4-94D127DB924A}" srcOrd="0" destOrd="0" presId="urn:microsoft.com/office/officeart/2005/8/layout/radial4"/>
    <dgm:cxn modelId="{987DAF4B-4D3C-4311-A07B-F6243B304D3B}" srcId="{D928B62D-76CC-4650-96E5-79AFBBAAFE0C}" destId="{D7023D95-43A4-4007-B990-F7CDD9E3BCA5}" srcOrd="2" destOrd="0" parTransId="{39029DF9-C4AB-4D2A-90BE-58579A5E6038}" sibTransId="{6E50C470-A58F-4A43-8306-050327FACFB1}"/>
    <dgm:cxn modelId="{AEFD5D60-3411-4BF2-AAB1-05DB5085E690}" type="presParOf" srcId="{53C44DD3-AB11-439C-B90E-D784834122CF}" destId="{3E972B4F-1ACA-49FB-9633-3B1B38DA999E}" srcOrd="0" destOrd="0" presId="urn:microsoft.com/office/officeart/2005/8/layout/radial4"/>
    <dgm:cxn modelId="{83088B3D-8F40-43B0-97B1-1B4AA7A09719}" type="presParOf" srcId="{53C44DD3-AB11-439C-B90E-D784834122CF}" destId="{B42141DB-0D45-4A7D-95D8-3267C7E1F57D}" srcOrd="1" destOrd="0" presId="urn:microsoft.com/office/officeart/2005/8/layout/radial4"/>
    <dgm:cxn modelId="{252A2638-5420-4B52-B899-D234997CDC5D}" type="presParOf" srcId="{53C44DD3-AB11-439C-B90E-D784834122CF}" destId="{FFE45161-7E00-467D-B8D1-ED3CFD60D144}" srcOrd="2" destOrd="0" presId="urn:microsoft.com/office/officeart/2005/8/layout/radial4"/>
    <dgm:cxn modelId="{47F24211-BF67-4908-BFE3-C2780FB7A5D5}" type="presParOf" srcId="{53C44DD3-AB11-439C-B90E-D784834122CF}" destId="{2ED9B047-98DB-4941-BA05-88E6B9F67AA6}" srcOrd="3" destOrd="0" presId="urn:microsoft.com/office/officeart/2005/8/layout/radial4"/>
    <dgm:cxn modelId="{E39C6265-C2B9-4643-9ABD-2C670688A991}" type="presParOf" srcId="{53C44DD3-AB11-439C-B90E-D784834122CF}" destId="{E698333E-CFC3-41B3-99F4-94D127DB924A}" srcOrd="4" destOrd="0" presId="urn:microsoft.com/office/officeart/2005/8/layout/radial4"/>
    <dgm:cxn modelId="{4D34683A-4775-44D2-9C6C-DE93A6EAF5FB}" type="presParOf" srcId="{53C44DD3-AB11-439C-B90E-D784834122CF}" destId="{6AA653CD-67EB-4ED6-A3CE-B6E20FF2D836}" srcOrd="5" destOrd="0" presId="urn:microsoft.com/office/officeart/2005/8/layout/radial4"/>
    <dgm:cxn modelId="{87FD3F7E-E275-47C2-B80D-E327C6D037CE}" type="presParOf" srcId="{53C44DD3-AB11-439C-B90E-D784834122CF}" destId="{F7429BD1-CE1D-4DEB-B7C5-8F9454A5EA4D}" srcOrd="6" destOrd="0" presId="urn:microsoft.com/office/officeart/2005/8/layout/radial4"/>
    <dgm:cxn modelId="{78E91F7E-A920-4414-960C-9F6E313992B1}" type="presParOf" srcId="{53C44DD3-AB11-439C-B90E-D784834122CF}" destId="{35A2A9A3-3FC2-4764-94E5-C110B6C9345E}" srcOrd="7" destOrd="0" presId="urn:microsoft.com/office/officeart/2005/8/layout/radial4"/>
    <dgm:cxn modelId="{F7EB2CBF-2C2C-47F0-BC6F-7549EE15A5E4}" type="presParOf" srcId="{53C44DD3-AB11-439C-B90E-D784834122CF}" destId="{194FEFDE-88DB-4B46-BEAB-B440C9100127}" srcOrd="8" destOrd="0" presId="urn:microsoft.com/office/officeart/2005/8/layout/radial4"/>
    <dgm:cxn modelId="{FDFBA1DB-E5A1-448F-BA92-5DC770A87FD3}" type="presParOf" srcId="{53C44DD3-AB11-439C-B90E-D784834122CF}" destId="{2BEAED61-1A40-42EE-BA12-916875F236B7}" srcOrd="9" destOrd="0" presId="urn:microsoft.com/office/officeart/2005/8/layout/radial4"/>
    <dgm:cxn modelId="{CE0A5B69-CA61-43AC-B943-34CFB02006E5}" type="presParOf" srcId="{53C44DD3-AB11-439C-B90E-D784834122CF}" destId="{EF02C322-F256-4230-BD01-09992CC9E397}" srcOrd="10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972B4F-1ACA-49FB-9633-3B1B38DA999E}">
      <dsp:nvSpPr>
        <dsp:cNvPr id="0" name=""/>
        <dsp:cNvSpPr/>
      </dsp:nvSpPr>
      <dsp:spPr>
        <a:xfrm>
          <a:off x="2160020" y="2063348"/>
          <a:ext cx="1556884" cy="151840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БЕЗВОЗМЕЗДНЫЕ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ПОСТУПЛЕНИЯ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41 288,5</a:t>
          </a:r>
          <a:endParaRPr lang="ru-RU" sz="1500" kern="1200"/>
        </a:p>
      </dsp:txBody>
      <dsp:txXfrm>
        <a:off x="2388020" y="2285714"/>
        <a:ext cx="1100884" cy="1073677"/>
      </dsp:txXfrm>
    </dsp:sp>
    <dsp:sp modelId="{B42141DB-0D45-4A7D-95D8-3267C7E1F57D}">
      <dsp:nvSpPr>
        <dsp:cNvPr id="0" name=""/>
        <dsp:cNvSpPr/>
      </dsp:nvSpPr>
      <dsp:spPr>
        <a:xfrm rot="10800000">
          <a:off x="718835" y="2607037"/>
          <a:ext cx="1361919" cy="431031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E45161-7E00-467D-B8D1-ED3CFD60D144}">
      <dsp:nvSpPr>
        <dsp:cNvPr id="0" name=""/>
        <dsp:cNvSpPr/>
      </dsp:nvSpPr>
      <dsp:spPr>
        <a:xfrm>
          <a:off x="449" y="2247844"/>
          <a:ext cx="1436770" cy="11494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ДОТАЦИИ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21 748,9</a:t>
          </a:r>
          <a:endParaRPr lang="ru-RU" sz="1500" kern="1200"/>
        </a:p>
      </dsp:txBody>
      <dsp:txXfrm>
        <a:off x="34114" y="2281509"/>
        <a:ext cx="1369440" cy="1082086"/>
      </dsp:txXfrm>
    </dsp:sp>
    <dsp:sp modelId="{2ED9B047-98DB-4941-BA05-88E6B9F67AA6}">
      <dsp:nvSpPr>
        <dsp:cNvPr id="0" name=""/>
        <dsp:cNvSpPr/>
      </dsp:nvSpPr>
      <dsp:spPr>
        <a:xfrm rot="13500000">
          <a:off x="1168144" y="1522309"/>
          <a:ext cx="1371180" cy="431031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98333E-CFC3-41B3-99F4-94D127DB924A}">
      <dsp:nvSpPr>
        <dsp:cNvPr id="0" name=""/>
        <dsp:cNvSpPr/>
      </dsp:nvSpPr>
      <dsp:spPr>
        <a:xfrm>
          <a:off x="650563" y="678331"/>
          <a:ext cx="1436770" cy="11494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СУБСИДИИ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17 326,0</a:t>
          </a:r>
          <a:endParaRPr lang="ru-RU" sz="1500" kern="1200"/>
        </a:p>
      </dsp:txBody>
      <dsp:txXfrm>
        <a:off x="684228" y="711996"/>
        <a:ext cx="1369440" cy="1082086"/>
      </dsp:txXfrm>
    </dsp:sp>
    <dsp:sp modelId="{6AA653CD-67EB-4ED6-A3CE-B6E20FF2D836}">
      <dsp:nvSpPr>
        <dsp:cNvPr id="0" name=""/>
        <dsp:cNvSpPr/>
      </dsp:nvSpPr>
      <dsp:spPr>
        <a:xfrm rot="16200000">
          <a:off x="2248412" y="1077459"/>
          <a:ext cx="1380099" cy="431031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429BD1-CE1D-4DEB-B7C5-8F9454A5EA4D}">
      <dsp:nvSpPr>
        <dsp:cNvPr id="0" name=""/>
        <dsp:cNvSpPr/>
      </dsp:nvSpPr>
      <dsp:spPr>
        <a:xfrm>
          <a:off x="2220077" y="28217"/>
          <a:ext cx="1436770" cy="11494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СУБВЕНЦИИ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1 247,1</a:t>
          </a:r>
          <a:endParaRPr lang="ru-RU" sz="1500" kern="1200"/>
        </a:p>
      </dsp:txBody>
      <dsp:txXfrm>
        <a:off x="2253742" y="61882"/>
        <a:ext cx="1369440" cy="1082086"/>
      </dsp:txXfrm>
    </dsp:sp>
    <dsp:sp modelId="{35A2A9A3-3FC2-4764-94E5-C110B6C9345E}">
      <dsp:nvSpPr>
        <dsp:cNvPr id="0" name=""/>
        <dsp:cNvSpPr/>
      </dsp:nvSpPr>
      <dsp:spPr>
        <a:xfrm rot="18900000">
          <a:off x="3337600" y="1522309"/>
          <a:ext cx="1371180" cy="431031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4FEFDE-88DB-4B46-BEAB-B440C9100127}">
      <dsp:nvSpPr>
        <dsp:cNvPr id="0" name=""/>
        <dsp:cNvSpPr/>
      </dsp:nvSpPr>
      <dsp:spPr>
        <a:xfrm>
          <a:off x="3789590" y="678331"/>
          <a:ext cx="1436770" cy="11494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ИНЫЕ МБТ </a:t>
          </a:r>
          <a:b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828,2</a:t>
          </a:r>
          <a:endParaRPr lang="ru-RU" sz="1500" kern="1200"/>
        </a:p>
      </dsp:txBody>
      <dsp:txXfrm>
        <a:off x="3823255" y="711996"/>
        <a:ext cx="1369440" cy="1082086"/>
      </dsp:txXfrm>
    </dsp:sp>
    <dsp:sp modelId="{2BEAED61-1A40-42EE-BA12-916875F236B7}">
      <dsp:nvSpPr>
        <dsp:cNvPr id="0" name=""/>
        <dsp:cNvSpPr/>
      </dsp:nvSpPr>
      <dsp:spPr>
        <a:xfrm>
          <a:off x="3796169" y="2607037"/>
          <a:ext cx="1361919" cy="431031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02C322-F256-4230-BD01-09992CC9E397}">
      <dsp:nvSpPr>
        <dsp:cNvPr id="0" name=""/>
        <dsp:cNvSpPr/>
      </dsp:nvSpPr>
      <dsp:spPr>
        <a:xfrm>
          <a:off x="4439704" y="2247844"/>
          <a:ext cx="1436770" cy="11494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Другие безвозмездные поступления 138,3</a:t>
          </a:r>
        </a:p>
      </dsp:txBody>
      <dsp:txXfrm>
        <a:off x="4473369" y="2281509"/>
        <a:ext cx="1369440" cy="10820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0.80778</cdr:x>
      <cdr:y>0.0073</cdr:y>
    </cdr:from>
    <cdr:to>
      <cdr:x>1</cdr:x>
      <cdr:y>0.06771</cdr:y>
    </cdr:to>
    <cdr:sp macro="" textlink="">
      <cdr:nvSpPr>
        <cdr:cNvPr id="2" name="TextBox 5"/>
        <cdr:cNvSpPr txBox="1"/>
      </cdr:nvSpPr>
      <cdr:spPr>
        <a:xfrm xmlns:a="http://schemas.openxmlformats.org/drawingml/2006/main">
          <a:off x="5401261" y="32750"/>
          <a:ext cx="1285289" cy="271036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914400" rtl="0" latinLnBrk="0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latinLnBrk="0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latinLnBrk="0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latinLnBrk="0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latinLnBrk="0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latinLnBrk="0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latinLnBrk="0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latinLnBrk="0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latinLnBrk="0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 i="1" dirty="0">
              <a:solidFill>
                <a:schemeClr val="accent3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(млн</a:t>
          </a:r>
          <a:r>
            <a:rPr lang="ru-RU" sz="1200" b="1" i="1" baseline="0" dirty="0">
              <a:solidFill>
                <a:schemeClr val="accent3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 b="1" i="1" dirty="0">
              <a:solidFill>
                <a:schemeClr val="accent3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рублей)</a:t>
          </a:r>
        </a:p>
      </cdr:txBody>
    </cdr:sp>
  </cdr:relSizeAnchor>
</c:userShape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CC5C-E596-4E59-9F54-73632F37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62</Pages>
  <Words>21886</Words>
  <Characters>124752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основных деятельности Министерства финансов Кабардино-Балкарской Республики за 2021 г. и задачах на 2022 г.</vt:lpstr>
    </vt:vector>
  </TitlesOfParts>
  <Company/>
  <LinksUpToDate>false</LinksUpToDate>
  <CharactersWithSpaces>146346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основных деятельности Министерства финансов Кабардино-Балкарской Республики за 2021 г. и задачах на 2022 г.</dc:title>
  <dc:subject/>
  <dc:creator>МБУ Казакова Фатима 124</dc:creator>
  <cp:keywords/>
  <dc:description/>
  <cp:lastModifiedBy>МБУ Казакова Фатима 124</cp:lastModifiedBy>
  <cp:revision>17</cp:revision>
  <cp:lastPrinted>2025-03-20T12:06:00Z</cp:lastPrinted>
  <dcterms:created xsi:type="dcterms:W3CDTF">2025-03-20T08:53:00Z</dcterms:created>
  <dcterms:modified xsi:type="dcterms:W3CDTF">2025-04-11T06:18:00Z</dcterms:modified>
</cp:coreProperties>
</file>