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34A" w:rsidRDefault="00B0034A">
      <w:pPr>
        <w:pStyle w:val="ConsPlusTitlePage"/>
      </w:pPr>
      <w:bookmarkStart w:id="0" w:name="_GoBack"/>
      <w:bookmarkEnd w:id="0"/>
      <w:r>
        <w:br/>
      </w:r>
    </w:p>
    <w:p w:rsidR="00B0034A" w:rsidRDefault="00B0034A">
      <w:pPr>
        <w:pStyle w:val="ConsPlusNormal"/>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0034A">
        <w:tc>
          <w:tcPr>
            <w:tcW w:w="4677" w:type="dxa"/>
            <w:tcBorders>
              <w:top w:val="nil"/>
              <w:left w:val="nil"/>
              <w:bottom w:val="nil"/>
              <w:right w:val="nil"/>
            </w:tcBorders>
          </w:tcPr>
          <w:p w:rsidR="00B0034A" w:rsidRDefault="00B0034A">
            <w:pPr>
              <w:pStyle w:val="ConsPlusNormal"/>
            </w:pPr>
            <w:r>
              <w:t>28 ноября 2024 года</w:t>
            </w:r>
          </w:p>
        </w:tc>
        <w:tc>
          <w:tcPr>
            <w:tcW w:w="4677" w:type="dxa"/>
            <w:tcBorders>
              <w:top w:val="nil"/>
              <w:left w:val="nil"/>
              <w:bottom w:val="nil"/>
              <w:right w:val="nil"/>
            </w:tcBorders>
          </w:tcPr>
          <w:p w:rsidR="00B0034A" w:rsidRDefault="00B0034A">
            <w:pPr>
              <w:pStyle w:val="ConsPlusNormal"/>
              <w:jc w:val="right"/>
            </w:pPr>
            <w:r>
              <w:t>N 35-РЗ</w:t>
            </w:r>
          </w:p>
        </w:tc>
      </w:tr>
    </w:tbl>
    <w:p w:rsidR="00B0034A" w:rsidRDefault="00B0034A">
      <w:pPr>
        <w:pStyle w:val="ConsPlusNormal"/>
        <w:pBdr>
          <w:bottom w:val="single" w:sz="6" w:space="0" w:color="auto"/>
        </w:pBdr>
        <w:spacing w:before="100" w:after="100"/>
        <w:jc w:val="both"/>
        <w:rPr>
          <w:sz w:val="2"/>
          <w:szCs w:val="2"/>
        </w:rPr>
      </w:pPr>
    </w:p>
    <w:p w:rsidR="00B0034A" w:rsidRDefault="00B0034A">
      <w:pPr>
        <w:pStyle w:val="ConsPlusNormal"/>
        <w:jc w:val="both"/>
      </w:pPr>
    </w:p>
    <w:p w:rsidR="00B0034A" w:rsidRDefault="00B0034A">
      <w:pPr>
        <w:pStyle w:val="ConsPlusTitle"/>
        <w:jc w:val="center"/>
      </w:pPr>
      <w:r>
        <w:t>ЗАКОН</w:t>
      </w:r>
    </w:p>
    <w:p w:rsidR="00B0034A" w:rsidRDefault="00B0034A">
      <w:pPr>
        <w:pStyle w:val="ConsPlusTitle"/>
        <w:jc w:val="center"/>
      </w:pPr>
    </w:p>
    <w:p w:rsidR="00B0034A" w:rsidRDefault="00B0034A">
      <w:pPr>
        <w:pStyle w:val="ConsPlusTitle"/>
        <w:jc w:val="center"/>
      </w:pPr>
      <w:r>
        <w:t>КАБАРДИНО-БАЛКАРСКОЙ РЕСПУБЛИКИ</w:t>
      </w:r>
    </w:p>
    <w:p w:rsidR="00B0034A" w:rsidRDefault="00B0034A">
      <w:pPr>
        <w:pStyle w:val="ConsPlusTitle"/>
        <w:jc w:val="center"/>
      </w:pPr>
    </w:p>
    <w:p w:rsidR="00B0034A" w:rsidRDefault="00B0034A">
      <w:pPr>
        <w:pStyle w:val="ConsPlusTitle"/>
        <w:jc w:val="center"/>
      </w:pPr>
      <w:r>
        <w:t>О ВНЕСЕНИИ ИЗМЕНЕНИЙ В СТАТЬИ 6 И 7 ЗАКОНА</w:t>
      </w:r>
    </w:p>
    <w:p w:rsidR="00B0034A" w:rsidRDefault="00B0034A">
      <w:pPr>
        <w:pStyle w:val="ConsPlusTitle"/>
        <w:jc w:val="center"/>
      </w:pPr>
      <w:r>
        <w:t>КАБАРДИНО-БАЛКАРСКОЙ РЕСПУБЛИКИ "О ТРАНСПОРТНОМ НАЛОГЕ"</w:t>
      </w:r>
    </w:p>
    <w:p w:rsidR="00B0034A" w:rsidRDefault="00B0034A">
      <w:pPr>
        <w:pStyle w:val="ConsPlusNormal"/>
        <w:jc w:val="both"/>
      </w:pPr>
    </w:p>
    <w:p w:rsidR="00B0034A" w:rsidRDefault="00B0034A">
      <w:pPr>
        <w:pStyle w:val="ConsPlusNormal"/>
        <w:jc w:val="right"/>
      </w:pPr>
      <w:r>
        <w:t>Принят</w:t>
      </w:r>
    </w:p>
    <w:p w:rsidR="00B0034A" w:rsidRDefault="00B0034A">
      <w:pPr>
        <w:pStyle w:val="ConsPlusNormal"/>
        <w:jc w:val="right"/>
      </w:pPr>
      <w:r>
        <w:t>Парламентом</w:t>
      </w:r>
    </w:p>
    <w:p w:rsidR="00B0034A" w:rsidRDefault="00B0034A">
      <w:pPr>
        <w:pStyle w:val="ConsPlusNormal"/>
        <w:jc w:val="right"/>
      </w:pPr>
      <w:r>
        <w:t>Кабардино-Балкарской Республики</w:t>
      </w:r>
    </w:p>
    <w:p w:rsidR="00B0034A" w:rsidRDefault="00B0034A">
      <w:pPr>
        <w:pStyle w:val="ConsPlusNormal"/>
        <w:jc w:val="right"/>
      </w:pPr>
      <w:r>
        <w:t>28 ноября 2024 года</w:t>
      </w:r>
    </w:p>
    <w:p w:rsidR="00B0034A" w:rsidRDefault="00B0034A">
      <w:pPr>
        <w:pStyle w:val="ConsPlusNormal"/>
        <w:jc w:val="both"/>
      </w:pPr>
    </w:p>
    <w:p w:rsidR="00B0034A" w:rsidRDefault="00B0034A">
      <w:pPr>
        <w:pStyle w:val="ConsPlusTitle"/>
        <w:ind w:firstLine="540"/>
        <w:jc w:val="both"/>
        <w:outlineLvl w:val="0"/>
      </w:pPr>
      <w:r>
        <w:t>Статья 1</w:t>
      </w:r>
    </w:p>
    <w:p w:rsidR="00B0034A" w:rsidRDefault="00B0034A">
      <w:pPr>
        <w:pStyle w:val="ConsPlusNormal"/>
        <w:jc w:val="both"/>
      </w:pPr>
    </w:p>
    <w:p w:rsidR="00B0034A" w:rsidRDefault="00B0034A">
      <w:pPr>
        <w:pStyle w:val="ConsPlusNormal"/>
        <w:ind w:firstLine="540"/>
        <w:jc w:val="both"/>
      </w:pPr>
      <w:r>
        <w:t xml:space="preserve">Внести в </w:t>
      </w:r>
      <w:hyperlink r:id="rId4">
        <w:r>
          <w:rPr>
            <w:color w:val="0000FF"/>
          </w:rPr>
          <w:t>Закон</w:t>
        </w:r>
      </w:hyperlink>
      <w:r>
        <w:t xml:space="preserve"> Кабардино-Балкарской Республики от 28 ноября 2002 года N 83-РЗ "О транспортном налоге" (Официальный интернет-портал правовой информации (</w:t>
      </w:r>
      <w:hyperlink r:id="rId5">
        <w:r>
          <w:rPr>
            <w:color w:val="0000FF"/>
          </w:rPr>
          <w:t>www.pravo.gov.ru</w:t>
        </w:r>
      </w:hyperlink>
      <w:r>
        <w:t>) следующие изменения:</w:t>
      </w:r>
    </w:p>
    <w:p w:rsidR="00B0034A" w:rsidRDefault="00B0034A">
      <w:pPr>
        <w:pStyle w:val="ConsPlusNormal"/>
        <w:spacing w:before="220"/>
        <w:ind w:firstLine="540"/>
        <w:jc w:val="both"/>
      </w:pPr>
      <w:r>
        <w:t xml:space="preserve">1. В </w:t>
      </w:r>
      <w:hyperlink r:id="rId6">
        <w:r>
          <w:rPr>
            <w:color w:val="0000FF"/>
          </w:rPr>
          <w:t>статье 6</w:t>
        </w:r>
      </w:hyperlink>
      <w:r>
        <w:t>:</w:t>
      </w:r>
    </w:p>
    <w:p w:rsidR="00B0034A" w:rsidRDefault="00B003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34A">
        <w:tc>
          <w:tcPr>
            <w:tcW w:w="60" w:type="dxa"/>
            <w:tcBorders>
              <w:top w:val="nil"/>
              <w:left w:val="nil"/>
              <w:bottom w:val="nil"/>
              <w:right w:val="nil"/>
            </w:tcBorders>
            <w:shd w:val="clear" w:color="auto" w:fill="CED3F1"/>
            <w:tcMar>
              <w:top w:w="0" w:type="dxa"/>
              <w:left w:w="0" w:type="dxa"/>
              <w:bottom w:w="0" w:type="dxa"/>
              <w:right w:w="0" w:type="dxa"/>
            </w:tcMar>
          </w:tcPr>
          <w:p w:rsidR="00B0034A" w:rsidRDefault="00B003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34A" w:rsidRDefault="00B0034A">
            <w:pPr>
              <w:pStyle w:val="ConsPlusNormal"/>
              <w:jc w:val="both"/>
            </w:pPr>
            <w:r>
              <w:rPr>
                <w:color w:val="392C69"/>
              </w:rPr>
              <w:t xml:space="preserve">Пункт 1 части 1 </w:t>
            </w:r>
            <w:hyperlink w:anchor="P39">
              <w:r>
                <w:rPr>
                  <w:color w:val="0000FF"/>
                </w:rPr>
                <w:t>вступил</w:t>
              </w:r>
            </w:hyperlink>
            <w:r>
              <w:rPr>
                <w:color w:val="392C69"/>
              </w:rPr>
              <w:t xml:space="preserve"> в силу со дня официального опубликования и распространяются на правоотношения, возникшие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r>
    </w:tbl>
    <w:p w:rsidR="00B0034A" w:rsidRDefault="00B0034A">
      <w:pPr>
        <w:pStyle w:val="ConsPlusNormal"/>
        <w:spacing w:before="280"/>
        <w:ind w:firstLine="540"/>
        <w:jc w:val="both"/>
      </w:pPr>
      <w:bookmarkStart w:id="1" w:name="P21"/>
      <w:bookmarkEnd w:id="1"/>
      <w:r>
        <w:t xml:space="preserve">1) в </w:t>
      </w:r>
      <w:hyperlink r:id="rId7">
        <w:r>
          <w:rPr>
            <w:color w:val="0000FF"/>
          </w:rPr>
          <w:t>части 1</w:t>
        </w:r>
      </w:hyperlink>
      <w:r>
        <w:t xml:space="preserve"> слова "тонну транспортного средства или" заменить словами "тонну, одну единицу валовой вместимости транспортного средства или одну", слова "тонны валовой вместимости" заменить словами "тонны или единицы валовой вместимости в случае, если валовая вместимость определена без указания размерности";</w:t>
      </w:r>
    </w:p>
    <w:p w:rsidR="00B0034A" w:rsidRDefault="00B0034A">
      <w:pPr>
        <w:pStyle w:val="ConsPlusNormal"/>
        <w:spacing w:before="220"/>
        <w:ind w:firstLine="540"/>
        <w:jc w:val="both"/>
      </w:pPr>
      <w:r>
        <w:t xml:space="preserve">2) </w:t>
      </w:r>
      <w:hyperlink r:id="rId8">
        <w:r>
          <w:rPr>
            <w:color w:val="0000FF"/>
          </w:rPr>
          <w:t>часть 2</w:t>
        </w:r>
      </w:hyperlink>
      <w:r>
        <w:t xml:space="preserve"> изложить в следующей редакции:</w:t>
      </w:r>
    </w:p>
    <w:p w:rsidR="00B0034A" w:rsidRDefault="00B0034A">
      <w:pPr>
        <w:pStyle w:val="ConsPlusNormal"/>
        <w:spacing w:before="220"/>
        <w:ind w:firstLine="540"/>
        <w:jc w:val="both"/>
      </w:pPr>
      <w:r>
        <w:t>"2. К налоговым ставкам, указанным в части 1 настоящей статьи, в отношении транспортных средств, с года выпуска которых прошло более 10 лет, применяется поправочный коэффициент, равный 0,75.</w:t>
      </w:r>
    </w:p>
    <w:p w:rsidR="00B0034A" w:rsidRDefault="00B0034A">
      <w:pPr>
        <w:pStyle w:val="ConsPlusNormal"/>
        <w:spacing w:before="220"/>
        <w:ind w:firstLine="540"/>
        <w:jc w:val="both"/>
      </w:pPr>
      <w:r>
        <w:t>Количество лет, прошедших с года выпуска транспортного средства, определяется по состоянию на 1 января текущего года в календарных годах с года, следующего за годом выпуска транспортного средства.".</w:t>
      </w:r>
    </w:p>
    <w:p w:rsidR="00B0034A" w:rsidRDefault="00B0034A">
      <w:pPr>
        <w:pStyle w:val="ConsPlusNormal"/>
        <w:spacing w:before="220"/>
        <w:ind w:firstLine="540"/>
        <w:jc w:val="both"/>
      </w:pPr>
      <w:r>
        <w:t xml:space="preserve">2. В </w:t>
      </w:r>
      <w:hyperlink r:id="rId9">
        <w:r>
          <w:rPr>
            <w:color w:val="0000FF"/>
          </w:rPr>
          <w:t>статье 7</w:t>
        </w:r>
      </w:hyperlink>
      <w:r>
        <w:t>:</w:t>
      </w:r>
    </w:p>
    <w:p w:rsidR="00B0034A" w:rsidRDefault="00B003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34A">
        <w:tc>
          <w:tcPr>
            <w:tcW w:w="60" w:type="dxa"/>
            <w:tcBorders>
              <w:top w:val="nil"/>
              <w:left w:val="nil"/>
              <w:bottom w:val="nil"/>
              <w:right w:val="nil"/>
            </w:tcBorders>
            <w:shd w:val="clear" w:color="auto" w:fill="CED3F1"/>
            <w:tcMar>
              <w:top w:w="0" w:type="dxa"/>
              <w:left w:w="0" w:type="dxa"/>
              <w:bottom w:w="0" w:type="dxa"/>
              <w:right w:w="0" w:type="dxa"/>
            </w:tcMar>
          </w:tcPr>
          <w:p w:rsidR="00B0034A" w:rsidRDefault="00B003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34A" w:rsidRDefault="00B0034A">
            <w:pPr>
              <w:pStyle w:val="ConsPlusNormal"/>
              <w:jc w:val="both"/>
            </w:pPr>
            <w:r>
              <w:rPr>
                <w:color w:val="392C69"/>
              </w:rPr>
              <w:t xml:space="preserve">Пункт 1 части 2 </w:t>
            </w:r>
            <w:hyperlink w:anchor="P39">
              <w:r>
                <w:rPr>
                  <w:color w:val="0000FF"/>
                </w:rPr>
                <w:t>вступил</w:t>
              </w:r>
            </w:hyperlink>
            <w:r>
              <w:rPr>
                <w:color w:val="392C69"/>
              </w:rPr>
              <w:t xml:space="preserve"> в силу со дня официального опубликования и распространяются на правоотношения, возникшие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r>
    </w:tbl>
    <w:p w:rsidR="00B0034A" w:rsidRDefault="00B0034A">
      <w:pPr>
        <w:pStyle w:val="ConsPlusNormal"/>
        <w:spacing w:before="280"/>
        <w:ind w:firstLine="540"/>
        <w:jc w:val="both"/>
      </w:pPr>
      <w:bookmarkStart w:id="2" w:name="P27"/>
      <w:bookmarkEnd w:id="2"/>
      <w:r>
        <w:t xml:space="preserve">1) </w:t>
      </w:r>
      <w:hyperlink r:id="rId10">
        <w:r>
          <w:rPr>
            <w:color w:val="0000FF"/>
          </w:rPr>
          <w:t>часть 1</w:t>
        </w:r>
      </w:hyperlink>
      <w:r>
        <w:t xml:space="preserve"> дополнить пунктами 1-1, 1-2 следующего содержания:</w:t>
      </w:r>
    </w:p>
    <w:p w:rsidR="00B0034A" w:rsidRDefault="00B0034A">
      <w:pPr>
        <w:pStyle w:val="ConsPlusNormal"/>
        <w:spacing w:before="220"/>
        <w:ind w:firstLine="540"/>
        <w:jc w:val="both"/>
      </w:pPr>
      <w:bookmarkStart w:id="3" w:name="P28"/>
      <w:bookmarkEnd w:id="3"/>
      <w:r>
        <w:t xml:space="preserve">"1-1) принимающие (принимавшие) участие в специальной военной операции на территориях Украины, Донецкой Народной Республики и Луганской Народной Республики с 24 февраля 2022 </w:t>
      </w:r>
      <w:r>
        <w:lastRenderedPageBreak/>
        <w:t xml:space="preserve">года, а также на территориях Запорожской области и Херсонской области с 30 сентября 2022 года (далее - специальная военная операция) граждане Российской Федерации из числа призванных в соответствии с </w:t>
      </w:r>
      <w:hyperlink r:id="rId11">
        <w:r>
          <w:rPr>
            <w:color w:val="0000FF"/>
          </w:rPr>
          <w:t>Указом</w:t>
        </w:r>
      </w:hyperlink>
      <w:r>
        <w:t xml:space="preserve"> Президента Российской Федерации от 21 сентября 2022 года N 647 "Об объявлении частичной мобилизации в Российской Федерации" на военную службу по мобилизации в Вооруженные Силы Российской Федерации, лица, проходящие (проходившие) военную службу в Вооруженных Силах Российской Федерации по контракту или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12">
        <w:r>
          <w:rPr>
            <w:color w:val="0000FF"/>
          </w:rPr>
          <w:t>пункте 6 статьи 1</w:t>
        </w:r>
      </w:hyperlink>
      <w:r>
        <w:t xml:space="preserve"> Федерального закона от 31 мая 1996 года N 61-ФЗ "Об обороне", лица, заключившие контракт о добровольном содействии в выполнении задач, возложенных на Вооруженные Силы Российской Федерации (войска национальной гвардии Российской Федерации) в ходе специальной военной операции, и поступившие в созданные по решению органов государственной власти Российской Федерации добровольческие формирования, содействующие выполнению указанных задач;</w:t>
      </w:r>
    </w:p>
    <w:p w:rsidR="00B0034A" w:rsidRDefault="00B0034A">
      <w:pPr>
        <w:pStyle w:val="ConsPlusNormal"/>
        <w:spacing w:before="220"/>
        <w:ind w:firstLine="540"/>
        <w:jc w:val="both"/>
      </w:pPr>
      <w:r>
        <w:t xml:space="preserve">1-2) члены семей погибших (умерших (в случае их смерти до истечения одного года со дня увольнения с военной службы, наступившей вследствие увечья (контузии, травмы, ранения) или заболевания, полученного при исполнении обязанностей военной службы), признанных в установленном порядке безвестно отсутствующими или объявленных умершими) в результате участия в специальной военной операции, участников специальной военной операции из числа лиц, указанных в </w:t>
      </w:r>
      <w:hyperlink w:anchor="P28">
        <w:r>
          <w:rPr>
            <w:color w:val="0000FF"/>
          </w:rPr>
          <w:t>пункте 1-1</w:t>
        </w:r>
      </w:hyperlink>
      <w:r>
        <w:t xml:space="preserve"> настоящей части (далее - погибшие (умершие) участники специальной военной операции), к которым в целях настоящего пункта относятся супруга (супруг), состоящая (состоящий) в зарегистрированном браке по состоянию на день гибели (смерти) погибшего (умершего) участника специальной военной операции, родители (усыновители) погибшего (умершего) участника специальной военной операции, дети погибшего (умершего) участника специальной военной операции, не достигшие возраста 18 лет, дети старше 18 лет, ставшие инвалидами до достижения ими возраста 18 лет, а также дети, обучающиеся в образовательных организациях по очной форме обучения, - до окончания обучения, но не более чем до достижения ими возраста 23 лет (возраст детей погибшего (умершего) участника специальной военной операции учитывается по состоянию на день гибели (смерти);";</w:t>
      </w:r>
    </w:p>
    <w:p w:rsidR="00B0034A" w:rsidRDefault="00B0034A">
      <w:pPr>
        <w:pStyle w:val="ConsPlusNormal"/>
        <w:spacing w:before="220"/>
        <w:ind w:firstLine="540"/>
        <w:jc w:val="both"/>
      </w:pPr>
      <w:r>
        <w:t xml:space="preserve">2) в </w:t>
      </w:r>
      <w:hyperlink r:id="rId13">
        <w:r>
          <w:rPr>
            <w:color w:val="0000FF"/>
          </w:rPr>
          <w:t>части 2</w:t>
        </w:r>
      </w:hyperlink>
      <w:r>
        <w:t>:</w:t>
      </w:r>
    </w:p>
    <w:p w:rsidR="00B0034A" w:rsidRDefault="00B0034A">
      <w:pPr>
        <w:pStyle w:val="ConsPlusNormal"/>
        <w:spacing w:before="220"/>
        <w:ind w:firstLine="540"/>
        <w:jc w:val="both"/>
      </w:pPr>
      <w:r>
        <w:t>а) дополнить предложением следующего содержания, изложив его первым: "Налоговые льготы, предусмотренные пунктами 1, 1-1, 1-2, 2, 3 части 1 настоящей статьи, не распространяются на транспортные средства мощностью двигателя свыше 200 лошадиных сил (свыше 147,1 кВт).";</w:t>
      </w:r>
    </w:p>
    <w:p w:rsidR="00B0034A" w:rsidRDefault="00B0034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0034A">
        <w:tc>
          <w:tcPr>
            <w:tcW w:w="60" w:type="dxa"/>
            <w:tcBorders>
              <w:top w:val="nil"/>
              <w:left w:val="nil"/>
              <w:bottom w:val="nil"/>
              <w:right w:val="nil"/>
            </w:tcBorders>
            <w:shd w:val="clear" w:color="auto" w:fill="CED3F1"/>
            <w:tcMar>
              <w:top w:w="0" w:type="dxa"/>
              <w:left w:w="0" w:type="dxa"/>
              <w:bottom w:w="0" w:type="dxa"/>
              <w:right w:w="0" w:type="dxa"/>
            </w:tcMar>
          </w:tcPr>
          <w:p w:rsidR="00B0034A" w:rsidRDefault="00B0034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034A" w:rsidRDefault="00B0034A">
            <w:pPr>
              <w:pStyle w:val="ConsPlusNormal"/>
              <w:jc w:val="both"/>
            </w:pPr>
            <w:r>
              <w:rPr>
                <w:color w:val="392C69"/>
              </w:rPr>
              <w:t xml:space="preserve">Подпункт "б" пункта 2 части 2 </w:t>
            </w:r>
            <w:hyperlink w:anchor="P39">
              <w:r>
                <w:rPr>
                  <w:color w:val="0000FF"/>
                </w:rPr>
                <w:t>вступил</w:t>
              </w:r>
            </w:hyperlink>
            <w:r>
              <w:rPr>
                <w:color w:val="392C69"/>
              </w:rPr>
              <w:t xml:space="preserve"> в силу со дня официального опубликования и распространяются на правоотношения, возникшие с 1 января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B0034A" w:rsidRDefault="00B0034A">
            <w:pPr>
              <w:pStyle w:val="ConsPlusNormal"/>
            </w:pPr>
          </w:p>
        </w:tc>
      </w:tr>
    </w:tbl>
    <w:p w:rsidR="00B0034A" w:rsidRDefault="00B0034A">
      <w:pPr>
        <w:pStyle w:val="ConsPlusNormal"/>
        <w:spacing w:before="280"/>
        <w:ind w:firstLine="540"/>
        <w:jc w:val="both"/>
      </w:pPr>
      <w:bookmarkStart w:id="4" w:name="P33"/>
      <w:bookmarkEnd w:id="4"/>
      <w:r>
        <w:t>б) слова "пунктах 1, 2, 3" заменить словами "пунктах 1, 1-1, 1-2, 2, 3";</w:t>
      </w:r>
    </w:p>
    <w:p w:rsidR="00B0034A" w:rsidRDefault="00B0034A">
      <w:pPr>
        <w:pStyle w:val="ConsPlusNormal"/>
        <w:spacing w:before="220"/>
        <w:ind w:firstLine="540"/>
        <w:jc w:val="both"/>
      </w:pPr>
      <w:r>
        <w:t>в) слова ", расчетная сумма налога по которому является наименьшей" заменить словами "с мощностью двигателя до 200 лошадиных сил (до 147,1 кВт) включительно, расчетная сумма по которому является максимальной".</w:t>
      </w:r>
    </w:p>
    <w:p w:rsidR="00B0034A" w:rsidRDefault="00B0034A">
      <w:pPr>
        <w:pStyle w:val="ConsPlusNormal"/>
        <w:jc w:val="both"/>
      </w:pPr>
    </w:p>
    <w:p w:rsidR="00B0034A" w:rsidRDefault="00B0034A">
      <w:pPr>
        <w:pStyle w:val="ConsPlusTitle"/>
        <w:ind w:firstLine="540"/>
        <w:jc w:val="both"/>
        <w:outlineLvl w:val="0"/>
      </w:pPr>
      <w:r>
        <w:t>Статья 2</w:t>
      </w:r>
    </w:p>
    <w:p w:rsidR="00B0034A" w:rsidRDefault="00B0034A">
      <w:pPr>
        <w:pStyle w:val="ConsPlusNormal"/>
        <w:jc w:val="both"/>
      </w:pPr>
    </w:p>
    <w:p w:rsidR="00B0034A" w:rsidRDefault="00B0034A">
      <w:pPr>
        <w:pStyle w:val="ConsPlusNormal"/>
        <w:ind w:firstLine="540"/>
        <w:jc w:val="both"/>
      </w:pPr>
      <w:r>
        <w:t xml:space="preserve">1. Настоящий Закон вступает в силу с 1 января 2026 года, за исключением </w:t>
      </w:r>
      <w:hyperlink w:anchor="P21">
        <w:r>
          <w:rPr>
            <w:color w:val="0000FF"/>
          </w:rPr>
          <w:t>пункта 1 части 1</w:t>
        </w:r>
      </w:hyperlink>
      <w:r>
        <w:t xml:space="preserve">, </w:t>
      </w:r>
      <w:hyperlink w:anchor="P27">
        <w:r>
          <w:rPr>
            <w:color w:val="0000FF"/>
          </w:rPr>
          <w:t>пункта 1</w:t>
        </w:r>
      </w:hyperlink>
      <w:r>
        <w:t xml:space="preserve"> и </w:t>
      </w:r>
      <w:hyperlink w:anchor="P33">
        <w:r>
          <w:rPr>
            <w:color w:val="0000FF"/>
          </w:rPr>
          <w:t>подпункта "б" пункта 2 части 2 статьи 1</w:t>
        </w:r>
      </w:hyperlink>
      <w:r>
        <w:t xml:space="preserve"> настоящего Закона.</w:t>
      </w:r>
    </w:p>
    <w:p w:rsidR="00B0034A" w:rsidRDefault="00B0034A">
      <w:pPr>
        <w:pStyle w:val="ConsPlusNormal"/>
        <w:spacing w:before="220"/>
        <w:ind w:firstLine="540"/>
        <w:jc w:val="both"/>
      </w:pPr>
      <w:bookmarkStart w:id="5" w:name="P39"/>
      <w:bookmarkEnd w:id="5"/>
      <w:r>
        <w:t xml:space="preserve">2. </w:t>
      </w:r>
      <w:hyperlink w:anchor="P21">
        <w:r>
          <w:rPr>
            <w:color w:val="0000FF"/>
          </w:rPr>
          <w:t>Пункт 1 части 1</w:t>
        </w:r>
      </w:hyperlink>
      <w:r>
        <w:t xml:space="preserve">, </w:t>
      </w:r>
      <w:hyperlink w:anchor="P27">
        <w:r>
          <w:rPr>
            <w:color w:val="0000FF"/>
          </w:rPr>
          <w:t>пункт 1</w:t>
        </w:r>
      </w:hyperlink>
      <w:r>
        <w:t xml:space="preserve"> и </w:t>
      </w:r>
      <w:hyperlink w:anchor="P33">
        <w:r>
          <w:rPr>
            <w:color w:val="0000FF"/>
          </w:rPr>
          <w:t>подпункт "б" пункта 2 части 2 статьи 1</w:t>
        </w:r>
      </w:hyperlink>
      <w:r>
        <w:t xml:space="preserve"> настоящего Закона вступают в силу со дня его официального опубликования и распространяются на правоотношения, возникшие с 1 января 2024 года.</w:t>
      </w:r>
    </w:p>
    <w:p w:rsidR="00B0034A" w:rsidRDefault="00B0034A">
      <w:pPr>
        <w:pStyle w:val="ConsPlusNormal"/>
        <w:spacing w:before="220"/>
        <w:ind w:firstLine="540"/>
        <w:jc w:val="both"/>
      </w:pPr>
      <w:r>
        <w:lastRenderedPageBreak/>
        <w:t xml:space="preserve">3. Положения </w:t>
      </w:r>
      <w:hyperlink r:id="rId14">
        <w:r>
          <w:rPr>
            <w:color w:val="0000FF"/>
          </w:rPr>
          <w:t>части 2 статьи 6</w:t>
        </w:r>
      </w:hyperlink>
      <w:r>
        <w:t xml:space="preserve"> Закона Кабардино-Балкарской Республики от 28 ноября 2002 года N 83-РЗ "О транспортном налоге" применяются по 31 декабря 2027 года включительно.</w:t>
      </w:r>
    </w:p>
    <w:p w:rsidR="00B0034A" w:rsidRDefault="00B0034A">
      <w:pPr>
        <w:pStyle w:val="ConsPlusNormal"/>
        <w:jc w:val="both"/>
      </w:pPr>
    </w:p>
    <w:p w:rsidR="00B0034A" w:rsidRDefault="00B0034A">
      <w:pPr>
        <w:pStyle w:val="ConsPlusNormal"/>
        <w:jc w:val="right"/>
      </w:pPr>
      <w:r>
        <w:t>Глава Кабардино-Балкарской Республики</w:t>
      </w:r>
    </w:p>
    <w:p w:rsidR="00B0034A" w:rsidRDefault="00B0034A">
      <w:pPr>
        <w:pStyle w:val="ConsPlusNormal"/>
        <w:jc w:val="right"/>
      </w:pPr>
      <w:r>
        <w:t>К.КОКОВ</w:t>
      </w:r>
    </w:p>
    <w:p w:rsidR="00B0034A" w:rsidRDefault="00B0034A">
      <w:pPr>
        <w:pStyle w:val="ConsPlusNormal"/>
      </w:pPr>
      <w:r>
        <w:t>город Нальчик</w:t>
      </w:r>
    </w:p>
    <w:p w:rsidR="00B0034A" w:rsidRDefault="00B0034A">
      <w:pPr>
        <w:pStyle w:val="ConsPlusNormal"/>
        <w:spacing w:before="220"/>
      </w:pPr>
      <w:r>
        <w:t>28 ноября 2024 года</w:t>
      </w:r>
    </w:p>
    <w:p w:rsidR="00B0034A" w:rsidRDefault="00B0034A">
      <w:pPr>
        <w:pStyle w:val="ConsPlusNormal"/>
        <w:spacing w:before="220"/>
      </w:pPr>
      <w:r>
        <w:t>N 35-РЗ</w:t>
      </w:r>
    </w:p>
    <w:p w:rsidR="00B0034A" w:rsidRDefault="00B0034A">
      <w:pPr>
        <w:pStyle w:val="ConsPlusNormal"/>
        <w:jc w:val="both"/>
      </w:pPr>
    </w:p>
    <w:p w:rsidR="00B0034A" w:rsidRDefault="00B0034A">
      <w:pPr>
        <w:pStyle w:val="ConsPlusNormal"/>
        <w:jc w:val="both"/>
      </w:pPr>
    </w:p>
    <w:p w:rsidR="00B0034A" w:rsidRDefault="00B0034A">
      <w:pPr>
        <w:pStyle w:val="ConsPlusNormal"/>
        <w:pBdr>
          <w:bottom w:val="single" w:sz="6" w:space="0" w:color="auto"/>
        </w:pBdr>
        <w:spacing w:before="100" w:after="100"/>
        <w:jc w:val="both"/>
        <w:rPr>
          <w:sz w:val="2"/>
          <w:szCs w:val="2"/>
        </w:rPr>
      </w:pPr>
    </w:p>
    <w:p w:rsidR="006D5958" w:rsidRDefault="006D5958"/>
    <w:sectPr w:rsidR="006D5958" w:rsidSect="00D34F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4A"/>
    <w:rsid w:val="000E2B39"/>
    <w:rsid w:val="006D5958"/>
    <w:rsid w:val="00B003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7FC9"/>
  <w15:chartTrackingRefBased/>
  <w15:docId w15:val="{41DD96ED-5E68-419D-B455-C923A075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03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B0034A"/>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B0034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04&amp;n=116013&amp;dst=100284" TargetMode="External"/><Relationship Id="rId13" Type="http://schemas.openxmlformats.org/officeDocument/2006/relationships/hyperlink" Target="https://login.consultant.ru/link/?req=doc&amp;base=RLAW304&amp;n=116013&amp;dst=100322" TargetMode="External"/><Relationship Id="rId3" Type="http://schemas.openxmlformats.org/officeDocument/2006/relationships/webSettings" Target="webSettings.xml"/><Relationship Id="rId7" Type="http://schemas.openxmlformats.org/officeDocument/2006/relationships/hyperlink" Target="https://login.consultant.ru/link/?req=doc&amp;base=RLAW304&amp;n=92149&amp;dst=38" TargetMode="External"/><Relationship Id="rId12" Type="http://schemas.openxmlformats.org/officeDocument/2006/relationships/hyperlink" Target="https://login.consultant.ru/link/?req=doc&amp;base=LAW&amp;n=470723&amp;dst=10033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304&amp;n=116013&amp;dst=100034" TargetMode="External"/><Relationship Id="rId11" Type="http://schemas.openxmlformats.org/officeDocument/2006/relationships/hyperlink" Target="https://login.consultant.ru/link/?req=doc&amp;base=LAW&amp;n=426999" TargetMode="External"/><Relationship Id="rId5" Type="http://schemas.openxmlformats.org/officeDocument/2006/relationships/hyperlink" Target="www.pravo.gov.ru" TargetMode="External"/><Relationship Id="rId15" Type="http://schemas.openxmlformats.org/officeDocument/2006/relationships/fontTable" Target="fontTable.xml"/><Relationship Id="rId10" Type="http://schemas.openxmlformats.org/officeDocument/2006/relationships/hyperlink" Target="https://login.consultant.ru/link/?req=doc&amp;base=RLAW304&amp;n=92149&amp;dst=100131" TargetMode="External"/><Relationship Id="rId4" Type="http://schemas.openxmlformats.org/officeDocument/2006/relationships/hyperlink" Target="https://login.consultant.ru/link/?req=doc&amp;base=RLAW304&amp;n=116013" TargetMode="External"/><Relationship Id="rId9" Type="http://schemas.openxmlformats.org/officeDocument/2006/relationships/hyperlink" Target="https://login.consultant.ru/link/?req=doc&amp;base=RLAW304&amp;n=116013&amp;dst=100130" TargetMode="External"/><Relationship Id="rId14" Type="http://schemas.openxmlformats.org/officeDocument/2006/relationships/hyperlink" Target="https://login.consultant.ru/link/?req=doc&amp;base=RLAW304&amp;n=92149&amp;dst=1002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1002</Words>
  <Characters>5715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Таов Азрет Сафарбиевич</dc:creator>
  <cp:keywords/>
  <dc:description/>
  <cp:lastModifiedBy>Таов Азрет Сафарбиевич</cp:lastModifiedBy>
  <cp:revision>2</cp:revision>
  <dcterms:created xsi:type="dcterms:W3CDTF">2025-03-04T09:20:00Z</dcterms:created>
  <dcterms:modified xsi:type="dcterms:W3CDTF">2025-03-04T09:36:00Z</dcterms:modified>
</cp:coreProperties>
</file>